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9CFA0" w14:textId="5854D8FD" w:rsidR="000B09CF" w:rsidRPr="00411672" w:rsidRDefault="000B09CF" w:rsidP="000B09CF">
      <w:pPr>
        <w:jc w:val="center"/>
        <w:rPr>
          <w:rFonts w:asciiTheme="minorHAnsi" w:hAnsiTheme="minorHAnsi" w:cstheme="minorHAnsi"/>
          <w:b/>
          <w:spacing w:val="20"/>
          <w:sz w:val="22"/>
        </w:rPr>
      </w:pPr>
      <w:r w:rsidRPr="00411672">
        <w:rPr>
          <w:rFonts w:asciiTheme="minorHAnsi" w:hAnsiTheme="minorHAnsi" w:cstheme="minorHAnsi"/>
          <w:b/>
          <w:spacing w:val="20"/>
          <w:sz w:val="22"/>
        </w:rPr>
        <w:t>INDOKOLÁS</w:t>
      </w:r>
    </w:p>
    <w:p w14:paraId="750D3AB5" w14:textId="77777777" w:rsidR="00F76A1B" w:rsidRDefault="000B09CF" w:rsidP="00F76A1B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411672">
        <w:rPr>
          <w:rFonts w:asciiTheme="minorHAnsi" w:hAnsiTheme="minorHAnsi" w:cstheme="minorHAnsi"/>
          <w:b/>
          <w:bCs/>
          <w:sz w:val="22"/>
        </w:rPr>
        <w:t xml:space="preserve">a </w:t>
      </w:r>
      <w:r>
        <w:rPr>
          <w:rFonts w:asciiTheme="minorHAnsi" w:hAnsiTheme="minorHAnsi" w:cstheme="minorHAnsi"/>
          <w:b/>
          <w:bCs/>
          <w:sz w:val="22"/>
        </w:rPr>
        <w:t xml:space="preserve">Szombathely Megyei Jogú Város Önkormányzatának </w:t>
      </w:r>
      <w:r w:rsidR="00F76A1B">
        <w:rPr>
          <w:rFonts w:asciiTheme="minorHAnsi" w:hAnsiTheme="minorHAnsi" w:cstheme="minorHAnsi"/>
          <w:b/>
          <w:bCs/>
          <w:sz w:val="22"/>
        </w:rPr>
        <w:t>S</w:t>
      </w:r>
      <w:r>
        <w:rPr>
          <w:rFonts w:asciiTheme="minorHAnsi" w:hAnsiTheme="minorHAnsi" w:cstheme="minorHAnsi"/>
          <w:b/>
          <w:bCs/>
          <w:sz w:val="22"/>
        </w:rPr>
        <w:t>zervezeti és Működési Szabályzatáról</w:t>
      </w:r>
      <w:r w:rsidRPr="00411672">
        <w:rPr>
          <w:rFonts w:asciiTheme="minorHAnsi" w:hAnsiTheme="minorHAnsi" w:cstheme="minorHAnsi"/>
          <w:b/>
          <w:bCs/>
          <w:sz w:val="22"/>
        </w:rPr>
        <w:t xml:space="preserve"> szóló </w:t>
      </w:r>
    </w:p>
    <w:p w14:paraId="704EF8A6" w14:textId="35A0CE0B" w:rsidR="000B09CF" w:rsidRDefault="000B09CF" w:rsidP="00F76A1B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16</w:t>
      </w:r>
      <w:r w:rsidRPr="00411672">
        <w:rPr>
          <w:rFonts w:asciiTheme="minorHAnsi" w:hAnsiTheme="minorHAnsi" w:cstheme="minorHAnsi"/>
          <w:b/>
          <w:bCs/>
          <w:sz w:val="22"/>
        </w:rPr>
        <w:t>/2</w:t>
      </w:r>
      <w:r>
        <w:rPr>
          <w:rFonts w:asciiTheme="minorHAnsi" w:hAnsiTheme="minorHAnsi" w:cstheme="minorHAnsi"/>
          <w:b/>
          <w:bCs/>
          <w:sz w:val="22"/>
        </w:rPr>
        <w:t>024</w:t>
      </w:r>
      <w:r w:rsidRPr="00411672">
        <w:rPr>
          <w:rFonts w:asciiTheme="minorHAnsi" w:hAnsiTheme="minorHAnsi" w:cstheme="minorHAnsi"/>
          <w:b/>
          <w:bCs/>
          <w:sz w:val="22"/>
        </w:rPr>
        <w:t>. (</w:t>
      </w:r>
      <w:r>
        <w:rPr>
          <w:rFonts w:asciiTheme="minorHAnsi" w:hAnsiTheme="minorHAnsi" w:cstheme="minorHAnsi"/>
          <w:b/>
          <w:bCs/>
          <w:sz w:val="22"/>
        </w:rPr>
        <w:t>X</w:t>
      </w:r>
      <w:r w:rsidRPr="00411672">
        <w:rPr>
          <w:rFonts w:asciiTheme="minorHAnsi" w:hAnsiTheme="minorHAnsi" w:cstheme="minorHAnsi"/>
          <w:b/>
          <w:bCs/>
          <w:sz w:val="22"/>
        </w:rPr>
        <w:t>.</w:t>
      </w:r>
      <w:r>
        <w:rPr>
          <w:rFonts w:asciiTheme="minorHAnsi" w:hAnsiTheme="minorHAnsi" w:cstheme="minorHAnsi"/>
          <w:b/>
          <w:bCs/>
          <w:sz w:val="22"/>
        </w:rPr>
        <w:t>10</w:t>
      </w:r>
      <w:r w:rsidRPr="00411672">
        <w:rPr>
          <w:rFonts w:asciiTheme="minorHAnsi" w:hAnsiTheme="minorHAnsi" w:cstheme="minorHAnsi"/>
          <w:b/>
          <w:bCs/>
          <w:sz w:val="22"/>
        </w:rPr>
        <w:t>.) önkormányzati rendelet módosí</w:t>
      </w:r>
      <w:r w:rsidR="008D7BEC">
        <w:rPr>
          <w:rFonts w:asciiTheme="minorHAnsi" w:hAnsiTheme="minorHAnsi" w:cstheme="minorHAnsi"/>
          <w:b/>
          <w:bCs/>
          <w:sz w:val="22"/>
        </w:rPr>
        <w:t>t</w:t>
      </w:r>
      <w:r w:rsidRPr="00411672">
        <w:rPr>
          <w:rFonts w:asciiTheme="minorHAnsi" w:hAnsiTheme="minorHAnsi" w:cstheme="minorHAnsi"/>
          <w:b/>
          <w:bCs/>
          <w:sz w:val="22"/>
        </w:rPr>
        <w:t>ásáról szóló önkormányzati rendelethez</w:t>
      </w:r>
    </w:p>
    <w:p w14:paraId="1784AFB1" w14:textId="77777777" w:rsidR="00F76A1B" w:rsidRPr="00411672" w:rsidRDefault="00F76A1B" w:rsidP="00F76A1B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0D198E2B" w14:textId="77777777" w:rsidR="008D7BEC" w:rsidRPr="00796661" w:rsidRDefault="002D0688" w:rsidP="008D7BEC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383BEF">
        <w:rPr>
          <w:rFonts w:ascii="Calibri" w:hAnsi="Calibri" w:cs="Calibri"/>
          <w:sz w:val="22"/>
          <w:szCs w:val="22"/>
        </w:rPr>
        <w:t xml:space="preserve">A Magyarország helyi önkormányzatairól szóló 2011. évi CLXXXIX. törvény 2026. június 29. napjától hatályos 33. § (2) bekezdése új rendelet-alkotási kötelezettséget keletkeztetett. A képviselő-testület köteles a szervezeti és működési szabályzatában rendelkezni a 33. § (1) bekezdés szerinti azon vagyoni szankcióról, amelyet akkor kell alkalmazni,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méltatlanságát meg nem alapozó – kizárólag adminisztratív jellegű, ugyanakkor csekély vagy elhanyagolható jelentőséget meghaladó hiányosságot tárt fel. A képviselő-testület szervezeti és működési szabályzatában legkésőbb 2026. október 31. napjáig rendelkezik a fenti vagyoni szankcióról. A szabályozás célja továbbá </w:t>
      </w:r>
      <w:r w:rsidR="008D7BEC" w:rsidRPr="00796661">
        <w:rPr>
          <w:rFonts w:ascii="Calibri" w:hAnsi="Calibri" w:cs="Calibri"/>
          <w:sz w:val="22"/>
          <w:szCs w:val="22"/>
        </w:rPr>
        <w:t>a Magyarország helyi önkormányzatairól szóló 2011. évi CLXXXIX. törvény 68. § (2) és (3) bekezdésében foglalt ügykörök megjelölése, valamint a magasabb szintű jogszabályoknak való megfeleltetés a vármegye megnevezés megye megnevezésre történő módosításával.</w:t>
      </w:r>
    </w:p>
    <w:p w14:paraId="35F5E80F" w14:textId="77777777" w:rsidR="008D7BEC" w:rsidRDefault="008D7BEC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</w:p>
    <w:p w14:paraId="1B4C19C4" w14:textId="2A6D161C" w:rsidR="000B09CF" w:rsidRDefault="000B09CF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  <w:r w:rsidRPr="00411672">
        <w:rPr>
          <w:rFonts w:asciiTheme="minorHAnsi" w:hAnsiTheme="minorHAnsi" w:cstheme="minorHAnsi"/>
          <w:b/>
          <w:sz w:val="22"/>
        </w:rPr>
        <w:t>1. §</w:t>
      </w:r>
      <w:r>
        <w:rPr>
          <w:rFonts w:asciiTheme="minorHAnsi" w:hAnsiTheme="minorHAnsi" w:cstheme="minorHAnsi"/>
          <w:b/>
          <w:sz w:val="22"/>
        </w:rPr>
        <w:t xml:space="preserve"> </w:t>
      </w:r>
    </w:p>
    <w:p w14:paraId="056CC48B" w14:textId="77777777" w:rsidR="00F76A1B" w:rsidRPr="00411672" w:rsidRDefault="00F76A1B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</w:p>
    <w:p w14:paraId="7DABE03B" w14:textId="41F64F78" w:rsidR="000B09CF" w:rsidRDefault="002D0688" w:rsidP="008D7BEC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AB57F6">
        <w:rPr>
          <w:rFonts w:asciiTheme="minorHAnsi" w:hAnsiTheme="minorHAnsi" w:cstheme="minorHAnsi"/>
          <w:sz w:val="22"/>
        </w:rPr>
        <w:t>A</w:t>
      </w:r>
      <w:r>
        <w:rPr>
          <w:rFonts w:asciiTheme="minorHAnsi" w:hAnsiTheme="minorHAnsi" w:cstheme="minorHAnsi"/>
          <w:sz w:val="22"/>
        </w:rPr>
        <w:t>z</w:t>
      </w:r>
      <w:r w:rsidRPr="00AB57F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AB57F6">
        <w:rPr>
          <w:rFonts w:asciiTheme="minorHAnsi" w:hAnsiTheme="minorHAnsi" w:cstheme="minorHAnsi"/>
          <w:sz w:val="22"/>
        </w:rPr>
        <w:t>Mötv</w:t>
      </w:r>
      <w:proofErr w:type="spellEnd"/>
      <w:r>
        <w:rPr>
          <w:rFonts w:asciiTheme="minorHAnsi" w:hAnsiTheme="minorHAnsi" w:cstheme="minorHAnsi"/>
          <w:sz w:val="22"/>
        </w:rPr>
        <w:t>.</w:t>
      </w:r>
      <w:r w:rsidRPr="00AB57F6">
        <w:rPr>
          <w:rFonts w:asciiTheme="minorHAnsi" w:hAnsiTheme="minorHAnsi" w:cstheme="minorHAnsi"/>
          <w:sz w:val="22"/>
        </w:rPr>
        <w:t xml:space="preserve"> módosult 39. § (3) bekezdése alapján a vagyonnyilatkozatot a szervezeti és működési szabályzatban erre </w:t>
      </w:r>
      <w:r w:rsidRPr="000E78E1">
        <w:rPr>
          <w:rFonts w:asciiTheme="minorHAnsi" w:hAnsiTheme="minorHAnsi" w:cstheme="minorHAnsi"/>
          <w:sz w:val="22"/>
        </w:rPr>
        <w:t>kijelölt bizottság tartja nyilván és őrzi. Ennek megfelelően módosításra kerül a</w:t>
      </w:r>
      <w:r w:rsidR="000B09CF" w:rsidRPr="000E78E1">
        <w:rPr>
          <w:rFonts w:asciiTheme="minorHAnsi" w:hAnsiTheme="minorHAnsi" w:cstheme="minorHAnsi"/>
          <w:sz w:val="22"/>
        </w:rPr>
        <w:t xml:space="preserve"> </w:t>
      </w:r>
      <w:r w:rsidRPr="000E78E1">
        <w:rPr>
          <w:rFonts w:asciiTheme="minorHAnsi" w:hAnsiTheme="minorHAnsi" w:cstheme="minorHAnsi"/>
          <w:sz w:val="22"/>
        </w:rPr>
        <w:t>Gazdasági és Jogi Bizottság vagyonnyilatkozattal kapcsolatos feladatkör</w:t>
      </w:r>
      <w:r w:rsidR="0094096B" w:rsidRPr="000E78E1">
        <w:rPr>
          <w:rFonts w:asciiTheme="minorHAnsi" w:hAnsiTheme="minorHAnsi" w:cstheme="minorHAnsi"/>
          <w:sz w:val="22"/>
        </w:rPr>
        <w:t>ének megfogalmazása</w:t>
      </w:r>
      <w:r w:rsidR="008D7BEC">
        <w:rPr>
          <w:rFonts w:asciiTheme="minorHAnsi" w:hAnsiTheme="minorHAnsi" w:cstheme="minorHAnsi"/>
          <w:sz w:val="22"/>
        </w:rPr>
        <w:t>.</w:t>
      </w:r>
    </w:p>
    <w:p w14:paraId="7ED6F8A8" w14:textId="77777777" w:rsidR="003415EF" w:rsidRPr="00411672" w:rsidRDefault="003415EF" w:rsidP="008D7BEC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45C63743" w14:textId="77777777" w:rsidR="000B09CF" w:rsidRDefault="000B09CF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  <w:r w:rsidRPr="00411672">
        <w:rPr>
          <w:rFonts w:asciiTheme="minorHAnsi" w:hAnsiTheme="minorHAnsi" w:cstheme="minorHAnsi"/>
          <w:b/>
          <w:sz w:val="22"/>
        </w:rPr>
        <w:t>2. §</w:t>
      </w:r>
    </w:p>
    <w:p w14:paraId="399E46FC" w14:textId="77777777" w:rsidR="00F76A1B" w:rsidRDefault="00F76A1B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</w:p>
    <w:p w14:paraId="67566CD3" w14:textId="6640EDBD" w:rsidR="008D7BEC" w:rsidRPr="00043B1C" w:rsidRDefault="003415EF" w:rsidP="003415EF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="Calibri" w:hAnsi="Calibri"/>
          <w:sz w:val="22"/>
        </w:rPr>
        <w:t xml:space="preserve">Az </w:t>
      </w:r>
      <w:proofErr w:type="spellStart"/>
      <w:r>
        <w:rPr>
          <w:rFonts w:ascii="Calibri" w:hAnsi="Calibri"/>
          <w:sz w:val="22"/>
        </w:rPr>
        <w:t>Mötv</w:t>
      </w:r>
      <w:proofErr w:type="spellEnd"/>
      <w:r>
        <w:rPr>
          <w:rFonts w:ascii="Calibri" w:hAnsi="Calibri"/>
          <w:sz w:val="22"/>
        </w:rPr>
        <w:t xml:space="preserve">. </w:t>
      </w:r>
      <w:r w:rsidRPr="00796661">
        <w:rPr>
          <w:rFonts w:ascii="Calibri" w:hAnsi="Calibri"/>
          <w:sz w:val="22"/>
        </w:rPr>
        <w:t>68. § (2) és (3) bekezdésébe</w:t>
      </w:r>
      <w:r>
        <w:rPr>
          <w:rFonts w:ascii="Calibri" w:hAnsi="Calibri"/>
          <w:sz w:val="22"/>
        </w:rPr>
        <w:t>n</w:t>
      </w:r>
      <w:r w:rsidRPr="00796661">
        <w:rPr>
          <w:rFonts w:ascii="Calibri" w:hAnsi="Calibri"/>
          <w:sz w:val="22"/>
        </w:rPr>
        <w:t xml:space="preserve"> foglalt ügykörök</w:t>
      </w:r>
      <w:r>
        <w:rPr>
          <w:rFonts w:ascii="Calibri" w:hAnsi="Calibri"/>
          <w:sz w:val="22"/>
        </w:rPr>
        <w:t>et</w:t>
      </w:r>
      <w:r w:rsidRPr="00796661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köteles a képviselő-testület megjelölni a Vas Megyei Kormányhivatal szakmai véleménye szerint. </w:t>
      </w:r>
      <w:r w:rsidR="008D7BEC" w:rsidRPr="00043B1C">
        <w:rPr>
          <w:rFonts w:asciiTheme="minorHAnsi" w:hAnsiTheme="minorHAnsi" w:cstheme="minorHAnsi"/>
          <w:sz w:val="22"/>
        </w:rPr>
        <w:t>A fentiek alapján mindez úgy kerül szabályozásra, hogy a polgármester</w:t>
      </w:r>
      <w:r>
        <w:rPr>
          <w:rFonts w:asciiTheme="minorHAnsi" w:hAnsiTheme="minorHAnsi" w:cstheme="minorHAnsi"/>
          <w:sz w:val="22"/>
        </w:rPr>
        <w:t xml:space="preserve"> </w:t>
      </w:r>
      <w:r w:rsidR="008D7BEC" w:rsidRPr="00043B1C">
        <w:rPr>
          <w:rFonts w:asciiTheme="minorHAnsi" w:hAnsiTheme="minorHAnsi" w:cstheme="minorHAnsi"/>
          <w:sz w:val="22"/>
        </w:rPr>
        <w:t xml:space="preserve">az </w:t>
      </w:r>
      <w:proofErr w:type="spellStart"/>
      <w:r w:rsidR="008D7BEC" w:rsidRPr="00043B1C">
        <w:rPr>
          <w:rFonts w:asciiTheme="minorHAnsi" w:hAnsiTheme="minorHAnsi" w:cstheme="minorHAnsi"/>
          <w:sz w:val="22"/>
        </w:rPr>
        <w:t>Mötv</w:t>
      </w:r>
      <w:proofErr w:type="spellEnd"/>
      <w:r w:rsidR="008D7BEC" w:rsidRPr="00043B1C">
        <w:rPr>
          <w:rFonts w:asciiTheme="minorHAnsi" w:hAnsiTheme="minorHAnsi" w:cstheme="minorHAnsi"/>
          <w:sz w:val="22"/>
        </w:rPr>
        <w:t>. 68. § (2) bekezdésben meghatározott esetben minden képviselő-testületi hatáskörbe tartozó önkormányzati ügyben hozha</w:t>
      </w:r>
      <w:r>
        <w:rPr>
          <w:rFonts w:asciiTheme="minorHAnsi" w:hAnsiTheme="minorHAnsi" w:cstheme="minorHAnsi"/>
          <w:sz w:val="22"/>
        </w:rPr>
        <w:t>t</w:t>
      </w:r>
      <w:r w:rsidR="008D7BEC" w:rsidRPr="00043B1C">
        <w:rPr>
          <w:rFonts w:asciiTheme="minorHAnsi" w:hAnsiTheme="minorHAnsi" w:cstheme="minorHAnsi"/>
          <w:sz w:val="22"/>
        </w:rPr>
        <w:t xml:space="preserve"> döntést</w:t>
      </w:r>
      <w:r w:rsidR="00A17AF4">
        <w:rPr>
          <w:rFonts w:asciiTheme="minorHAnsi" w:hAnsiTheme="minorHAnsi" w:cstheme="minorHAnsi"/>
          <w:sz w:val="22"/>
        </w:rPr>
        <w:t xml:space="preserve">, </w:t>
      </w:r>
      <w:r w:rsidR="00A17AF4" w:rsidRPr="00A17AF4">
        <w:rPr>
          <w:rFonts w:asciiTheme="minorHAnsi" w:hAnsiTheme="minorHAnsi" w:cstheme="minorHAnsi"/>
          <w:sz w:val="22"/>
        </w:rPr>
        <w:t xml:space="preserve">az </w:t>
      </w:r>
      <w:proofErr w:type="spellStart"/>
      <w:r w:rsidR="00A17AF4" w:rsidRPr="00A17AF4">
        <w:rPr>
          <w:rFonts w:asciiTheme="minorHAnsi" w:hAnsiTheme="minorHAnsi" w:cstheme="minorHAnsi"/>
          <w:sz w:val="22"/>
        </w:rPr>
        <w:t>Mötv</w:t>
      </w:r>
      <w:proofErr w:type="spellEnd"/>
      <w:r w:rsidR="00A17AF4" w:rsidRPr="00A17AF4">
        <w:rPr>
          <w:rFonts w:asciiTheme="minorHAnsi" w:hAnsiTheme="minorHAnsi" w:cstheme="minorHAnsi"/>
          <w:sz w:val="22"/>
        </w:rPr>
        <w:t>. 42. §-</w:t>
      </w:r>
      <w:proofErr w:type="spellStart"/>
      <w:r w:rsidR="00A17AF4" w:rsidRPr="00A17AF4">
        <w:rPr>
          <w:rFonts w:asciiTheme="minorHAnsi" w:hAnsiTheme="minorHAnsi" w:cstheme="minorHAnsi"/>
          <w:sz w:val="22"/>
        </w:rPr>
        <w:t>ában</w:t>
      </w:r>
      <w:proofErr w:type="spellEnd"/>
      <w:r w:rsidR="00A17AF4" w:rsidRPr="00A17AF4">
        <w:rPr>
          <w:rFonts w:asciiTheme="minorHAnsi" w:hAnsiTheme="minorHAnsi" w:cstheme="minorHAnsi"/>
          <w:sz w:val="22"/>
        </w:rPr>
        <w:t xml:space="preserve"> felsorolt, át nem ruházható képviselő-testületi hatáskörbe tartozó ügyek kivételével</w:t>
      </w:r>
      <w:r w:rsidR="008D7BEC" w:rsidRPr="00043B1C">
        <w:rPr>
          <w:rFonts w:asciiTheme="minorHAnsi" w:hAnsiTheme="minorHAnsi" w:cstheme="minorHAnsi"/>
          <w:sz w:val="22"/>
        </w:rPr>
        <w:t xml:space="preserve">, </w:t>
      </w:r>
      <w:r>
        <w:rPr>
          <w:rFonts w:asciiTheme="minorHAnsi" w:hAnsiTheme="minorHAnsi" w:cstheme="minorHAnsi"/>
          <w:sz w:val="22"/>
        </w:rPr>
        <w:t>az</w:t>
      </w:r>
      <w:r w:rsidR="008D7BEC" w:rsidRPr="00043B1C">
        <w:rPr>
          <w:rFonts w:asciiTheme="minorHAnsi" w:hAnsiTheme="minorHAnsi" w:cstheme="minorHAnsi"/>
          <w:sz w:val="22"/>
        </w:rPr>
        <w:t xml:space="preserve"> </w:t>
      </w:r>
      <w:proofErr w:type="spellStart"/>
      <w:r w:rsidR="008D7BEC" w:rsidRPr="00043B1C">
        <w:rPr>
          <w:rFonts w:asciiTheme="minorHAnsi" w:hAnsiTheme="minorHAnsi" w:cstheme="minorHAnsi"/>
          <w:sz w:val="22"/>
        </w:rPr>
        <w:t>Mötv</w:t>
      </w:r>
      <w:proofErr w:type="spellEnd"/>
      <w:r w:rsidR="008D7BEC" w:rsidRPr="00043B1C">
        <w:rPr>
          <w:rFonts w:asciiTheme="minorHAnsi" w:hAnsiTheme="minorHAnsi" w:cstheme="minorHAnsi"/>
          <w:sz w:val="22"/>
        </w:rPr>
        <w:t xml:space="preserve">. 68. § (3) bekezdésében meghatározott halaszthatatlan esetben pedig </w:t>
      </w:r>
      <w:r w:rsidR="00D66185" w:rsidRPr="00D66185">
        <w:rPr>
          <w:rFonts w:asciiTheme="minorHAnsi" w:hAnsiTheme="minorHAnsi" w:cstheme="minorHAnsi"/>
          <w:sz w:val="22"/>
        </w:rPr>
        <w:t>pályázatok benyújtásáról</w:t>
      </w:r>
      <w:r w:rsidR="00D66185">
        <w:rPr>
          <w:rFonts w:asciiTheme="minorHAnsi" w:hAnsiTheme="minorHAnsi" w:cstheme="minorHAnsi"/>
          <w:sz w:val="22"/>
        </w:rPr>
        <w:t xml:space="preserve"> dönthet</w:t>
      </w:r>
      <w:r w:rsidR="00D66185" w:rsidRPr="00D66185">
        <w:rPr>
          <w:rFonts w:asciiTheme="minorHAnsi" w:hAnsiTheme="minorHAnsi" w:cstheme="minorHAnsi"/>
          <w:sz w:val="22"/>
        </w:rPr>
        <w:t xml:space="preserve"> azzal, hogy önrészt igénylő pályázatok esetén az önrész fedezete biztosított legyen az önkormányzat költségvetésében önálló soron vagy az önkormányzat költségvetéséről szóló rendelet szerint polgármesteri hatáskörben történő előirányzat átcsoportosítással.</w:t>
      </w:r>
    </w:p>
    <w:p w14:paraId="16FC15C4" w14:textId="77777777" w:rsidR="008D7BEC" w:rsidRDefault="008D7BEC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</w:p>
    <w:p w14:paraId="5FDBCD3A" w14:textId="77777777" w:rsidR="008D7BEC" w:rsidRDefault="008D7BEC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3</w:t>
      </w:r>
      <w:r w:rsidRPr="00411672">
        <w:rPr>
          <w:rFonts w:asciiTheme="minorHAnsi" w:hAnsiTheme="minorHAnsi" w:cstheme="minorHAnsi"/>
          <w:b/>
          <w:sz w:val="22"/>
        </w:rPr>
        <w:t>. §</w:t>
      </w:r>
    </w:p>
    <w:p w14:paraId="51917D32" w14:textId="77777777" w:rsidR="00F76A1B" w:rsidRDefault="00F76A1B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</w:p>
    <w:p w14:paraId="668BE2E4" w14:textId="69530753" w:rsidR="002D0688" w:rsidRDefault="002D0688" w:rsidP="008D7BEC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2"/>
        </w:rPr>
      </w:pPr>
      <w:r w:rsidRPr="00383BEF">
        <w:rPr>
          <w:rFonts w:ascii="Calibri" w:hAnsi="Calibri"/>
          <w:sz w:val="22"/>
        </w:rPr>
        <w:t>A</w:t>
      </w:r>
      <w:r>
        <w:rPr>
          <w:rFonts w:ascii="Calibri" w:hAnsi="Calibri"/>
          <w:sz w:val="22"/>
        </w:rPr>
        <w:t xml:space="preserve">z </w:t>
      </w:r>
      <w:proofErr w:type="spellStart"/>
      <w:r>
        <w:rPr>
          <w:rFonts w:ascii="Calibri" w:hAnsi="Calibri"/>
          <w:sz w:val="22"/>
        </w:rPr>
        <w:t>Mötv</w:t>
      </w:r>
      <w:proofErr w:type="spellEnd"/>
      <w:r>
        <w:rPr>
          <w:rFonts w:ascii="Calibri" w:hAnsi="Calibri"/>
          <w:sz w:val="22"/>
        </w:rPr>
        <w:t>. 33. § (2) bekezdése értelmében a</w:t>
      </w:r>
      <w:r w:rsidRPr="00383BEF">
        <w:rPr>
          <w:rFonts w:ascii="Calibri" w:hAnsi="Calibri"/>
          <w:sz w:val="22"/>
        </w:rPr>
        <w:t xml:space="preserve"> képviselő-testület köteles a szervezeti és működési szabályzatában rendelkezni a 33. § (1) bekezdés szerinti azon vagyoni szankcióról, amelyet akkor kell alkalmazni,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méltatlanságát meg nem alapozó – kizárólag adminisztratív jellegű, ugyanakkor csekély vagy elhanyagolható jelentőséget meghaladó hiányosságot tárt fel.</w:t>
      </w:r>
      <w:r>
        <w:rPr>
          <w:rFonts w:ascii="Calibri" w:hAnsi="Calibri"/>
          <w:sz w:val="22"/>
        </w:rPr>
        <w:t xml:space="preserve"> A vagyoni szankciót tartalmazza a szakasz.</w:t>
      </w:r>
    </w:p>
    <w:p w14:paraId="60E290DD" w14:textId="77777777" w:rsidR="002D0688" w:rsidRDefault="002D0688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</w:p>
    <w:p w14:paraId="3358C3CB" w14:textId="25992336" w:rsidR="002D0688" w:rsidRDefault="008D7BEC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4</w:t>
      </w:r>
      <w:r w:rsidR="002D0688" w:rsidRPr="00411672">
        <w:rPr>
          <w:rFonts w:asciiTheme="minorHAnsi" w:hAnsiTheme="minorHAnsi" w:cstheme="minorHAnsi"/>
          <w:b/>
          <w:sz w:val="22"/>
        </w:rPr>
        <w:t>. §</w:t>
      </w:r>
    </w:p>
    <w:p w14:paraId="2EDCAB56" w14:textId="77777777" w:rsidR="00F76A1B" w:rsidRDefault="00F76A1B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</w:p>
    <w:p w14:paraId="3F4E55C6" w14:textId="4F794019" w:rsidR="002D0688" w:rsidRDefault="002D0688" w:rsidP="008D7BEC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383BEF">
        <w:rPr>
          <w:rFonts w:ascii="Calibri" w:hAnsi="Calibri" w:cs="Calibri"/>
          <w:sz w:val="22"/>
          <w:szCs w:val="22"/>
        </w:rPr>
        <w:t>A vármegye megnevezés megye megnevezésre történő módosítás</w:t>
      </w:r>
      <w:r>
        <w:rPr>
          <w:rFonts w:ascii="Calibri" w:hAnsi="Calibri" w:cs="Calibri"/>
          <w:sz w:val="22"/>
          <w:szCs w:val="22"/>
        </w:rPr>
        <w:t>át tartalmazza.</w:t>
      </w:r>
    </w:p>
    <w:p w14:paraId="100CD4FD" w14:textId="77777777" w:rsidR="002D0688" w:rsidRDefault="002D0688" w:rsidP="008D7BEC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A1DFE98" w14:textId="38FBE295" w:rsidR="002D0688" w:rsidRDefault="008D7BEC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5</w:t>
      </w:r>
      <w:r w:rsidR="002D0688" w:rsidRPr="00411672">
        <w:rPr>
          <w:rFonts w:asciiTheme="minorHAnsi" w:hAnsiTheme="minorHAnsi" w:cstheme="minorHAnsi"/>
          <w:b/>
          <w:sz w:val="22"/>
        </w:rPr>
        <w:t>. §</w:t>
      </w:r>
    </w:p>
    <w:p w14:paraId="0F9447D5" w14:textId="77777777" w:rsidR="00F76A1B" w:rsidRDefault="00F76A1B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</w:p>
    <w:p w14:paraId="795086A4" w14:textId="2AC449D2" w:rsidR="002D0688" w:rsidRDefault="002D0688" w:rsidP="008D7BEC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Az </w:t>
      </w:r>
      <w:proofErr w:type="spellStart"/>
      <w:r>
        <w:rPr>
          <w:rFonts w:asciiTheme="minorHAnsi" w:hAnsiTheme="minorHAnsi" w:cstheme="minorHAnsi"/>
          <w:sz w:val="22"/>
        </w:rPr>
        <w:t>Mötv</w:t>
      </w:r>
      <w:proofErr w:type="spellEnd"/>
      <w:r>
        <w:rPr>
          <w:rFonts w:asciiTheme="minorHAnsi" w:hAnsiTheme="minorHAnsi" w:cstheme="minorHAnsi"/>
          <w:sz w:val="22"/>
        </w:rPr>
        <w:t>. 39. § (3) bekezdésébe bekerült, hogy az önkormányzati képviselő vagyonnyilatkozata közérdekből nyilvános, amit a helyi önkormányzat honlapján közzé kell tenni. Az SZMSZ 86. §-</w:t>
      </w:r>
      <w:proofErr w:type="spellStart"/>
      <w:r>
        <w:rPr>
          <w:rFonts w:asciiTheme="minorHAnsi" w:hAnsiTheme="minorHAnsi" w:cstheme="minorHAnsi"/>
          <w:sz w:val="22"/>
        </w:rPr>
        <w:t>ában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r w:rsidR="0094096B">
        <w:rPr>
          <w:rFonts w:asciiTheme="minorHAnsi" w:hAnsiTheme="minorHAnsi" w:cstheme="minorHAnsi"/>
          <w:sz w:val="22"/>
        </w:rPr>
        <w:t>szerepel</w:t>
      </w:r>
      <w:r>
        <w:rPr>
          <w:rFonts w:asciiTheme="minorHAnsi" w:hAnsiTheme="minorHAnsi" w:cstheme="minorHAnsi"/>
          <w:sz w:val="22"/>
        </w:rPr>
        <w:t>, hogy a képviselő vagyonnyilatkozatát a város honlapján közzé kell tenni, ezért a magasabb szintű jogi szabályozás megismétlésének elkerülése érdekében szükséges annak hatályon kívül helyezése.</w:t>
      </w:r>
    </w:p>
    <w:p w14:paraId="541DB0EA" w14:textId="77777777" w:rsidR="008D7BEC" w:rsidRDefault="008D7BEC" w:rsidP="008D7BEC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3273A519" w14:textId="7E4EE8E7" w:rsidR="002D0688" w:rsidRDefault="008D7BEC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6</w:t>
      </w:r>
      <w:r w:rsidR="002D0688" w:rsidRPr="00411672">
        <w:rPr>
          <w:rFonts w:asciiTheme="minorHAnsi" w:hAnsiTheme="minorHAnsi" w:cstheme="minorHAnsi"/>
          <w:b/>
          <w:sz w:val="22"/>
        </w:rPr>
        <w:t>. §</w:t>
      </w:r>
    </w:p>
    <w:p w14:paraId="453AF8EA" w14:textId="77777777" w:rsidR="00F76A1B" w:rsidRDefault="00F76A1B" w:rsidP="008D7BEC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2"/>
        </w:rPr>
      </w:pPr>
    </w:p>
    <w:p w14:paraId="35A212A8" w14:textId="6481938D" w:rsidR="00E46A00" w:rsidRDefault="000B09CF" w:rsidP="00D66185">
      <w:pPr>
        <w:spacing w:after="0" w:line="240" w:lineRule="auto"/>
        <w:jc w:val="both"/>
      </w:pPr>
      <w:r w:rsidRPr="00411672">
        <w:rPr>
          <w:rFonts w:asciiTheme="minorHAnsi" w:hAnsiTheme="minorHAnsi" w:cstheme="minorHAnsi"/>
          <w:sz w:val="22"/>
        </w:rPr>
        <w:t>A rendelet hatályba lépését tartalmazza.</w:t>
      </w:r>
      <w:r>
        <w:rPr>
          <w:rFonts w:asciiTheme="minorHAnsi" w:hAnsiTheme="minorHAnsi" w:cstheme="minorHAnsi"/>
          <w:sz w:val="22"/>
        </w:rPr>
        <w:t xml:space="preserve"> </w:t>
      </w:r>
    </w:p>
    <w:sectPr w:rsidR="00E46A00" w:rsidSect="000B09CF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F0A42"/>
    <w:multiLevelType w:val="hybridMultilevel"/>
    <w:tmpl w:val="9A82F632"/>
    <w:lvl w:ilvl="0" w:tplc="C14C2B18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num w:numId="1" w16cid:durableId="321543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CF"/>
    <w:rsid w:val="000B09CF"/>
    <w:rsid w:val="000E78E1"/>
    <w:rsid w:val="002D0688"/>
    <w:rsid w:val="002F4ED0"/>
    <w:rsid w:val="003415EF"/>
    <w:rsid w:val="004800CA"/>
    <w:rsid w:val="008D7BEC"/>
    <w:rsid w:val="0094096B"/>
    <w:rsid w:val="00A17AF4"/>
    <w:rsid w:val="00A95922"/>
    <w:rsid w:val="00AE59AF"/>
    <w:rsid w:val="00B15528"/>
    <w:rsid w:val="00C23429"/>
    <w:rsid w:val="00CA61F4"/>
    <w:rsid w:val="00D66185"/>
    <w:rsid w:val="00E46A00"/>
    <w:rsid w:val="00F619A1"/>
    <w:rsid w:val="00F7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FA19"/>
  <w15:chartTrackingRefBased/>
  <w15:docId w15:val="{CF7D48FA-64C4-4F37-9D4B-07B0CF53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B09CF"/>
    <w:pPr>
      <w:spacing w:after="160" w:line="259" w:lineRule="auto"/>
    </w:pPr>
    <w:rPr>
      <w:rFonts w:ascii="Arial" w:eastAsia="Calibri" w:hAnsi="Arial" w:cs="Calibr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B09C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B09C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B09C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B09CF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B09CF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B09CF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B09CF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B09CF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B09CF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09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B09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B09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B09C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B09C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B09C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B09C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B09C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B09C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B0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B0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B09C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B0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B09CF"/>
    <w:pPr>
      <w:spacing w:before="160" w:line="240" w:lineRule="auto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 w:val="22"/>
    </w:rPr>
  </w:style>
  <w:style w:type="character" w:customStyle="1" w:styleId="IdzetChar">
    <w:name w:val="Idézet Char"/>
    <w:basedOn w:val="Bekezdsalapbettpusa"/>
    <w:link w:val="Idzet"/>
    <w:uiPriority w:val="29"/>
    <w:rsid w:val="000B09C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B09CF"/>
    <w:pPr>
      <w:spacing w:after="0" w:line="240" w:lineRule="auto"/>
      <w:ind w:left="720"/>
      <w:contextualSpacing/>
    </w:pPr>
    <w:rPr>
      <w:rFonts w:asciiTheme="minorHAnsi" w:eastAsiaTheme="minorHAnsi" w:hAnsiTheme="minorHAnsi" w:cstheme="minorHAnsi"/>
      <w:sz w:val="22"/>
    </w:rPr>
  </w:style>
  <w:style w:type="character" w:styleId="Erskiemels">
    <w:name w:val="Intense Emphasis"/>
    <w:basedOn w:val="Bekezdsalapbettpusa"/>
    <w:uiPriority w:val="21"/>
    <w:qFormat/>
    <w:rsid w:val="000B09C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B09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 w:val="2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B09C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B09CF"/>
    <w:rPr>
      <w:b/>
      <w:bCs/>
      <w:smallCaps/>
      <w:color w:val="2F5496" w:themeColor="accent1" w:themeShade="BF"/>
      <w:spacing w:val="5"/>
    </w:rPr>
  </w:style>
  <w:style w:type="paragraph" w:styleId="Szvegtrzs">
    <w:name w:val="Body Text"/>
    <w:basedOn w:val="Norml"/>
    <w:link w:val="SzvegtrzsChar"/>
    <w:rsid w:val="002D0688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2D0688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467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Ildikó dr.</dc:creator>
  <cp:keywords/>
  <dc:description/>
  <cp:lastModifiedBy>Horváth Ildikó dr.</cp:lastModifiedBy>
  <cp:revision>9</cp:revision>
  <cp:lastPrinted>2026-10-15T08:15:00Z</cp:lastPrinted>
  <dcterms:created xsi:type="dcterms:W3CDTF">2026-10-07T15:07:00Z</dcterms:created>
  <dcterms:modified xsi:type="dcterms:W3CDTF">2026-10-16T06:26:00Z</dcterms:modified>
</cp:coreProperties>
</file>