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C2AD5" w14:textId="6407894A" w:rsidR="00796661" w:rsidRDefault="00286BD8" w:rsidP="0079666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 xml:space="preserve">Szombathely Megyei Jogú Város Önkormányzata Közgyűlésének </w:t>
      </w:r>
    </w:p>
    <w:p w14:paraId="3F86583A" w14:textId="3B19B37D" w:rsidR="0085472E" w:rsidRPr="00796661" w:rsidRDefault="00796661" w:rsidP="0079666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…..</w:t>
      </w:r>
      <w:r w:rsidR="00286BD8" w:rsidRPr="00796661">
        <w:rPr>
          <w:rFonts w:ascii="Calibri" w:hAnsi="Calibri" w:cs="Calibri"/>
          <w:b/>
          <w:bCs/>
          <w:sz w:val="22"/>
          <w:szCs w:val="22"/>
        </w:rPr>
        <w:t>./</w:t>
      </w:r>
      <w:r>
        <w:rPr>
          <w:rFonts w:ascii="Calibri" w:hAnsi="Calibri" w:cs="Calibri"/>
          <w:b/>
          <w:bCs/>
          <w:sz w:val="22"/>
          <w:szCs w:val="22"/>
        </w:rPr>
        <w:t>2026.</w:t>
      </w:r>
      <w:r w:rsidR="00286BD8" w:rsidRPr="00796661">
        <w:rPr>
          <w:rFonts w:ascii="Calibri" w:hAnsi="Calibri" w:cs="Calibri"/>
          <w:b/>
          <w:bCs/>
          <w:sz w:val="22"/>
          <w:szCs w:val="22"/>
        </w:rPr>
        <w:t xml:space="preserve"> (</w:t>
      </w:r>
      <w:r>
        <w:rPr>
          <w:rFonts w:ascii="Calibri" w:hAnsi="Calibri" w:cs="Calibri"/>
          <w:b/>
          <w:bCs/>
          <w:sz w:val="22"/>
          <w:szCs w:val="22"/>
        </w:rPr>
        <w:t>…….</w:t>
      </w:r>
      <w:r w:rsidR="00286BD8" w:rsidRPr="00796661">
        <w:rPr>
          <w:rFonts w:ascii="Calibri" w:hAnsi="Calibri" w:cs="Calibri"/>
          <w:b/>
          <w:bCs/>
          <w:sz w:val="22"/>
          <w:szCs w:val="22"/>
        </w:rPr>
        <w:t>..) önkormányzati rendelete</w:t>
      </w:r>
    </w:p>
    <w:p w14:paraId="194A01F5" w14:textId="77777777" w:rsidR="00796661" w:rsidRDefault="00286BD8" w:rsidP="0079666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 xml:space="preserve">Szombathely Megyei Jogú Város Önkormányzatának Szervezeti és Működési Szabályzatáról szóló </w:t>
      </w:r>
    </w:p>
    <w:p w14:paraId="1FF37A25" w14:textId="79B469C1" w:rsidR="0085472E" w:rsidRDefault="00286BD8" w:rsidP="0079666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16/2024. (X.10.) önkormányzati rendelet módosításáról</w:t>
      </w:r>
    </w:p>
    <w:p w14:paraId="0205D092" w14:textId="77777777" w:rsidR="00796661" w:rsidRPr="00796661" w:rsidRDefault="00796661" w:rsidP="0079666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AA1A572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[1] A Magyarország helyi önkormányzatairól szóló 2011. évi CLXXXIX. törvény 2026. június 29. napjától hatályos 33. § (2) bekezdése új rendelet-alkotási kötelezettséget keletkeztetett. A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méltatlanságát meg nem alapozó – kizárólag adminisztratív jellegű, ugyanakkor csekély vagy elhanyagolható jelentőséget meghaladó hiányosságot tárt fel. A képviselő-testület szervezeti és működési szabályzatában legkésőbb 2026. október 31. napjáig rendelkezik a fenti vagyoni szankcióról. A szabályozás célja továbbá a Magyarország helyi önkormányzatairól szóló 2011. évi CLXXXIX. törvény 68. § (2) és (3) bekezdésében foglalt ügykörök megjelölése, valamint a magasabb szintű jogszabályoknak való megfeleltetés a vármegye megnevezés megye megnevezésre történő módosításával.</w:t>
      </w:r>
    </w:p>
    <w:p w14:paraId="0654F59D" w14:textId="77777777" w:rsidR="0085472E" w:rsidRPr="00796661" w:rsidRDefault="00286BD8">
      <w:pPr>
        <w:pStyle w:val="Szvegtrzs"/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[2] Szombathely Megyei Jogú Város Önkormányzatának Közgyűlése az Alaptörvény 32. cikk (2) bekezdésében meghatározott eredeti jogalkotói hatáskörében, az Alaptörvény 32. cikk (1) bekezdés d) pontjában meghatározott feladatkörében eljárva a következőket rendeli el:</w:t>
      </w:r>
    </w:p>
    <w:p w14:paraId="045F2A6E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1. §</w:t>
      </w:r>
    </w:p>
    <w:p w14:paraId="51EB7FBF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A Szombathely Megyei Jogú Város Önkormányzatának Szervezeti és Működési Szabályzatáról szóló 16/2024. (X. 10.) önkormányzati rendelet (a továbbiakban: Rendelet) 51. § (4) bekezdés 17. pontja helyébe a következő rendelkezés lép:</w:t>
      </w:r>
    </w:p>
    <w:p w14:paraId="5290AEA8" w14:textId="77777777" w:rsidR="0085472E" w:rsidRPr="00796661" w:rsidRDefault="00286BD8">
      <w:pPr>
        <w:pStyle w:val="Szvegtrzs"/>
        <w:spacing w:before="240" w:after="0" w:line="240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(A Gazdasági és Jogi Bizottság jogi, továbbá vagyonnyilatkozatok vizsgálatával kapcsolatos feladatai körében:)</w:t>
      </w:r>
    </w:p>
    <w:p w14:paraId="13894EEE" w14:textId="77777777" w:rsidR="0085472E" w:rsidRPr="00796661" w:rsidRDefault="00286BD8">
      <w:pPr>
        <w:pStyle w:val="Szvegtrzs"/>
        <w:spacing w:after="24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„</w:t>
      </w:r>
      <w:r w:rsidRPr="00796661">
        <w:rPr>
          <w:rFonts w:ascii="Calibri" w:hAnsi="Calibri" w:cs="Calibri"/>
          <w:i/>
          <w:iCs/>
          <w:sz w:val="22"/>
          <w:szCs w:val="22"/>
        </w:rPr>
        <w:t>17.</w:t>
      </w:r>
      <w:r w:rsidRPr="00796661">
        <w:rPr>
          <w:rFonts w:ascii="Calibri" w:hAnsi="Calibri" w:cs="Calibri"/>
          <w:sz w:val="22"/>
          <w:szCs w:val="22"/>
        </w:rPr>
        <w:tab/>
        <w:t>az Mötv. alapján kijelölt bizottságként ellátja a polgármester, valamint a települési képviselők vagyonnyilatkozatainak kezelésével és őrzésével, vizsgálatával kapcsolatos feladatokat;”</w:t>
      </w:r>
    </w:p>
    <w:p w14:paraId="15A5C985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2. §</w:t>
      </w:r>
    </w:p>
    <w:p w14:paraId="1430AA9E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A Rendelet 21. alcíme a következő 75/A. §-sal egészül ki:</w:t>
      </w:r>
    </w:p>
    <w:p w14:paraId="2A0E24D3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„75/A. §</w:t>
      </w:r>
    </w:p>
    <w:p w14:paraId="7BA779AE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(1) Amennyiben a Közgyűlés – határozatképtelenség vagy határozathozatal hiánya miatt – két egymást követő alkalommal ugyanazon ügyben nem hozott döntést, a polgármester az Mötv. 68. § (2) bekezdése alapján, a Közgyűlés utólagos tájékoztatása mellett - az Mötv. 42. §-ában meghatározott, át nem ruházható ügyek kivételével - döntést hozhat minden közgyűlési hatáskörbe tartozó önkormányzati ügyben.</w:t>
      </w:r>
    </w:p>
    <w:p w14:paraId="43543053" w14:textId="3C34DC1E" w:rsidR="007723B4" w:rsidRDefault="00286BD8">
      <w:pPr>
        <w:pStyle w:val="Szvegtrzs"/>
        <w:spacing w:before="240" w:after="24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 xml:space="preserve">(2) A </w:t>
      </w:r>
      <w:r w:rsidR="007723B4" w:rsidRPr="007723B4">
        <w:rPr>
          <w:rFonts w:ascii="Calibri" w:hAnsi="Calibri" w:cs="Calibri"/>
          <w:sz w:val="22"/>
          <w:szCs w:val="22"/>
        </w:rPr>
        <w:t>polgármester az Mötv. 68. § (3) bekezdése alapján a Közgyűlés utólagos tájékoztatása mellett dönthet a két ülés közötti időszakban felmerülő, halaszthatatlan pályázatok benyújtásáról azzal</w:t>
      </w:r>
      <w:r w:rsidR="007723B4">
        <w:rPr>
          <w:rFonts w:ascii="Calibri" w:hAnsi="Calibri" w:cs="Calibri"/>
          <w:sz w:val="22"/>
          <w:szCs w:val="22"/>
        </w:rPr>
        <w:t xml:space="preserve"> a feltétellel</w:t>
      </w:r>
      <w:r w:rsidR="007723B4" w:rsidRPr="007723B4">
        <w:rPr>
          <w:rFonts w:ascii="Calibri" w:hAnsi="Calibri" w:cs="Calibri"/>
          <w:sz w:val="22"/>
          <w:szCs w:val="22"/>
        </w:rPr>
        <w:t>, hogy önrészt igénylő pályázatok esetén az önrész fedezete biztosított legyen az önkormányzat költségvetésében önálló soron vagy az önkormányzat költségvetéséről szóló rendelet szerint polgármesteri hatáskörben történő előirányzat átcsoportosítással.</w:t>
      </w:r>
      <w:r w:rsidR="007723B4">
        <w:rPr>
          <w:rFonts w:ascii="Calibri" w:hAnsi="Calibri" w:cs="Calibri"/>
          <w:sz w:val="22"/>
          <w:szCs w:val="22"/>
        </w:rPr>
        <w:t>”</w:t>
      </w:r>
    </w:p>
    <w:p w14:paraId="48130F52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3. §</w:t>
      </w:r>
    </w:p>
    <w:p w14:paraId="1E3FA70A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A Rendelet 84. §-a a következő (6) bekezdéssel egészül ki:</w:t>
      </w:r>
    </w:p>
    <w:p w14:paraId="0AF7F3D7" w14:textId="77777777" w:rsidR="0085472E" w:rsidRPr="00796661" w:rsidRDefault="00286BD8">
      <w:pPr>
        <w:pStyle w:val="Szvegtrzs"/>
        <w:spacing w:before="240" w:after="24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lastRenderedPageBreak/>
        <w:t>„(6)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- a képviselő méltatlanságát meg nem alapozó - kizárólag adminisztratív jellegű, ugyanakkor csekély vagy elhanyagolható jelentőséget meghaladó hiányosságot tár fel, akkor a képviselő-testület az érintett képviselő megállapított tiszteletdíját a soron következő kifizetésnél 100.000,- Ft-tal csökkenti.”</w:t>
      </w:r>
    </w:p>
    <w:p w14:paraId="65524456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4. §</w:t>
      </w:r>
    </w:p>
    <w:p w14:paraId="20149127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A Rendelet</w:t>
      </w:r>
    </w:p>
    <w:p w14:paraId="50114CF3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a)</w:t>
      </w:r>
      <w:r w:rsidRPr="00796661">
        <w:rPr>
          <w:rFonts w:ascii="Calibri" w:hAnsi="Calibri" w:cs="Calibri"/>
          <w:sz w:val="22"/>
          <w:szCs w:val="22"/>
        </w:rPr>
        <w:tab/>
        <w:t>16. § (1) bekezdés 2. pontjában a „Vármegyei” szövegrész helyébe a „Megyei” szöveg,</w:t>
      </w:r>
    </w:p>
    <w:p w14:paraId="42C1E091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b)</w:t>
      </w:r>
      <w:r w:rsidRPr="00796661">
        <w:rPr>
          <w:rFonts w:ascii="Calibri" w:hAnsi="Calibri" w:cs="Calibri"/>
          <w:sz w:val="22"/>
          <w:szCs w:val="22"/>
        </w:rPr>
        <w:tab/>
        <w:t>16. § (2) bekezdés 2. pontjában a „Vármegyei” szövegrész helyébe a „Megyei” szöveg,</w:t>
      </w:r>
    </w:p>
    <w:p w14:paraId="22D0EFCC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c)</w:t>
      </w:r>
      <w:r w:rsidRPr="00796661">
        <w:rPr>
          <w:rFonts w:ascii="Calibri" w:hAnsi="Calibri" w:cs="Calibri"/>
          <w:sz w:val="22"/>
          <w:szCs w:val="22"/>
        </w:rPr>
        <w:tab/>
        <w:t>16. § (2) bekezdés 3. pontjában a „vármegyében” szövegrész helyébe a „megyében” szöveg,</w:t>
      </w:r>
    </w:p>
    <w:p w14:paraId="448C25C6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d)</w:t>
      </w:r>
      <w:r w:rsidRPr="00796661">
        <w:rPr>
          <w:rFonts w:ascii="Calibri" w:hAnsi="Calibri" w:cs="Calibri"/>
          <w:sz w:val="22"/>
          <w:szCs w:val="22"/>
        </w:rPr>
        <w:tab/>
        <w:t>52. § (2) bekezdés 9. pontjában a „vármegyei” szövegrészek helyébe a „megyei” szöveg,</w:t>
      </w:r>
    </w:p>
    <w:p w14:paraId="4F91ED67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e)</w:t>
      </w:r>
      <w:r w:rsidRPr="00796661">
        <w:rPr>
          <w:rFonts w:ascii="Calibri" w:hAnsi="Calibri" w:cs="Calibri"/>
          <w:sz w:val="22"/>
          <w:szCs w:val="22"/>
        </w:rPr>
        <w:tab/>
        <w:t>52. § (4) bekezdés 2. pontjában a „vármegyei” szövegrész helyébe a „megyei” szöveg,</w:t>
      </w:r>
    </w:p>
    <w:p w14:paraId="2C4D6568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f)</w:t>
      </w:r>
      <w:r w:rsidRPr="00796661">
        <w:rPr>
          <w:rFonts w:ascii="Calibri" w:hAnsi="Calibri" w:cs="Calibri"/>
          <w:sz w:val="22"/>
          <w:szCs w:val="22"/>
        </w:rPr>
        <w:tab/>
        <w:t>56. § (1) bekezdésében a „Vármegyei” szövegrészek helyébe a „Megyei” szöveg,</w:t>
      </w:r>
    </w:p>
    <w:p w14:paraId="30380A38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g)</w:t>
      </w:r>
      <w:r w:rsidRPr="00796661">
        <w:rPr>
          <w:rFonts w:ascii="Calibri" w:hAnsi="Calibri" w:cs="Calibri"/>
          <w:sz w:val="22"/>
          <w:szCs w:val="22"/>
        </w:rPr>
        <w:tab/>
        <w:t>56. § (2) bekezdés b) pontjában a „Vármegye” szövegrész helyébe a „Megye” szöveg,</w:t>
      </w:r>
    </w:p>
    <w:p w14:paraId="70ECCC19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h)</w:t>
      </w:r>
      <w:r w:rsidRPr="00796661">
        <w:rPr>
          <w:rFonts w:ascii="Calibri" w:hAnsi="Calibri" w:cs="Calibri"/>
          <w:sz w:val="22"/>
          <w:szCs w:val="22"/>
        </w:rPr>
        <w:tab/>
        <w:t>66. § 5. pontjában a „Vármegyei” szövegrész helyébe a „Megyei” szöveg,</w:t>
      </w:r>
    </w:p>
    <w:p w14:paraId="475EDF68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i)</w:t>
      </w:r>
      <w:r w:rsidRPr="00796661">
        <w:rPr>
          <w:rFonts w:ascii="Calibri" w:hAnsi="Calibri" w:cs="Calibri"/>
          <w:sz w:val="22"/>
          <w:szCs w:val="22"/>
        </w:rPr>
        <w:tab/>
        <w:t>68. § 4. pontjában a „vármegyei” szövegrész helyébe a „megyei” szöveg,</w:t>
      </w:r>
    </w:p>
    <w:p w14:paraId="1DAD6A3B" w14:textId="77777777" w:rsidR="0085472E" w:rsidRPr="00796661" w:rsidRDefault="00286BD8">
      <w:pPr>
        <w:pStyle w:val="Szvegtrzs"/>
        <w:spacing w:after="0" w:line="240" w:lineRule="auto"/>
        <w:ind w:left="580" w:hanging="560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i/>
          <w:iCs/>
          <w:sz w:val="22"/>
          <w:szCs w:val="22"/>
        </w:rPr>
        <w:t>j)</w:t>
      </w:r>
      <w:r w:rsidRPr="00796661">
        <w:rPr>
          <w:rFonts w:ascii="Calibri" w:hAnsi="Calibri" w:cs="Calibri"/>
          <w:sz w:val="22"/>
          <w:szCs w:val="22"/>
        </w:rPr>
        <w:tab/>
        <w:t>4. melléklet 25. pontjában a „vármegye” szövegrész helyébe a „megye” szöveg</w:t>
      </w:r>
    </w:p>
    <w:p w14:paraId="20D11DEC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lép.</w:t>
      </w:r>
    </w:p>
    <w:p w14:paraId="11759AF6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5. §</w:t>
      </w:r>
    </w:p>
    <w:p w14:paraId="67C699FE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Hatályát veszti a Rendelet 86. § (3) bekezdése.</w:t>
      </w:r>
    </w:p>
    <w:p w14:paraId="490EA22E" w14:textId="77777777" w:rsidR="0085472E" w:rsidRPr="00796661" w:rsidRDefault="00286BD8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96661">
        <w:rPr>
          <w:rFonts w:ascii="Calibri" w:hAnsi="Calibri" w:cs="Calibri"/>
          <w:b/>
          <w:bCs/>
          <w:sz w:val="22"/>
          <w:szCs w:val="22"/>
        </w:rPr>
        <w:t>6. §</w:t>
      </w:r>
    </w:p>
    <w:p w14:paraId="517090AF" w14:textId="77777777" w:rsidR="0085472E" w:rsidRPr="00796661" w:rsidRDefault="00286BD8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96661">
        <w:rPr>
          <w:rFonts w:ascii="Calibri" w:hAnsi="Calibri" w:cs="Calibri"/>
          <w:sz w:val="22"/>
          <w:szCs w:val="22"/>
        </w:rPr>
        <w:t>Ez a rendelet a kihirdetését követő napon lép hatályba.</w:t>
      </w:r>
    </w:p>
    <w:p w14:paraId="557A1E8B" w14:textId="77777777" w:rsidR="00796661" w:rsidRPr="00796661" w:rsidRDefault="0079666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1112C4C" w14:textId="77777777" w:rsidR="00796661" w:rsidRDefault="0079666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1815D3F0" w14:textId="77777777" w:rsidR="00C51352" w:rsidRDefault="00C51352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B74D057" w14:textId="77777777" w:rsidR="00C51352" w:rsidRPr="00796661" w:rsidRDefault="00C51352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0387673D" w14:textId="77777777" w:rsidR="00796661" w:rsidRPr="00796661" w:rsidRDefault="0079666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5229B58" w14:textId="77777777" w:rsidR="00796661" w:rsidRPr="00796661" w:rsidRDefault="0079666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975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5"/>
        <w:gridCol w:w="4877"/>
      </w:tblGrid>
      <w:tr w:rsidR="0085472E" w:rsidRPr="00796661" w14:paraId="62787910" w14:textId="77777777">
        <w:tc>
          <w:tcPr>
            <w:tcW w:w="4875" w:type="dxa"/>
          </w:tcPr>
          <w:p w14:paraId="666B5879" w14:textId="77777777" w:rsidR="0085472E" w:rsidRPr="00796661" w:rsidRDefault="00286BD8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96661">
              <w:rPr>
                <w:rFonts w:ascii="Calibri" w:hAnsi="Calibri" w:cs="Calibri"/>
                <w:b/>
                <w:bCs/>
                <w:sz w:val="22"/>
                <w:szCs w:val="22"/>
              </w:rPr>
              <w:t>/: Dr. Nemény András :/</w:t>
            </w:r>
            <w:r w:rsidRPr="00796661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polgármester</w:t>
            </w:r>
          </w:p>
        </w:tc>
        <w:tc>
          <w:tcPr>
            <w:tcW w:w="4877" w:type="dxa"/>
          </w:tcPr>
          <w:p w14:paraId="3F2DFE10" w14:textId="77777777" w:rsidR="0085472E" w:rsidRPr="00796661" w:rsidRDefault="00286BD8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96661">
              <w:rPr>
                <w:rFonts w:ascii="Calibri" w:hAnsi="Calibri" w:cs="Calibri"/>
                <w:b/>
                <w:bCs/>
                <w:sz w:val="22"/>
                <w:szCs w:val="22"/>
              </w:rPr>
              <w:t>/: Dr. Károlyi Ákos :/</w:t>
            </w:r>
            <w:r w:rsidRPr="00796661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jegyző</w:t>
            </w:r>
          </w:p>
        </w:tc>
      </w:tr>
    </w:tbl>
    <w:p w14:paraId="42C93F11" w14:textId="77777777" w:rsidR="0085472E" w:rsidRPr="00796661" w:rsidRDefault="0085472E">
      <w:pPr>
        <w:rPr>
          <w:rFonts w:ascii="Calibri" w:hAnsi="Calibri" w:cs="Calibri"/>
          <w:b/>
          <w:bCs/>
          <w:sz w:val="22"/>
          <w:szCs w:val="22"/>
        </w:rPr>
      </w:pPr>
    </w:p>
    <w:sectPr w:rsidR="0085472E" w:rsidRPr="00796661">
      <w:footerReference w:type="even" r:id="rId7"/>
      <w:footerReference w:type="default" r:id="rId8"/>
      <w:footerReference w:type="first" r:id="rId9"/>
      <w:pgSz w:w="11906" w:h="16668"/>
      <w:pgMar w:top="1473" w:right="1077" w:bottom="1474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13C1" w14:textId="77777777" w:rsidR="0034074A" w:rsidRDefault="0034074A">
      <w:r>
        <w:separator/>
      </w:r>
    </w:p>
  </w:endnote>
  <w:endnote w:type="continuationSeparator" w:id="0">
    <w:p w14:paraId="3CFED3DB" w14:textId="77777777" w:rsidR="0034074A" w:rsidRDefault="00340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8670" w14:textId="77777777" w:rsidR="0085472E" w:rsidRDefault="00286B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03D3" w14:textId="77777777" w:rsidR="0085472E" w:rsidRDefault="00286B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3F4C" w14:textId="77777777" w:rsidR="0085472E" w:rsidRDefault="00286BD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B29DD" w14:textId="77777777" w:rsidR="0034074A" w:rsidRDefault="0034074A">
      <w:r>
        <w:separator/>
      </w:r>
    </w:p>
  </w:footnote>
  <w:footnote w:type="continuationSeparator" w:id="0">
    <w:p w14:paraId="168F0DBA" w14:textId="77777777" w:rsidR="0034074A" w:rsidRDefault="00340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53E2B"/>
    <w:multiLevelType w:val="multilevel"/>
    <w:tmpl w:val="4DEE3C0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7975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72E"/>
    <w:rsid w:val="00286BD8"/>
    <w:rsid w:val="0034074A"/>
    <w:rsid w:val="007723B4"/>
    <w:rsid w:val="00796661"/>
    <w:rsid w:val="0085472E"/>
    <w:rsid w:val="008F2314"/>
    <w:rsid w:val="00C51352"/>
    <w:rsid w:val="00FB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5F85"/>
  <w15:docId w15:val="{D7C650A1-B88F-4971-89FC-112BDDE5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Horváth Ildikó dr.</cp:lastModifiedBy>
  <cp:revision>4</cp:revision>
  <cp:lastPrinted>2026-10-15T08:05:00Z</cp:lastPrinted>
  <dcterms:created xsi:type="dcterms:W3CDTF">2026-10-15T08:04:00Z</dcterms:created>
  <dcterms:modified xsi:type="dcterms:W3CDTF">2026-10-15T11:47:00Z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