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22875BD5" w14:textId="77777777" w:rsidR="0052266F" w:rsidRDefault="001129FE" w:rsidP="0052266F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52266F" w:rsidRPr="006521BC">
        <w:rPr>
          <w:rFonts w:ascii="Calibri" w:hAnsi="Calibri" w:cs="Calibri"/>
          <w:b/>
          <w:szCs w:val="22"/>
          <w:u w:val="single"/>
        </w:rPr>
        <w:t>15</w:t>
      </w:r>
      <w:r w:rsidR="0052266F">
        <w:rPr>
          <w:rFonts w:ascii="Calibri" w:hAnsi="Calibri" w:cs="Calibri"/>
          <w:b/>
          <w:szCs w:val="22"/>
          <w:u w:val="single"/>
        </w:rPr>
        <w:t>6</w:t>
      </w:r>
      <w:r w:rsidR="0052266F" w:rsidRPr="00BF2512">
        <w:rPr>
          <w:rFonts w:ascii="Calibri" w:hAnsi="Calibri" w:cs="Calibri"/>
          <w:b/>
          <w:szCs w:val="22"/>
          <w:u w:val="single"/>
        </w:rPr>
        <w:t>/202</w:t>
      </w:r>
      <w:r w:rsidR="0052266F">
        <w:rPr>
          <w:rFonts w:ascii="Calibri" w:hAnsi="Calibri" w:cs="Calibri"/>
          <w:b/>
          <w:szCs w:val="22"/>
          <w:u w:val="single"/>
        </w:rPr>
        <w:t>6</w:t>
      </w:r>
      <w:r w:rsidR="0052266F" w:rsidRPr="00BF2512">
        <w:rPr>
          <w:rFonts w:ascii="Calibri" w:hAnsi="Calibri" w:cs="Calibri"/>
          <w:b/>
          <w:szCs w:val="22"/>
          <w:u w:val="single"/>
        </w:rPr>
        <w:t>. (</w:t>
      </w:r>
      <w:r w:rsidR="0052266F">
        <w:rPr>
          <w:rFonts w:ascii="Calibri" w:hAnsi="Calibri" w:cs="Calibri"/>
          <w:b/>
          <w:szCs w:val="22"/>
          <w:u w:val="single"/>
        </w:rPr>
        <w:t>IX</w:t>
      </w:r>
      <w:r w:rsidR="0052266F" w:rsidRPr="00BF2512">
        <w:rPr>
          <w:rFonts w:ascii="Calibri" w:hAnsi="Calibri" w:cs="Calibri"/>
          <w:b/>
          <w:szCs w:val="22"/>
          <w:u w:val="single"/>
        </w:rPr>
        <w:t>.</w:t>
      </w:r>
      <w:r w:rsidR="0052266F">
        <w:rPr>
          <w:rFonts w:ascii="Calibri" w:hAnsi="Calibri" w:cs="Calibri"/>
          <w:b/>
          <w:szCs w:val="22"/>
          <w:u w:val="single"/>
        </w:rPr>
        <w:t>22</w:t>
      </w:r>
      <w:r w:rsidR="0052266F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3DDABF9D" w14:textId="77777777" w:rsidR="0052266F" w:rsidRPr="00720C92" w:rsidRDefault="0052266F" w:rsidP="0052266F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A Városstratégiai, Idegenforgalmi és Sport Bizottság a „Javaslat Szombathely, Vitéz utcában, valamint a Szőllősi sétányon tervezett magánerős beruházásban megvalósuló várakozóhelyek létesítésével kapcsolatos döntések meghozatalára” című előterjesztést megtárgyalta, és Szombathely Megyei Jogú Város Önkormányzatának Szervezeti és Működési Szabályzatáról szóló 16/2024. (X.10.) önkormányzati rendelet 54. § (1) bekezdés 13</w:t>
      </w:r>
      <w:proofErr w:type="gramStart"/>
      <w:r w:rsidRPr="00720C92">
        <w:rPr>
          <w:rFonts w:asciiTheme="minorHAnsi" w:hAnsiTheme="minorHAnsi" w:cstheme="minorHAnsi"/>
          <w:szCs w:val="22"/>
        </w:rPr>
        <w:t>.,</w:t>
      </w:r>
      <w:proofErr w:type="gramEnd"/>
      <w:r w:rsidRPr="00720C92">
        <w:rPr>
          <w:rFonts w:asciiTheme="minorHAnsi" w:hAnsiTheme="minorHAnsi" w:cstheme="minorHAnsi"/>
          <w:szCs w:val="22"/>
        </w:rPr>
        <w:t xml:space="preserve"> és 25. pontja alapján az alábbi döntést hozta:</w:t>
      </w:r>
    </w:p>
    <w:p w14:paraId="0BF5BD95" w14:textId="77777777" w:rsidR="0052266F" w:rsidRPr="00720C92" w:rsidRDefault="0052266F" w:rsidP="0052266F">
      <w:pPr>
        <w:tabs>
          <w:tab w:val="left" w:pos="1418"/>
          <w:tab w:val="left" w:pos="2552"/>
        </w:tabs>
        <w:spacing w:before="120"/>
        <w:ind w:left="708" w:hanging="708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1.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ab/>
      </w:r>
      <w:proofErr w:type="gramStart"/>
      <w:r w:rsidRPr="00720C92">
        <w:rPr>
          <w:rFonts w:asciiTheme="minorHAnsi" w:hAnsiTheme="minorHAnsi" w:cstheme="minorHAnsi"/>
          <w:szCs w:val="22"/>
        </w:rPr>
        <w:t xml:space="preserve">A Bizottság támogatja, hogy a benyújtott tervdokumentáció szerint a Nyugat-dunántúli Ingatlanbefektetési Kft. beruházásában a Szombathely, Vitéz utcában, és a Szőllősi sétányon tervezett közlekedési létesítmények kiépítésre kerüljenek azzal a feltétellel, hogy a </w:t>
      </w:r>
      <w:proofErr w:type="spellStart"/>
      <w:r w:rsidRPr="00720C92">
        <w:rPr>
          <w:rFonts w:asciiTheme="minorHAnsi" w:hAnsiTheme="minorHAnsi" w:cstheme="minorHAnsi"/>
          <w:szCs w:val="22"/>
        </w:rPr>
        <w:t>parkolófelületek</w:t>
      </w:r>
      <w:proofErr w:type="spellEnd"/>
      <w:r w:rsidRPr="00720C92">
        <w:rPr>
          <w:rFonts w:asciiTheme="minorHAnsi" w:hAnsiTheme="minorHAnsi" w:cstheme="minorHAnsi"/>
          <w:szCs w:val="22"/>
        </w:rPr>
        <w:t xml:space="preserve"> árnyékolását biztosító fásításra - minden megkezdett 6 db várakozóhely után 1 db nagy lombkoronájú, vagy minden megkezdett 4 db várakozóhely után 1 db közepes lombkoronájú környezettűrő, többször iskolázott lombos fa telepítés - kapcsán a Beruházó egyeztessen a Városüzemeltetési és Városfejlesztési Osztály Környezetvédelmi</w:t>
      </w:r>
      <w:proofErr w:type="gramEnd"/>
      <w:r w:rsidRPr="00720C92">
        <w:rPr>
          <w:rFonts w:asciiTheme="minorHAnsi" w:hAnsiTheme="minorHAnsi" w:cstheme="minorHAnsi"/>
          <w:szCs w:val="22"/>
        </w:rPr>
        <w:t xml:space="preserve"> Irodával, és a meghatározott fajtájú, méretű fák ültetésére a várakozóhelyek forgalomba helyezési eljárásáig kerüljön sor.</w:t>
      </w:r>
    </w:p>
    <w:p w14:paraId="6D76C4E8" w14:textId="77777777" w:rsidR="0052266F" w:rsidRPr="00720C92" w:rsidRDefault="0052266F" w:rsidP="0052266F">
      <w:pPr>
        <w:tabs>
          <w:tab w:val="left" w:pos="1418"/>
          <w:tab w:val="left" w:pos="2552"/>
        </w:tabs>
        <w:spacing w:before="120"/>
        <w:ind w:left="708" w:hanging="708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2.</w:t>
      </w:r>
      <w:r w:rsidRPr="00720C92">
        <w:rPr>
          <w:rFonts w:asciiTheme="minorHAnsi" w:hAnsiTheme="minorHAnsi" w:cstheme="minorHAnsi"/>
          <w:szCs w:val="22"/>
        </w:rPr>
        <w:tab/>
        <w:t xml:space="preserve">A Bizottság elrendeli, hogy a tervezett várakozóhelyek kiépítéséhez szükséges közútkezelői hozzájárulásban kerüljön előírásra, hogy a Szőllősi sétányon kialakításra kerülő várakozóhelyek kiépítésük után, a sikeres forgalomba helyezési eljárással Szombathely Megyei Jogú Város Önkormányzata részére térítésmentesen kerüljenek tulajdonba és kezelésre átadásra. A Vitéz utca érintettségével tervezett parkolók a közforgalom számára legyenek nyitottak, azonban azok kiépülte után maradjanak a beruházó tulajdonában és kezelésében. </w:t>
      </w:r>
    </w:p>
    <w:p w14:paraId="006CF8F0" w14:textId="77777777" w:rsidR="0052266F" w:rsidRPr="00720C92" w:rsidRDefault="0052266F" w:rsidP="0052266F">
      <w:pPr>
        <w:tabs>
          <w:tab w:val="left" w:pos="1418"/>
          <w:tab w:val="left" w:pos="2552"/>
        </w:tabs>
        <w:spacing w:before="120"/>
        <w:ind w:left="708" w:hanging="708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>3.</w:t>
      </w:r>
      <w:r w:rsidRPr="00720C92">
        <w:rPr>
          <w:rFonts w:asciiTheme="minorHAnsi" w:hAnsiTheme="minorHAnsi" w:cstheme="minorHAnsi"/>
          <w:szCs w:val="22"/>
        </w:rPr>
        <w:tab/>
        <w:t>A Bizottság támogatja, hogy a kertvárosi lakóövezet parkolási rendjének szabályozására a várakozóhelyek kiépültével a Szőllősi sétány 26/A. szám alatti ingatlan Vitéz utca felőli déli oldalon a Vitéz utcára vonatkozóan a beruházó helyezzen ki a KRESZ 15. § (1) bekezdés a) pont szerinti „Megállni tilos” közúti jelzőtáblát.</w:t>
      </w:r>
    </w:p>
    <w:p w14:paraId="6F96BE04" w14:textId="77777777" w:rsidR="0052266F" w:rsidRPr="00720C92" w:rsidRDefault="0052266F" w:rsidP="0052266F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</w:p>
    <w:p w14:paraId="05048D74" w14:textId="77777777" w:rsidR="0052266F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DE0692">
        <w:rPr>
          <w:rFonts w:asciiTheme="minorHAnsi" w:hAnsiTheme="minorHAnsi" w:cstheme="minorHAnsi"/>
          <w:b/>
          <w:szCs w:val="22"/>
          <w:u w:val="single"/>
        </w:rPr>
        <w:t>Felelős:</w:t>
      </w:r>
      <w:r w:rsidRPr="00720C92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720C92">
        <w:rPr>
          <w:rFonts w:asciiTheme="minorHAnsi" w:hAnsiTheme="minorHAnsi" w:cstheme="minorHAnsi"/>
          <w:szCs w:val="22"/>
        </w:rPr>
        <w:t>Nemény</w:t>
      </w:r>
      <w:proofErr w:type="spellEnd"/>
      <w:r w:rsidRPr="00720C92">
        <w:rPr>
          <w:rFonts w:asciiTheme="minorHAnsi" w:hAnsiTheme="minorHAnsi" w:cstheme="minorHAnsi"/>
          <w:szCs w:val="22"/>
        </w:rPr>
        <w:t xml:space="preserve"> András polgármester</w:t>
      </w:r>
    </w:p>
    <w:p w14:paraId="1AB34CAC" w14:textId="77777777" w:rsidR="0052266F" w:rsidRPr="00720C92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720C92">
        <w:rPr>
          <w:rFonts w:asciiTheme="minorHAnsi" w:hAnsiTheme="minorHAnsi" w:cstheme="minorHAnsi"/>
          <w:szCs w:val="22"/>
        </w:rPr>
        <w:t>Horváth Soma, alpolgármester</w:t>
      </w:r>
    </w:p>
    <w:p w14:paraId="6B91186E" w14:textId="77777777" w:rsidR="0052266F" w:rsidRPr="00720C92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 w:rsidRPr="00720C92"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38632BC6" w14:textId="77777777" w:rsidR="0052266F" w:rsidRPr="00720C92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4F930F7D" w14:textId="77777777" w:rsidR="0052266F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ab/>
      </w:r>
      <w:proofErr w:type="gramStart"/>
      <w:r w:rsidRPr="00720C92">
        <w:rPr>
          <w:rFonts w:asciiTheme="minorHAnsi" w:hAnsiTheme="minorHAnsi" w:cstheme="minorHAnsi"/>
          <w:szCs w:val="22"/>
        </w:rPr>
        <w:t>dr.</w:t>
      </w:r>
      <w:proofErr w:type="gramEnd"/>
      <w:r w:rsidRPr="00720C92">
        <w:rPr>
          <w:rFonts w:asciiTheme="minorHAnsi" w:hAnsiTheme="minorHAnsi" w:cstheme="minorHAnsi"/>
          <w:szCs w:val="22"/>
        </w:rPr>
        <w:t xml:space="preserve"> Gyuráczné dr. Speier Anikó, a Városüzemeltetési és Városfejlesztési Osztály vezetője)</w:t>
      </w:r>
    </w:p>
    <w:p w14:paraId="57C60FF7" w14:textId="77777777" w:rsidR="0052266F" w:rsidRPr="00720C92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</w:p>
    <w:p w14:paraId="645F6399" w14:textId="77777777" w:rsidR="0052266F" w:rsidRPr="00720C92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DE0692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720C92">
        <w:rPr>
          <w:rFonts w:asciiTheme="minorHAnsi" w:hAnsiTheme="minorHAnsi" w:cstheme="minorHAnsi"/>
          <w:szCs w:val="22"/>
        </w:rPr>
        <w:tab/>
        <w:t>1. pont:</w:t>
      </w:r>
      <w:r w:rsidRPr="00720C92">
        <w:rPr>
          <w:rFonts w:asciiTheme="minorHAnsi" w:hAnsiTheme="minorHAnsi" w:cstheme="minorHAnsi"/>
          <w:szCs w:val="22"/>
        </w:rPr>
        <w:tab/>
        <w:t>azonnal</w:t>
      </w:r>
    </w:p>
    <w:p w14:paraId="3A7CE1DD" w14:textId="77777777" w:rsidR="0052266F" w:rsidRPr="00720C92" w:rsidRDefault="0052266F" w:rsidP="0052266F">
      <w:pPr>
        <w:ind w:left="1134" w:hanging="1134"/>
        <w:jc w:val="both"/>
        <w:rPr>
          <w:rFonts w:asciiTheme="minorHAnsi" w:hAnsiTheme="minorHAnsi" w:cstheme="minorHAnsi"/>
          <w:szCs w:val="22"/>
        </w:rPr>
      </w:pPr>
      <w:r w:rsidRPr="00720C92">
        <w:rPr>
          <w:rFonts w:asciiTheme="minorHAnsi" w:hAnsiTheme="minorHAnsi" w:cstheme="minorHAnsi"/>
          <w:szCs w:val="22"/>
        </w:rPr>
        <w:tab/>
        <w:t>2</w:t>
      </w:r>
      <w:proofErr w:type="gramStart"/>
      <w:r w:rsidRPr="00720C92">
        <w:rPr>
          <w:rFonts w:asciiTheme="minorHAnsi" w:hAnsiTheme="minorHAnsi" w:cstheme="minorHAnsi"/>
          <w:szCs w:val="22"/>
        </w:rPr>
        <w:t>.,</w:t>
      </w:r>
      <w:proofErr w:type="gramEnd"/>
      <w:r w:rsidRPr="00720C92">
        <w:rPr>
          <w:rFonts w:asciiTheme="minorHAnsi" w:hAnsiTheme="minorHAnsi" w:cstheme="minorHAnsi"/>
          <w:szCs w:val="22"/>
        </w:rPr>
        <w:t>3. pont:</w:t>
      </w:r>
      <w:r w:rsidRPr="00720C92">
        <w:rPr>
          <w:rFonts w:asciiTheme="minorHAnsi" w:hAnsiTheme="minorHAnsi" w:cstheme="minorHAnsi"/>
          <w:szCs w:val="22"/>
        </w:rPr>
        <w:tab/>
        <w:t>várakozóhelyek forgalomba helyezési eljárása</w:t>
      </w:r>
    </w:p>
    <w:p w14:paraId="57CA46E9" w14:textId="37827320" w:rsidR="003269D5" w:rsidRPr="00232649" w:rsidRDefault="003269D5" w:rsidP="0052266F">
      <w:pPr>
        <w:ind w:left="2124" w:firstLine="708"/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  <w:r w:rsidRPr="006521BC">
        <w:rPr>
          <w:rFonts w:asciiTheme="minorHAnsi" w:hAnsiTheme="minorHAnsi" w:cstheme="minorHAnsi"/>
          <w:bCs/>
          <w:szCs w:val="22"/>
        </w:rPr>
        <w:t xml:space="preserve"> </w:t>
      </w:r>
    </w:p>
    <w:p w14:paraId="06681FDA" w14:textId="2A348A09" w:rsidR="00D900C4" w:rsidRDefault="00D900C4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2266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54B59"/>
    <w:multiLevelType w:val="hybridMultilevel"/>
    <w:tmpl w:val="4484F41C"/>
    <w:lvl w:ilvl="0" w:tplc="AC8CF6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8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4"/>
  </w:num>
  <w:num w:numId="11">
    <w:abstractNumId w:val="26"/>
  </w:num>
  <w:num w:numId="12">
    <w:abstractNumId w:val="1"/>
  </w:num>
  <w:num w:numId="13">
    <w:abstractNumId w:val="8"/>
  </w:num>
  <w:num w:numId="14">
    <w:abstractNumId w:val="1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9"/>
  </w:num>
  <w:num w:numId="21">
    <w:abstractNumId w:val="0"/>
  </w:num>
  <w:num w:numId="22">
    <w:abstractNumId w:val="4"/>
  </w:num>
  <w:num w:numId="23">
    <w:abstractNumId w:val="3"/>
  </w:num>
  <w:num w:numId="24">
    <w:abstractNumId w:val="27"/>
  </w:num>
  <w:num w:numId="25">
    <w:abstractNumId w:val="22"/>
  </w:num>
  <w:num w:numId="26">
    <w:abstractNumId w:val="20"/>
  </w:num>
  <w:num w:numId="27">
    <w:abstractNumId w:val="11"/>
  </w:num>
  <w:num w:numId="28">
    <w:abstractNumId w:val="23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0F2898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2266F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41807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2026-09-22T12:38:00Z</cp:lastPrinted>
  <dcterms:created xsi:type="dcterms:W3CDTF">2026-09-22T12:38:00Z</dcterms:created>
  <dcterms:modified xsi:type="dcterms:W3CDTF">2026-09-22T12:38:00Z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