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A8BA" w14:textId="77777777" w:rsidR="00806365" w:rsidRPr="002D312D" w:rsidRDefault="00806365" w:rsidP="00806365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224/2026. (IX.21.) GJB számú határozat</w:t>
      </w:r>
    </w:p>
    <w:p w14:paraId="59D8DBA2" w14:textId="77777777" w:rsidR="00806365" w:rsidRPr="002D312D" w:rsidRDefault="00806365" w:rsidP="00806365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F6EBDA0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Kutyamenhely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Alapítvány 2025. évi működéséről készült beszámoló tudomásul vételéről szóló IV. határozati javaslatot az előterjesztésben foglaltak szerint javasolja a Közgyűlésnek elfogadásra.</w:t>
      </w:r>
    </w:p>
    <w:p w14:paraId="066D92EC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</w:p>
    <w:p w14:paraId="34AA1B83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CEE37C5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9DE6FD5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4575348A" w14:textId="77777777" w:rsidR="00806365" w:rsidRPr="002D312D" w:rsidRDefault="00806365" w:rsidP="00806365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Kronekker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Veronika,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Kutyamenhely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Alapítvány Kuratóriumának elnöke/</w:t>
      </w:r>
    </w:p>
    <w:p w14:paraId="3C6D7D22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</w:p>
    <w:p w14:paraId="4F664383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138E158" w14:textId="77777777" w:rsidR="00806365" w:rsidRPr="002D312D" w:rsidRDefault="00806365" w:rsidP="00806365">
      <w:pPr>
        <w:jc w:val="both"/>
        <w:rPr>
          <w:rFonts w:asciiTheme="minorHAnsi" w:hAnsiTheme="minorHAnsi" w:cstheme="minorHAnsi"/>
          <w:bCs/>
          <w:szCs w:val="22"/>
        </w:rPr>
      </w:pPr>
    </w:p>
    <w:p w14:paraId="01F4976C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65"/>
    <w:rsid w:val="006B4B71"/>
    <w:rsid w:val="00806365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6221"/>
  <w15:chartTrackingRefBased/>
  <w15:docId w15:val="{7FCF98B1-1B20-4C8B-A2EF-0DBE88AF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636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06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06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063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063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063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063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063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063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063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06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06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06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0636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0636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0636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0636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0636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0636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063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806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063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806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06365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80636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06365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80636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06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0636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063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8919B-67CA-4050-B262-F0A7E0A6C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DD30DD-0A7C-4D44-A163-0194B4B7D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607F3E-8F98-4C15-94D2-D2734ABD24A7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565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