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D64F" w14:textId="77777777" w:rsidR="00560FB2" w:rsidRPr="0023216D" w:rsidRDefault="00560FB2" w:rsidP="00560FB2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50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/2026. (V.27.) S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Z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ÖNT számú határozat</w:t>
      </w:r>
    </w:p>
    <w:p w14:paraId="032386AB" w14:textId="77777777" w:rsidR="00560FB2" w:rsidRPr="0023216D" w:rsidRDefault="00560FB2" w:rsidP="00560FB2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4F20C2A" w14:textId="77777777" w:rsidR="00560FB2" w:rsidRPr="0023216D" w:rsidRDefault="00560FB2" w:rsidP="00560FB2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3216D">
        <w:rPr>
          <w:rFonts w:ascii="Calibri" w:hAnsi="Calibri" w:cs="Calibri"/>
          <w:szCs w:val="22"/>
        </w:rPr>
        <w:t xml:space="preserve">A </w:t>
      </w:r>
      <w:r w:rsidRPr="0023216D">
        <w:rPr>
          <w:rFonts w:ascii="Calibri" w:hAnsi="Calibri" w:cs="Calibri"/>
        </w:rPr>
        <w:t>Szellemi Örökség, Nemzetiségi és Térségi Kapcsolatok Szakmai Bizottsága</w:t>
      </w:r>
      <w:r w:rsidRPr="0023216D">
        <w:rPr>
          <w:rFonts w:ascii="Calibri" w:hAnsi="Calibri" w:cs="Calibri"/>
          <w:b/>
          <w:bCs/>
        </w:rPr>
        <w:t xml:space="preserve"> </w:t>
      </w:r>
      <w:r w:rsidRPr="0023216D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</w:t>
      </w:r>
      <w:r w:rsidRPr="0023216D">
        <w:rPr>
          <w:rFonts w:ascii="Calibri" w:hAnsi="Calibri" w:cs="Calibri"/>
        </w:rPr>
        <w:t>és a Szombathely Megyei Jogú Város Önkormányzatának Szervezeti és Működési Szabályzatáról szóló 16/2024. (X.10.) önkormányzati rendelet 68.§ 4. pontjában meghatározott feladatkörében tudomásul veszi</w:t>
      </w:r>
      <w:r w:rsidRPr="0023216D">
        <w:rPr>
          <w:rFonts w:ascii="Calibri" w:hAnsi="Calibri" w:cs="Calibri"/>
          <w:szCs w:val="22"/>
        </w:rPr>
        <w:t xml:space="preserve">, hogy a Savaria Múzeum - hivatkozva  a Gazdasági és Jogi Bizottság </w:t>
      </w:r>
      <w:r>
        <w:rPr>
          <w:rFonts w:ascii="Calibri" w:hAnsi="Calibri" w:cs="Calibri"/>
          <w:szCs w:val="22"/>
        </w:rPr>
        <w:t>155</w:t>
      </w:r>
      <w:r w:rsidRPr="0023216D">
        <w:rPr>
          <w:rFonts w:ascii="Calibri" w:hAnsi="Calibri" w:cs="Calibri"/>
          <w:szCs w:val="22"/>
        </w:rPr>
        <w:t>/2026. (V.26.) GJB számú határozatára részt vegyen a „</w:t>
      </w:r>
      <w:r w:rsidRPr="0023216D">
        <w:rPr>
          <w:rFonts w:ascii="Calibri" w:hAnsi="Calibri" w:cs="Calibri"/>
          <w:b/>
          <w:bCs/>
          <w:szCs w:val="22"/>
        </w:rPr>
        <w:t>Bíró Szilvia részvételére az „</w:t>
      </w:r>
      <w:proofErr w:type="spellStart"/>
      <w:r w:rsidRPr="0023216D">
        <w:rPr>
          <w:rFonts w:ascii="Calibri" w:hAnsi="Calibri" w:cs="Calibri"/>
          <w:b/>
          <w:bCs/>
          <w:szCs w:val="22"/>
        </w:rPr>
        <w:t>Aux</w:t>
      </w:r>
      <w:proofErr w:type="spellEnd"/>
      <w:r w:rsidRPr="0023216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216D">
        <w:rPr>
          <w:rFonts w:ascii="Calibri" w:hAnsi="Calibri" w:cs="Calibri"/>
          <w:b/>
          <w:bCs/>
          <w:szCs w:val="22"/>
        </w:rPr>
        <w:t>sources</w:t>
      </w:r>
      <w:proofErr w:type="spellEnd"/>
      <w:r w:rsidRPr="0023216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216D">
        <w:rPr>
          <w:rFonts w:ascii="Calibri" w:hAnsi="Calibri" w:cs="Calibri"/>
          <w:b/>
          <w:bCs/>
          <w:szCs w:val="22"/>
        </w:rPr>
        <w:t>des</w:t>
      </w:r>
      <w:proofErr w:type="spellEnd"/>
      <w:r w:rsidRPr="0023216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216D">
        <w:rPr>
          <w:rFonts w:ascii="Calibri" w:hAnsi="Calibri" w:cs="Calibri"/>
          <w:b/>
          <w:bCs/>
          <w:szCs w:val="22"/>
        </w:rPr>
        <w:t>cultes</w:t>
      </w:r>
      <w:proofErr w:type="spellEnd"/>
      <w:r w:rsidRPr="0023216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23216D">
        <w:rPr>
          <w:rFonts w:ascii="Calibri" w:hAnsi="Calibri" w:cs="Calibri"/>
          <w:b/>
          <w:bCs/>
          <w:szCs w:val="22"/>
        </w:rPr>
        <w:t>isiaques</w:t>
      </w:r>
      <w:proofErr w:type="spellEnd"/>
      <w:r w:rsidRPr="0023216D">
        <w:rPr>
          <w:rFonts w:ascii="Calibri" w:hAnsi="Calibri" w:cs="Calibri"/>
          <w:b/>
          <w:bCs/>
          <w:szCs w:val="22"/>
        </w:rPr>
        <w:t xml:space="preserve">” c. nemzetközi konferencián a belgiumi </w:t>
      </w:r>
      <w:proofErr w:type="spellStart"/>
      <w:r w:rsidRPr="0023216D">
        <w:rPr>
          <w:rFonts w:ascii="Calibri" w:hAnsi="Calibri" w:cs="Calibri"/>
          <w:b/>
          <w:bCs/>
          <w:szCs w:val="22"/>
        </w:rPr>
        <w:t>Morlanwelzben</w:t>
      </w:r>
      <w:proofErr w:type="spellEnd"/>
      <w:r w:rsidRPr="0023216D">
        <w:rPr>
          <w:rFonts w:ascii="Calibri" w:hAnsi="Calibri" w:cs="Calibri"/>
          <w:szCs w:val="22"/>
        </w:rPr>
        <w:t>” című projektjével a Nemzeti Kulturális Alap – Épített Örökség Kollégiuma (Régészet szakterület) által meghirdetett, önrészt nem igénylő pályázatán.</w:t>
      </w:r>
    </w:p>
    <w:p w14:paraId="54C96A05" w14:textId="77777777" w:rsidR="00560FB2" w:rsidRPr="0023216D" w:rsidRDefault="00560FB2" w:rsidP="00560FB2">
      <w:pPr>
        <w:tabs>
          <w:tab w:val="left" w:pos="2127"/>
        </w:tabs>
        <w:jc w:val="both"/>
        <w:rPr>
          <w:rFonts w:ascii="Calibri" w:hAnsi="Calibri" w:cs="Calibri"/>
        </w:rPr>
      </w:pPr>
      <w:r w:rsidRPr="0023216D">
        <w:rPr>
          <w:rFonts w:ascii="Calibri" w:hAnsi="Calibri" w:cs="Calibri"/>
        </w:rPr>
        <w:t xml:space="preserve"> </w:t>
      </w:r>
    </w:p>
    <w:p w14:paraId="4DF52C94" w14:textId="77777777" w:rsidR="00560FB2" w:rsidRPr="0023216D" w:rsidRDefault="00560FB2" w:rsidP="00560FB2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23216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51BC1476" w14:textId="77777777" w:rsidR="00560FB2" w:rsidRPr="0023216D" w:rsidRDefault="00560FB2" w:rsidP="00560FB2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  <w:t>Horváth Soma alpolgármester</w:t>
      </w:r>
    </w:p>
    <w:p w14:paraId="3769E5E2" w14:textId="77777777" w:rsidR="00560FB2" w:rsidRPr="0023216D" w:rsidRDefault="00560FB2" w:rsidP="00560FB2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bCs/>
          <w:szCs w:val="22"/>
        </w:rPr>
        <w:t>(a végrehajtás előkészítéséért:</w:t>
      </w:r>
    </w:p>
    <w:p w14:paraId="74A4E1F8" w14:textId="77777777" w:rsidR="00560FB2" w:rsidRPr="0023216D" w:rsidRDefault="00560FB2" w:rsidP="00560FB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47DE33F" w14:textId="77777777" w:rsidR="00560FB2" w:rsidRPr="0023216D" w:rsidRDefault="00560FB2" w:rsidP="00560FB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C83E758" w14:textId="77777777" w:rsidR="00560FB2" w:rsidRPr="0023216D" w:rsidRDefault="00560FB2" w:rsidP="00560FB2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B4ECD66" w14:textId="77777777" w:rsidR="00560FB2" w:rsidRPr="0023216D" w:rsidRDefault="00560FB2" w:rsidP="00560FB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>Határidő</w:t>
      </w:r>
      <w:r w:rsidRPr="0023216D">
        <w:rPr>
          <w:rFonts w:ascii="Calibri" w:hAnsi="Calibri" w:cs="Calibri"/>
          <w:b/>
          <w:bCs/>
          <w:szCs w:val="22"/>
        </w:rPr>
        <w:t>:</w:t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szCs w:val="22"/>
        </w:rPr>
        <w:t>azonnal</w:t>
      </w:r>
    </w:p>
    <w:p w14:paraId="70744AF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B2"/>
    <w:rsid w:val="00037819"/>
    <w:rsid w:val="00560FB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5A04"/>
  <w15:chartTrackingRefBased/>
  <w15:docId w15:val="{36DBF631-6C90-4D42-8D75-A34C6BB6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0FB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0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0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0F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0F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0F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0F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0F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0F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0F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0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0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0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0FB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0FB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0F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0F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0F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0F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0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6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0F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60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0FB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60F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0FB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60FB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0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0FB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0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3F19C-A30D-4DE2-A812-3AE08F57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757B6-365D-4510-832C-D4C0675C2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134FA-2716-4974-97B0-42D1157B9F02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