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8F7F" w14:textId="77777777" w:rsidR="006E58D0" w:rsidRPr="002E4CB6" w:rsidRDefault="006E58D0" w:rsidP="006E58D0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317/2025. (IX.26.) GJB számú határozat</w:t>
      </w:r>
    </w:p>
    <w:p w14:paraId="4CF2F678" w14:textId="77777777" w:rsidR="006E58D0" w:rsidRPr="002E4CB6" w:rsidRDefault="006E58D0" w:rsidP="006E58D0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1FE632B0" w14:textId="77777777" w:rsidR="006E58D0" w:rsidRPr="002E4CB6" w:rsidRDefault="006E58D0" w:rsidP="006E58D0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</w:t>
      </w:r>
      <w:r w:rsidRPr="002E4CB6">
        <w:rPr>
          <w:rFonts w:ascii="Calibri" w:hAnsi="Calibri" w:cs="Calibri"/>
          <w:b/>
          <w:bCs/>
          <w:color w:val="000000"/>
          <w:szCs w:val="22"/>
        </w:rPr>
        <w:t>Rákóczi F. u. 14. fszt.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1.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6353/A/1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33.345.000</w:t>
      </w:r>
      <w:r w:rsidRPr="002E4CB6">
        <w:rPr>
          <w:rFonts w:ascii="Calibri" w:hAnsi="Calibri" w:cs="Calibri"/>
          <w:color w:val="000000"/>
          <w:szCs w:val="22"/>
        </w:rPr>
        <w:t>,-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6.700.000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 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5D333C4A" w14:textId="77777777" w:rsidR="006E58D0" w:rsidRPr="002E4CB6" w:rsidRDefault="006E58D0" w:rsidP="006E58D0">
      <w:pPr>
        <w:jc w:val="both"/>
        <w:rPr>
          <w:rFonts w:ascii="Calibri" w:hAnsi="Calibri" w:cs="Calibri"/>
          <w:szCs w:val="22"/>
        </w:rPr>
      </w:pPr>
    </w:p>
    <w:p w14:paraId="119CBF1F" w14:textId="77777777" w:rsidR="006E58D0" w:rsidRPr="002E4CB6" w:rsidRDefault="006E58D0" w:rsidP="006E58D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455CD2BE" w14:textId="77777777" w:rsidR="006E58D0" w:rsidRPr="002E4CB6" w:rsidRDefault="006E58D0" w:rsidP="006E58D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50D8BA2" w14:textId="77777777" w:rsidR="006E58D0" w:rsidRPr="002E4CB6" w:rsidRDefault="006E58D0" w:rsidP="006E58D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3B279B4" w14:textId="77777777" w:rsidR="006E58D0" w:rsidRPr="002E4CB6" w:rsidRDefault="006E58D0" w:rsidP="006E58D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0F3BC8B" w14:textId="77777777" w:rsidR="006E58D0" w:rsidRPr="002E4CB6" w:rsidRDefault="006E58D0" w:rsidP="006E58D0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1194E549" w14:textId="77777777" w:rsidR="006E58D0" w:rsidRPr="002E4CB6" w:rsidRDefault="006E58D0" w:rsidP="006E58D0">
      <w:pPr>
        <w:jc w:val="both"/>
        <w:rPr>
          <w:rFonts w:ascii="Calibri" w:hAnsi="Calibri" w:cs="Calibri"/>
          <w:szCs w:val="22"/>
        </w:rPr>
      </w:pPr>
    </w:p>
    <w:p w14:paraId="182CCB42" w14:textId="77777777" w:rsidR="006E58D0" w:rsidRPr="002E4CB6" w:rsidRDefault="006E58D0" w:rsidP="006E58D0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97E5D2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D0"/>
    <w:rsid w:val="006E58D0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65A8"/>
  <w15:chartTrackingRefBased/>
  <w15:docId w15:val="{E476B154-9C53-40E5-B701-D496308D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58D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E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58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58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58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58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58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58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58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5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5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58D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58D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58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58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58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58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5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E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58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E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58D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E58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58D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E58D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5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58D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5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44A1D4-FF27-41E7-A61C-18D822D37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DBA440-D17A-44C7-B384-4C409D7B2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C1F60-0E29-4013-8657-8446973FAA0A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2025-09-29T11:54:00Z</dcterms:created>
  <dcterms:modified xsi:type="dcterms:W3CDTF">2025-09-29T11:54:00Z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