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46A8" w14:textId="77777777" w:rsidR="001067EA" w:rsidRPr="002E4CB6" w:rsidRDefault="001067EA" w:rsidP="001067EA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311/2025. (IX.26.) GJB számú határozat</w:t>
      </w:r>
    </w:p>
    <w:p w14:paraId="12A28655" w14:textId="77777777" w:rsidR="001067EA" w:rsidRPr="002E4CB6" w:rsidRDefault="001067EA" w:rsidP="001067EA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0008228E" w14:textId="77777777" w:rsidR="001067EA" w:rsidRPr="002E4CB6" w:rsidRDefault="001067EA" w:rsidP="001067EA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Szombathely,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Rohonci u. 19. V/22.</w:t>
      </w:r>
      <w:r w:rsidRPr="002E4CB6">
        <w:rPr>
          <w:rFonts w:ascii="Calibri" w:hAnsi="Calibri" w:cs="Calibri"/>
          <w:szCs w:val="22"/>
        </w:rPr>
        <w:t xml:space="preserve"> szám alatti, </w:t>
      </w:r>
      <w:r w:rsidRPr="002E4CB6">
        <w:rPr>
          <w:rFonts w:ascii="Calibri" w:hAnsi="Calibri" w:cs="Calibri"/>
          <w:color w:val="000000"/>
          <w:szCs w:val="22"/>
        </w:rPr>
        <w:t>3587/23/A/66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color w:val="000000"/>
          <w:szCs w:val="22"/>
        </w:rPr>
        <w:t>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26.410.000,-Ft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önkormányzat tulajdonában lévő lakások elidegenítésének szabályairól szóló 8/2025. (III. 28.) önkormányzati rendelet szabályai alapján – </w:t>
      </w:r>
      <w:r w:rsidRPr="002E4CB6">
        <w:rPr>
          <w:rFonts w:ascii="Calibri" w:hAnsi="Calibri" w:cs="Calibri"/>
          <w:color w:val="000000"/>
          <w:szCs w:val="22"/>
        </w:rPr>
        <w:t>5.282.000</w:t>
      </w:r>
      <w:r w:rsidRPr="002E4CB6">
        <w:rPr>
          <w:rFonts w:ascii="Calibri" w:hAnsi="Calibri" w:cs="Calibri"/>
          <w:szCs w:val="22"/>
        </w:rPr>
        <w:t>,-</w:t>
      </w:r>
      <w:r w:rsidRPr="002E4CB6">
        <w:rPr>
          <w:rFonts w:ascii="Calibri" w:hAnsi="Calibri" w:cs="Calibri"/>
          <w:color w:val="000000"/>
          <w:szCs w:val="22"/>
        </w:rPr>
        <w:t xml:space="preserve"> 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5322537D" w14:textId="77777777" w:rsidR="001067EA" w:rsidRPr="002E4CB6" w:rsidRDefault="001067EA" w:rsidP="001067EA">
      <w:pPr>
        <w:jc w:val="both"/>
        <w:rPr>
          <w:rFonts w:ascii="Calibri" w:hAnsi="Calibri" w:cs="Calibri"/>
          <w:szCs w:val="22"/>
        </w:rPr>
      </w:pPr>
    </w:p>
    <w:p w14:paraId="66E9BB33" w14:textId="77777777" w:rsidR="001067EA" w:rsidRPr="002E4CB6" w:rsidRDefault="001067EA" w:rsidP="001067EA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2FBF845F" w14:textId="77777777" w:rsidR="001067EA" w:rsidRPr="002E4CB6" w:rsidRDefault="001067EA" w:rsidP="001067EA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6145F91E" w14:textId="77777777" w:rsidR="001067EA" w:rsidRPr="002E4CB6" w:rsidRDefault="001067EA" w:rsidP="001067EA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5472CE1C" w14:textId="77777777" w:rsidR="001067EA" w:rsidRPr="002E4CB6" w:rsidRDefault="001067EA" w:rsidP="001067EA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5359FCAF" w14:textId="77777777" w:rsidR="001067EA" w:rsidRPr="002E4CB6" w:rsidRDefault="001067EA" w:rsidP="001067EA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3E3FB0B9" w14:textId="77777777" w:rsidR="001067EA" w:rsidRPr="002E4CB6" w:rsidRDefault="001067EA" w:rsidP="001067EA">
      <w:pPr>
        <w:jc w:val="both"/>
        <w:rPr>
          <w:rFonts w:ascii="Calibri" w:hAnsi="Calibri" w:cs="Calibri"/>
          <w:szCs w:val="22"/>
        </w:rPr>
      </w:pPr>
    </w:p>
    <w:p w14:paraId="2C6B794F" w14:textId="77777777" w:rsidR="001067EA" w:rsidRPr="002E4CB6" w:rsidRDefault="001067EA" w:rsidP="001067EA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321985D8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A"/>
    <w:rsid w:val="001067EA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8807"/>
  <w15:chartTrackingRefBased/>
  <w15:docId w15:val="{3AA6185E-694B-4B1D-993A-E6712DE5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67E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0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0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067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67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67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067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067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067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067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6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06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067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67E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067E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067E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067E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67E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067E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067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0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067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0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067E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067E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067E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067E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06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067E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06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DD1C2-8C00-4D3F-A5F8-6419FAEFA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B2EC67-4FE1-4D22-A5EB-CCA21D8AB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1CAF5-BEA6-4E64-9536-2914D533B059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711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2025-09-29T11:50:00Z</dcterms:created>
  <dcterms:modified xsi:type="dcterms:W3CDTF">2025-09-29T11:52:00Z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