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27E47AEC" w14:textId="77777777" w:rsidR="00E413B3" w:rsidRPr="00063C08" w:rsidRDefault="00E413B3" w:rsidP="00E413B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34C7F63" w14:textId="77777777" w:rsidR="00E413B3" w:rsidRDefault="00E413B3" w:rsidP="00E413B3">
      <w:pPr>
        <w:rPr>
          <w:rFonts w:ascii="Calibri" w:hAnsi="Calibri" w:cs="Calibri"/>
          <w:iCs/>
          <w:szCs w:val="22"/>
        </w:rPr>
      </w:pPr>
    </w:p>
    <w:p w14:paraId="28BFAFAA" w14:textId="77777777" w:rsidR="00E413B3" w:rsidRDefault="00E413B3" w:rsidP="00E413B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SZOVA </w:t>
      </w:r>
      <w:proofErr w:type="spellStart"/>
      <w:r>
        <w:rPr>
          <w:rFonts w:asciiTheme="minorHAnsi" w:hAnsiTheme="minorHAnsi" w:cstheme="minorHAnsi"/>
          <w:bCs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Cs w:val="22"/>
        </w:rPr>
        <w:t>. 2024. évi üzleti tervének jóváhagyásáról, a munkavállalók béremeléséről, a 2024. évi beruházási terv jóváhagyásáról, a fizető parkolási rendszer üzemeltetési díjának, a köztisztasági és útépítési szolgáltatások díjának emeléséről, valamint az önkormányzati bérlakások felújítására és karbantartására előleg biztosításáról szóló X. határozati javaslatot az előterjesztésben foglaltak szerint javasolja a Közgyűlésnek elfogadásra.</w:t>
      </w:r>
    </w:p>
    <w:p w14:paraId="5CC2D72A" w14:textId="77777777" w:rsidR="00E413B3" w:rsidRDefault="00E413B3" w:rsidP="00E413B3">
      <w:pPr>
        <w:rPr>
          <w:rFonts w:ascii="Calibri" w:hAnsi="Calibri" w:cs="Calibri"/>
          <w:iCs/>
          <w:szCs w:val="22"/>
        </w:rPr>
      </w:pPr>
    </w:p>
    <w:p w14:paraId="39C53EE6" w14:textId="77777777" w:rsidR="00E413B3" w:rsidRDefault="00E413B3" w:rsidP="00E413B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F0AD2D2" w14:textId="77777777" w:rsidR="00E413B3" w:rsidRDefault="00E413B3" w:rsidP="00E413B3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D46B741" w14:textId="77777777" w:rsidR="00E413B3" w:rsidRDefault="00E413B3" w:rsidP="00E413B3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5CF100D8" w14:textId="77777777" w:rsidR="00E413B3" w:rsidRDefault="00E413B3" w:rsidP="00E413B3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24BA3C35" w14:textId="77777777" w:rsidR="00E413B3" w:rsidRDefault="00E413B3" w:rsidP="00E413B3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17A479A6" w14:textId="77777777" w:rsidR="00E413B3" w:rsidRDefault="00E413B3" w:rsidP="00E413B3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Kovács Cecília, a társaság vezérigazgatója</w:t>
      </w:r>
      <w:r>
        <w:rPr>
          <w:rFonts w:ascii="Calibri" w:eastAsia="Arial" w:hAnsi="Calibri" w:cs="Calibri"/>
          <w:szCs w:val="22"/>
        </w:rPr>
        <w:t>/</w:t>
      </w:r>
    </w:p>
    <w:p w14:paraId="1BDB9838" w14:textId="77777777" w:rsidR="00E413B3" w:rsidRDefault="00E413B3" w:rsidP="00E413B3">
      <w:pPr>
        <w:rPr>
          <w:rFonts w:ascii="Calibri" w:hAnsi="Calibri" w:cs="Calibri"/>
          <w:iCs/>
          <w:szCs w:val="22"/>
        </w:rPr>
      </w:pPr>
    </w:p>
    <w:p w14:paraId="526B57B0" w14:textId="77777777" w:rsidR="00E413B3" w:rsidRDefault="00E413B3" w:rsidP="00E413B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2023-12-12T11:25:00Z</dcterms:created>
  <dcterms:modified xsi:type="dcterms:W3CDTF">2023-12-12T11:25:00Z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