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D542" w14:textId="77777777" w:rsidR="00860F90" w:rsidRPr="00F14DC1" w:rsidRDefault="0029723A" w:rsidP="00232F3E">
      <w:pPr>
        <w:pStyle w:val="Cmsor1"/>
        <w:jc w:val="center"/>
        <w:rPr>
          <w:rFonts w:ascii="Calibri" w:hAnsi="Calibri" w:cs="Calibri"/>
          <w:color w:val="auto"/>
          <w:szCs w:val="24"/>
        </w:rPr>
      </w:pPr>
      <w:r w:rsidRPr="00F14DC1">
        <w:rPr>
          <w:rFonts w:ascii="Calibri" w:hAnsi="Calibri" w:cs="Calibri"/>
          <w:color w:val="auto"/>
          <w:szCs w:val="24"/>
        </w:rPr>
        <w:t xml:space="preserve"> </w:t>
      </w:r>
      <w:r w:rsidR="00232F3E" w:rsidRPr="00F14DC1">
        <w:rPr>
          <w:rFonts w:ascii="Calibri" w:hAnsi="Calibri" w:cs="Calibri"/>
          <w:color w:val="auto"/>
          <w:szCs w:val="24"/>
        </w:rPr>
        <w:t>INDOKOLÁS</w:t>
      </w:r>
    </w:p>
    <w:p w14:paraId="17C42496" w14:textId="77777777" w:rsidR="00500B0C" w:rsidRPr="00F14DC1" w:rsidRDefault="00500B0C" w:rsidP="00500B0C">
      <w:pPr>
        <w:jc w:val="center"/>
        <w:rPr>
          <w:rFonts w:ascii="Calibri" w:hAnsi="Calibri" w:cs="Calibri"/>
          <w:b/>
          <w:sz w:val="24"/>
          <w:szCs w:val="24"/>
        </w:rPr>
      </w:pPr>
      <w:r w:rsidRPr="00F14DC1">
        <w:rPr>
          <w:rFonts w:ascii="Calibri" w:hAnsi="Calibri" w:cs="Calibri"/>
          <w:b/>
          <w:sz w:val="24"/>
          <w:szCs w:val="24"/>
        </w:rPr>
        <w:t>a 202</w:t>
      </w:r>
      <w:r w:rsidR="00BF5DCF" w:rsidRPr="00F14DC1">
        <w:rPr>
          <w:rFonts w:ascii="Calibri" w:hAnsi="Calibri" w:cs="Calibri"/>
          <w:b/>
          <w:sz w:val="24"/>
          <w:szCs w:val="24"/>
        </w:rPr>
        <w:t>3</w:t>
      </w:r>
      <w:r w:rsidRPr="00F14DC1">
        <w:rPr>
          <w:rFonts w:ascii="Calibri" w:hAnsi="Calibri" w:cs="Calibri"/>
          <w:b/>
          <w:sz w:val="24"/>
          <w:szCs w:val="24"/>
        </w:rPr>
        <w:t>. évi költségvetési rendelet I</w:t>
      </w:r>
      <w:r w:rsidR="00FF3814">
        <w:rPr>
          <w:rFonts w:ascii="Calibri" w:hAnsi="Calibri" w:cs="Calibri"/>
          <w:b/>
          <w:sz w:val="24"/>
          <w:szCs w:val="24"/>
        </w:rPr>
        <w:t>I</w:t>
      </w:r>
      <w:r w:rsidRPr="00F14DC1">
        <w:rPr>
          <w:rFonts w:ascii="Calibri" w:hAnsi="Calibri" w:cs="Calibri"/>
          <w:b/>
          <w:sz w:val="24"/>
          <w:szCs w:val="24"/>
        </w:rPr>
        <w:t>. számú módosításhoz</w:t>
      </w:r>
    </w:p>
    <w:p w14:paraId="5ABC5FA3" w14:textId="77777777" w:rsidR="00500B0C" w:rsidRPr="00F14DC1" w:rsidRDefault="00500B0C" w:rsidP="00500B0C">
      <w:pPr>
        <w:rPr>
          <w:rFonts w:ascii="Calibri" w:hAnsi="Calibri" w:cs="Calibri"/>
          <w:sz w:val="22"/>
          <w:szCs w:val="22"/>
        </w:rPr>
      </w:pPr>
    </w:p>
    <w:p w14:paraId="07ADE58E" w14:textId="77777777" w:rsidR="005576F2" w:rsidRPr="00F14DC1" w:rsidRDefault="005576F2" w:rsidP="00500B0C">
      <w:pPr>
        <w:rPr>
          <w:rFonts w:ascii="Calibri" w:hAnsi="Calibri" w:cs="Calibri"/>
          <w:sz w:val="22"/>
          <w:szCs w:val="22"/>
          <w:u w:val="single"/>
        </w:rPr>
      </w:pPr>
    </w:p>
    <w:p w14:paraId="354C3D4C" w14:textId="77777777" w:rsidR="00500B0C" w:rsidRPr="00F14DC1" w:rsidRDefault="00FF3814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500B0C" w:rsidRPr="00F14DC1">
        <w:rPr>
          <w:rFonts w:ascii="Calibri" w:hAnsi="Calibri" w:cs="Calibri"/>
          <w:b/>
          <w:bCs/>
          <w:sz w:val="22"/>
          <w:szCs w:val="22"/>
        </w:rPr>
        <w:t>. A költségvetési rendeletben meghatározottak szerint utólagos tudomásul vételt jelentő tételek</w:t>
      </w:r>
    </w:p>
    <w:p w14:paraId="48D855BD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5E184A" w14:textId="77777777" w:rsidR="00CE16AF" w:rsidRPr="00CE16AF" w:rsidRDefault="00500B0C" w:rsidP="00CE16AF">
      <w:pPr>
        <w:numPr>
          <w:ilvl w:val="0"/>
          <w:numId w:val="11"/>
        </w:numPr>
        <w:ind w:left="709"/>
        <w:jc w:val="both"/>
        <w:rPr>
          <w:rFonts w:ascii="Calibri" w:hAnsi="Calibri" w:cs="Calibri"/>
          <w:b/>
          <w:i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Működési és felhalmozási célú támogatások előirányzatainak módosítása</w:t>
      </w:r>
    </w:p>
    <w:p w14:paraId="6AD6A68C" w14:textId="77777777" w:rsidR="006D0693" w:rsidRDefault="006D0693" w:rsidP="006D0693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47C036A1" w14:textId="77777777" w:rsidR="00CE16AF" w:rsidRPr="00617803" w:rsidRDefault="00CE16AF" w:rsidP="008207B1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617803">
        <w:rPr>
          <w:rFonts w:ascii="Calibri" w:hAnsi="Calibri" w:cs="Calibri"/>
          <w:sz w:val="22"/>
          <w:szCs w:val="22"/>
        </w:rPr>
        <w:t xml:space="preserve">A feladatalapú támogatások 2023. május havi elszámolása alapján </w:t>
      </w:r>
      <w:r w:rsidR="00617803" w:rsidRPr="00617803">
        <w:rPr>
          <w:rFonts w:ascii="Calibri" w:hAnsi="Calibri" w:cs="Calibri"/>
          <w:sz w:val="22"/>
          <w:szCs w:val="22"/>
        </w:rPr>
        <w:t xml:space="preserve">148.568 </w:t>
      </w:r>
      <w:proofErr w:type="spellStart"/>
      <w:r w:rsidR="00617803" w:rsidRPr="00617803">
        <w:rPr>
          <w:rFonts w:ascii="Calibri" w:hAnsi="Calibri" w:cs="Calibri"/>
          <w:sz w:val="22"/>
          <w:szCs w:val="22"/>
        </w:rPr>
        <w:t>eFt</w:t>
      </w:r>
      <w:proofErr w:type="spellEnd"/>
      <w:r w:rsidR="00617803" w:rsidRPr="00617803">
        <w:rPr>
          <w:rFonts w:ascii="Calibri" w:hAnsi="Calibri" w:cs="Calibri"/>
          <w:sz w:val="22"/>
          <w:szCs w:val="22"/>
        </w:rPr>
        <w:t xml:space="preserve"> többletbevételünk keletkezett, amelynek nagy részét az új bölcsőde nyitása, valamint intézményi gyermekétkeztetés </w:t>
      </w:r>
      <w:r w:rsidR="00617803">
        <w:rPr>
          <w:rFonts w:ascii="Calibri" w:hAnsi="Calibri" w:cs="Calibri"/>
          <w:sz w:val="22"/>
          <w:szCs w:val="22"/>
        </w:rPr>
        <w:t xml:space="preserve">üzemeltetési </w:t>
      </w:r>
      <w:r w:rsidR="00617803" w:rsidRPr="00617803">
        <w:rPr>
          <w:rFonts w:ascii="Calibri" w:hAnsi="Calibri" w:cs="Calibri"/>
          <w:sz w:val="22"/>
          <w:szCs w:val="22"/>
        </w:rPr>
        <w:t>támogatásának központi újraosztása magyarázza.</w:t>
      </w:r>
    </w:p>
    <w:p w14:paraId="33FC9C60" w14:textId="77777777" w:rsidR="00617803" w:rsidRPr="00617803" w:rsidRDefault="00617803" w:rsidP="00617803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D07D933" w14:textId="77777777" w:rsidR="006D0693" w:rsidRPr="009000E6" w:rsidRDefault="00CE16AF" w:rsidP="00246589">
      <w:pPr>
        <w:numPr>
          <w:ilvl w:val="0"/>
          <w:numId w:val="18"/>
        </w:numPr>
        <w:tabs>
          <w:tab w:val="left" w:pos="709"/>
        </w:tabs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2022. évi beszámoló keretében történt elszámolás alapján az</w:t>
      </w:r>
      <w:r w:rsidR="006D0693" w:rsidRPr="009848BC">
        <w:rPr>
          <w:rFonts w:ascii="Calibri" w:hAnsi="Calibri" w:cs="Calibri"/>
          <w:sz w:val="22"/>
          <w:szCs w:val="22"/>
        </w:rPr>
        <w:t xml:space="preserve"> általános működési és ágazati feladatok támogatásai vonatkozásában</w:t>
      </w:r>
      <w:r w:rsidR="006D069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önkormányzatunknak</w:t>
      </w:r>
      <w:r w:rsidR="009F5D9D" w:rsidRPr="00FC6FBB">
        <w:rPr>
          <w:rFonts w:ascii="Calibri" w:hAnsi="Calibri" w:cs="Calibri"/>
          <w:sz w:val="22"/>
          <w:szCs w:val="22"/>
        </w:rPr>
        <w:t xml:space="preserve"> </w:t>
      </w:r>
      <w:r w:rsidR="006D0693" w:rsidRPr="00FC6FBB">
        <w:rPr>
          <w:rFonts w:ascii="Calibri" w:hAnsi="Calibri" w:cs="Calibri"/>
          <w:sz w:val="22"/>
          <w:szCs w:val="22"/>
        </w:rPr>
        <w:t xml:space="preserve">48.440 </w:t>
      </w:r>
      <w:proofErr w:type="spellStart"/>
      <w:r w:rsidR="006D0693" w:rsidRPr="00FC6FBB">
        <w:rPr>
          <w:rFonts w:ascii="Calibri" w:hAnsi="Calibri" w:cs="Calibri"/>
          <w:sz w:val="22"/>
          <w:szCs w:val="22"/>
        </w:rPr>
        <w:t>eFt</w:t>
      </w:r>
      <w:proofErr w:type="spellEnd"/>
      <w:r w:rsidR="006D0693" w:rsidRPr="00FC6FBB">
        <w:rPr>
          <w:rFonts w:ascii="Calibri" w:hAnsi="Calibri" w:cs="Calibri"/>
          <w:sz w:val="22"/>
          <w:szCs w:val="22"/>
        </w:rPr>
        <w:t xml:space="preserve"> összegű</w:t>
      </w:r>
      <w:r w:rsidR="006D0693">
        <w:rPr>
          <w:rFonts w:ascii="Calibri" w:hAnsi="Calibri" w:cs="Calibri"/>
          <w:sz w:val="22"/>
          <w:szCs w:val="22"/>
        </w:rPr>
        <w:t xml:space="preserve"> </w:t>
      </w:r>
      <w:r w:rsidR="006D0693" w:rsidRPr="009000E6">
        <w:rPr>
          <w:rFonts w:ascii="Calibri" w:hAnsi="Calibri" w:cs="Calibri"/>
          <w:sz w:val="22"/>
          <w:szCs w:val="22"/>
        </w:rPr>
        <w:t>pótigénye kele</w:t>
      </w:r>
      <w:r w:rsidR="004333DF" w:rsidRPr="009000E6">
        <w:rPr>
          <w:rFonts w:ascii="Calibri" w:hAnsi="Calibri" w:cs="Calibri"/>
          <w:sz w:val="22"/>
          <w:szCs w:val="22"/>
        </w:rPr>
        <w:t xml:space="preserve">tkezett. </w:t>
      </w:r>
    </w:p>
    <w:p w14:paraId="312480ED" w14:textId="77777777" w:rsidR="00E86E38" w:rsidRPr="00D36C0E" w:rsidRDefault="00E86E38" w:rsidP="00E86E38">
      <w:pPr>
        <w:ind w:left="786"/>
        <w:jc w:val="both"/>
        <w:rPr>
          <w:rFonts w:ascii="Calibri" w:hAnsi="Calibri" w:cs="Calibri"/>
          <w:b/>
          <w:sz w:val="22"/>
          <w:szCs w:val="22"/>
        </w:rPr>
      </w:pPr>
    </w:p>
    <w:p w14:paraId="6072C043" w14:textId="77777777" w:rsidR="00500B0C" w:rsidRPr="001933AF" w:rsidRDefault="00500B0C" w:rsidP="00130E1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D0693">
        <w:rPr>
          <w:rFonts w:ascii="Calibri" w:hAnsi="Calibri" w:cs="Calibri"/>
          <w:sz w:val="22"/>
          <w:szCs w:val="22"/>
        </w:rPr>
        <w:t>A 257/2000. (XII. 26.) Korm. rend. alapján a szociális, gyermekjóléti és gyermekvédelmi</w:t>
      </w:r>
      <w:r w:rsidRPr="001933AF">
        <w:rPr>
          <w:rFonts w:ascii="Calibri" w:hAnsi="Calibri" w:cs="Calibri"/>
          <w:sz w:val="22"/>
          <w:szCs w:val="22"/>
        </w:rPr>
        <w:t xml:space="preserve"> ágazati pótlékra jogosult közalkalmazottakat szociális ágazati összevont pótlék illeti meg. Központi bevételként beemelésre került </w:t>
      </w:r>
      <w:r w:rsidR="00F71E2A" w:rsidRPr="00F71E2A">
        <w:rPr>
          <w:rFonts w:ascii="Calibri" w:hAnsi="Calibri" w:cs="Calibri"/>
          <w:sz w:val="22"/>
          <w:szCs w:val="22"/>
        </w:rPr>
        <w:t>81.013</w:t>
      </w:r>
      <w:r w:rsidRPr="00B624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62487">
        <w:rPr>
          <w:rFonts w:ascii="Calibri" w:hAnsi="Calibri" w:cs="Calibri"/>
          <w:sz w:val="22"/>
          <w:szCs w:val="22"/>
        </w:rPr>
        <w:t>eFt</w:t>
      </w:r>
      <w:proofErr w:type="spellEnd"/>
      <w:r w:rsidRPr="00B62487">
        <w:rPr>
          <w:rFonts w:ascii="Calibri" w:hAnsi="Calibri" w:cs="Calibri"/>
          <w:sz w:val="22"/>
          <w:szCs w:val="22"/>
        </w:rPr>
        <w:t xml:space="preserve"> összegű</w:t>
      </w:r>
      <w:r w:rsidRPr="001933AF">
        <w:rPr>
          <w:rFonts w:ascii="Calibri" w:hAnsi="Calibri" w:cs="Calibri"/>
          <w:sz w:val="22"/>
          <w:szCs w:val="22"/>
        </w:rPr>
        <w:t xml:space="preserve"> támogatás, mellyel egyidejűleg a pótlékra jogosultakat foglalkoztató intézmények (Pálos K. Szociális Szolgáltató, valamint az Egyesített Bölcsődei Intézmény) költségvetési kiadási előirányzatai kerültek megemelésre. </w:t>
      </w:r>
    </w:p>
    <w:p w14:paraId="2D46C513" w14:textId="77777777" w:rsidR="003622DB" w:rsidRPr="00F14DC1" w:rsidRDefault="003622DB" w:rsidP="003622DB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F03319D" w14:textId="77777777" w:rsidR="005550CA" w:rsidRDefault="00306622" w:rsidP="005550CA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5550CA">
        <w:rPr>
          <w:rFonts w:ascii="Calibri" w:hAnsi="Calibri" w:cs="Calibri"/>
          <w:sz w:val="22"/>
          <w:szCs w:val="22"/>
        </w:rPr>
        <w:t xml:space="preserve">A veszélyhelyzet ideje alatt a szomszédos országban fennálló humanitárius katasztrófára tekintettel érkező személyek elhelyezésének támogatásáról és az azzal kapcsolatos egyéb intézkedésekről szóló 104/2022. (II.12.) </w:t>
      </w:r>
      <w:proofErr w:type="spellStart"/>
      <w:r w:rsidRPr="005550CA">
        <w:rPr>
          <w:rFonts w:ascii="Calibri" w:hAnsi="Calibri" w:cs="Calibri"/>
          <w:sz w:val="22"/>
          <w:szCs w:val="22"/>
        </w:rPr>
        <w:t>Korm.rend.alapján</w:t>
      </w:r>
      <w:proofErr w:type="spellEnd"/>
      <w:r w:rsidRPr="005550CA">
        <w:rPr>
          <w:rFonts w:ascii="Calibri" w:hAnsi="Calibri" w:cs="Calibri"/>
          <w:sz w:val="22"/>
          <w:szCs w:val="22"/>
        </w:rPr>
        <w:t xml:space="preserve"> Önkormányzatunk a rendeletben meghatározott támogatás igénylés feltételeinek megfelelően a helyi védelmi bizottság részére az igény bejelentést megküldi. Az önkormányzat az ideiglenes védelemre jogosult vagy a menedékes szállása és ellátása után naponta elszállásolta</w:t>
      </w:r>
      <w:r w:rsidR="005550CA">
        <w:rPr>
          <w:rFonts w:ascii="Calibri" w:hAnsi="Calibri" w:cs="Calibri"/>
          <w:sz w:val="22"/>
          <w:szCs w:val="22"/>
        </w:rPr>
        <w:t>nként és ellátottanként</w:t>
      </w:r>
      <w:r w:rsidRPr="005550CA">
        <w:rPr>
          <w:rFonts w:ascii="Calibri" w:hAnsi="Calibri" w:cs="Calibri"/>
          <w:sz w:val="22"/>
          <w:szCs w:val="22"/>
        </w:rPr>
        <w:t xml:space="preserve"> 2022. november 1. napját követőe</w:t>
      </w:r>
      <w:r w:rsidR="000638B7" w:rsidRPr="005550CA">
        <w:rPr>
          <w:rFonts w:ascii="Calibri" w:hAnsi="Calibri" w:cs="Calibri"/>
          <w:sz w:val="22"/>
          <w:szCs w:val="22"/>
        </w:rPr>
        <w:t xml:space="preserve">n </w:t>
      </w:r>
      <w:r w:rsidR="00361C88">
        <w:rPr>
          <w:rFonts w:ascii="Calibri" w:hAnsi="Calibri" w:cs="Calibri"/>
          <w:sz w:val="22"/>
          <w:szCs w:val="22"/>
        </w:rPr>
        <w:t>5</w:t>
      </w:r>
      <w:r w:rsidRPr="005550CA">
        <w:rPr>
          <w:rFonts w:ascii="Calibri" w:hAnsi="Calibri" w:cs="Calibri"/>
          <w:sz w:val="22"/>
          <w:szCs w:val="22"/>
        </w:rPr>
        <w:t xml:space="preserve">.000 Ft fajlagos támogatásra jogosult. </w:t>
      </w:r>
      <w:proofErr w:type="spellStart"/>
      <w:r w:rsidR="005550CA" w:rsidRPr="005550CA">
        <w:rPr>
          <w:rFonts w:ascii="Calibri" w:hAnsi="Calibri" w:cs="Calibri"/>
          <w:sz w:val="22"/>
          <w:szCs w:val="22"/>
        </w:rPr>
        <w:t>Ezidáig</w:t>
      </w:r>
      <w:proofErr w:type="spellEnd"/>
      <w:r w:rsidR="005550CA" w:rsidRPr="005550CA">
        <w:rPr>
          <w:rFonts w:ascii="Calibri" w:hAnsi="Calibri" w:cs="Calibri"/>
          <w:sz w:val="22"/>
          <w:szCs w:val="22"/>
        </w:rPr>
        <w:t xml:space="preserve"> már beemelt támogatáson felül további </w:t>
      </w:r>
      <w:r w:rsidR="00895F31" w:rsidRPr="00895F31">
        <w:rPr>
          <w:rFonts w:ascii="Calibri" w:hAnsi="Calibri" w:cs="Calibri"/>
          <w:sz w:val="22"/>
          <w:szCs w:val="22"/>
        </w:rPr>
        <w:t>15.372</w:t>
      </w:r>
      <w:r w:rsidR="005550CA" w:rsidRPr="005550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50CA" w:rsidRPr="005550CA">
        <w:rPr>
          <w:rFonts w:ascii="Calibri" w:hAnsi="Calibri" w:cs="Calibri"/>
          <w:sz w:val="22"/>
          <w:szCs w:val="22"/>
        </w:rPr>
        <w:t>eFt</w:t>
      </w:r>
      <w:proofErr w:type="spellEnd"/>
      <w:r w:rsidR="005550CA" w:rsidRPr="005550CA">
        <w:rPr>
          <w:rFonts w:ascii="Calibri" w:hAnsi="Calibri" w:cs="Calibri"/>
          <w:sz w:val="22"/>
          <w:szCs w:val="22"/>
        </w:rPr>
        <w:t xml:space="preserve"> összegben részesültünk. Ez alapján mind a bevételi mind pedig a kiadási előirányzat (szociális ágazat kiadásai) beemelése megtörtént a költségvetési rendeletbe. Ezen összegből az elhelyezést és ellátást biztosító intézmények, szervezetek kerülnek támogatásra. Ebből az összegből a Pálos Károly Szociális Szolgáltató Központ és Gyermekjóléti Szolgálat intézmény részére </w:t>
      </w:r>
      <w:r w:rsidR="00895F31" w:rsidRPr="00895F31">
        <w:rPr>
          <w:rFonts w:ascii="Calibri" w:hAnsi="Calibri" w:cs="Calibri"/>
          <w:sz w:val="22"/>
          <w:szCs w:val="22"/>
        </w:rPr>
        <w:t>1.375</w:t>
      </w:r>
      <w:r w:rsidR="005550CA" w:rsidRPr="005550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50CA" w:rsidRPr="005550CA">
        <w:rPr>
          <w:rFonts w:ascii="Calibri" w:hAnsi="Calibri" w:cs="Calibri"/>
          <w:sz w:val="22"/>
          <w:szCs w:val="22"/>
        </w:rPr>
        <w:t>eFt</w:t>
      </w:r>
      <w:proofErr w:type="spellEnd"/>
      <w:r w:rsidR="005550CA" w:rsidRPr="005550CA">
        <w:rPr>
          <w:rFonts w:ascii="Calibri" w:hAnsi="Calibri" w:cs="Calibri"/>
          <w:sz w:val="22"/>
          <w:szCs w:val="22"/>
        </w:rPr>
        <w:t xml:space="preserve"> összeg került támogatásként biztosításra.</w:t>
      </w:r>
    </w:p>
    <w:p w14:paraId="089300FF" w14:textId="77777777" w:rsidR="005550CA" w:rsidRDefault="005550CA" w:rsidP="005550CA">
      <w:pPr>
        <w:pStyle w:val="Listaszerbekezds"/>
        <w:rPr>
          <w:rFonts w:ascii="Calibri" w:hAnsi="Calibri" w:cs="Calibri"/>
          <w:sz w:val="22"/>
          <w:szCs w:val="22"/>
        </w:rPr>
      </w:pPr>
    </w:p>
    <w:p w14:paraId="0A99E984" w14:textId="77777777" w:rsidR="005550CA" w:rsidRPr="005550CA" w:rsidRDefault="005550CA" w:rsidP="005550CA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550CA">
        <w:rPr>
          <w:rFonts w:ascii="Calibri" w:hAnsi="Calibri" w:cs="Calibri"/>
          <w:sz w:val="22"/>
          <w:szCs w:val="22"/>
        </w:rPr>
        <w:t>A kéményseprő ipari közszolgáltatás ellátásának támogatá</w:t>
      </w:r>
      <w:r>
        <w:rPr>
          <w:rFonts w:ascii="Calibri" w:hAnsi="Calibri" w:cs="Calibri"/>
          <w:sz w:val="22"/>
          <w:szCs w:val="22"/>
        </w:rPr>
        <w:t>sa címén önkormányzatunk 117.571</w:t>
      </w:r>
      <w:r w:rsidRPr="005550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550CA">
        <w:rPr>
          <w:rFonts w:ascii="Calibri" w:hAnsi="Calibri" w:cs="Calibri"/>
          <w:sz w:val="22"/>
          <w:szCs w:val="22"/>
        </w:rPr>
        <w:t>eFt</w:t>
      </w:r>
      <w:proofErr w:type="spellEnd"/>
      <w:r w:rsidRPr="005550CA">
        <w:rPr>
          <w:rFonts w:ascii="Calibri" w:hAnsi="Calibri" w:cs="Calibri"/>
          <w:sz w:val="22"/>
          <w:szCs w:val="22"/>
        </w:rPr>
        <w:t xml:space="preserve"> összegben részesült. Ezen tétel a „Kéményseprő ipari közszolgáltatás (központi támogatásból)” támogatásaként szerepel a kiadási előirányzatok között.</w:t>
      </w:r>
    </w:p>
    <w:p w14:paraId="4DA02D3E" w14:textId="77777777" w:rsidR="005550CA" w:rsidRPr="005550CA" w:rsidRDefault="005550CA" w:rsidP="005550CA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4F47785" w14:textId="77777777" w:rsidR="005550CA" w:rsidRDefault="005550CA" w:rsidP="005550CA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550CA">
        <w:rPr>
          <w:rFonts w:ascii="Calibri" w:hAnsi="Calibri" w:cs="Calibri"/>
          <w:sz w:val="22"/>
          <w:szCs w:val="22"/>
        </w:rPr>
        <w:t xml:space="preserve">Könyvtári célú érdekeltségnövelő támogatás </w:t>
      </w:r>
      <w:r>
        <w:rPr>
          <w:rFonts w:ascii="Calibri" w:hAnsi="Calibri" w:cs="Calibri"/>
          <w:sz w:val="22"/>
          <w:szCs w:val="22"/>
        </w:rPr>
        <w:t>címén 6.766</w:t>
      </w:r>
      <w:r w:rsidRPr="005550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550CA">
        <w:rPr>
          <w:rFonts w:ascii="Calibri" w:hAnsi="Calibri" w:cs="Calibri"/>
          <w:sz w:val="22"/>
          <w:szCs w:val="22"/>
        </w:rPr>
        <w:t>eFt</w:t>
      </w:r>
      <w:proofErr w:type="spellEnd"/>
      <w:r w:rsidRPr="005550CA">
        <w:rPr>
          <w:rFonts w:ascii="Calibri" w:hAnsi="Calibri" w:cs="Calibri"/>
          <w:sz w:val="22"/>
          <w:szCs w:val="22"/>
        </w:rPr>
        <w:t xml:space="preserve"> illette meg önkormányzatunkat. Az előirányzat beemelésre került a pályázó Berzsenyi Dániel Könyvtár intézmény kiadási tételeire.</w:t>
      </w:r>
    </w:p>
    <w:p w14:paraId="0199F48C" w14:textId="77777777" w:rsidR="009B5448" w:rsidRDefault="009B5448" w:rsidP="009B5448">
      <w:pPr>
        <w:pStyle w:val="Listaszerbekezds"/>
        <w:rPr>
          <w:rFonts w:ascii="Calibri" w:hAnsi="Calibri" w:cs="Calibri"/>
          <w:sz w:val="22"/>
          <w:szCs w:val="22"/>
        </w:rPr>
      </w:pPr>
    </w:p>
    <w:p w14:paraId="0A47606D" w14:textId="77777777" w:rsidR="009B5448" w:rsidRPr="009B5448" w:rsidRDefault="009B5448" w:rsidP="009B544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B5448">
        <w:rPr>
          <w:rFonts w:ascii="Calibri" w:hAnsi="Calibri" w:cs="Calibri"/>
          <w:sz w:val="22"/>
          <w:szCs w:val="22"/>
        </w:rPr>
        <w:t>A H</w:t>
      </w:r>
      <w:r>
        <w:rPr>
          <w:rFonts w:ascii="Calibri" w:hAnsi="Calibri" w:cs="Calibri"/>
          <w:sz w:val="22"/>
          <w:szCs w:val="22"/>
        </w:rPr>
        <w:t>onvédelmi Minisztériumtól 30.743</w:t>
      </w:r>
      <w:r w:rsidRPr="009B544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448">
        <w:rPr>
          <w:rFonts w:ascii="Calibri" w:hAnsi="Calibri" w:cs="Calibri"/>
          <w:sz w:val="22"/>
          <w:szCs w:val="22"/>
        </w:rPr>
        <w:t>eFt</w:t>
      </w:r>
      <w:proofErr w:type="spellEnd"/>
      <w:r w:rsidRPr="009B5448">
        <w:rPr>
          <w:rFonts w:ascii="Calibri" w:hAnsi="Calibri" w:cs="Calibri"/>
          <w:sz w:val="22"/>
          <w:szCs w:val="22"/>
        </w:rPr>
        <w:t xml:space="preserve"> összegű támogatásban részesültünk a Szombathelyi Uszoda megnövekedett energiaköltségeinek kompenzálására, amely összeget </w:t>
      </w:r>
      <w:r w:rsidR="00B3221C" w:rsidRPr="009B5448">
        <w:rPr>
          <w:rFonts w:ascii="Calibri" w:hAnsi="Calibri" w:cs="Calibri"/>
          <w:sz w:val="22"/>
          <w:szCs w:val="22"/>
        </w:rPr>
        <w:t xml:space="preserve">át kell adnunk </w:t>
      </w:r>
      <w:r w:rsidRPr="009B5448">
        <w:rPr>
          <w:rFonts w:ascii="Calibri" w:hAnsi="Calibri" w:cs="Calibri"/>
          <w:sz w:val="22"/>
          <w:szCs w:val="22"/>
        </w:rPr>
        <w:t>az üzemeltető VASIVÍZ Zrt. részére.</w:t>
      </w:r>
    </w:p>
    <w:p w14:paraId="6F4AE699" w14:textId="77777777" w:rsidR="00DD4205" w:rsidRPr="005550CA" w:rsidRDefault="00DD4205" w:rsidP="00EB7AAE">
      <w:pPr>
        <w:jc w:val="both"/>
        <w:rPr>
          <w:rFonts w:ascii="Calibri" w:hAnsi="Calibri" w:cs="Calibri"/>
          <w:sz w:val="22"/>
          <w:szCs w:val="22"/>
        </w:rPr>
      </w:pPr>
    </w:p>
    <w:p w14:paraId="277D7F58" w14:textId="77777777" w:rsidR="00500B0C" w:rsidRPr="00F14DC1" w:rsidRDefault="00500B0C" w:rsidP="000442EA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641FCE" w:rsidRPr="00641FCE">
        <w:rPr>
          <w:rFonts w:ascii="Calibri" w:hAnsi="Calibri" w:cs="Calibri"/>
          <w:b/>
          <w:i/>
          <w:sz w:val="22"/>
          <w:szCs w:val="22"/>
          <w:u w:val="single"/>
        </w:rPr>
        <w:t>+</w:t>
      </w:r>
      <w:r w:rsidR="00641FCE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F11F00">
        <w:rPr>
          <w:rFonts w:ascii="Calibri" w:hAnsi="Calibri" w:cs="Calibri"/>
          <w:b/>
          <w:i/>
          <w:sz w:val="22"/>
          <w:szCs w:val="22"/>
          <w:u w:val="single"/>
        </w:rPr>
        <w:t>197.008</w:t>
      </w:r>
      <w:r w:rsidR="00293327" w:rsidRPr="00F14DC1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 xml:space="preserve"> </w:t>
      </w:r>
      <w:proofErr w:type="spellStart"/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148B29AA" w14:textId="77777777" w:rsidR="00BF3A9B" w:rsidRDefault="00BF3A9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39CA184E" w14:textId="77777777" w:rsidR="00EB7AAE" w:rsidRPr="00F14DC1" w:rsidRDefault="00EB7AAE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9132EFF" w14:textId="77777777" w:rsidR="00646B1C" w:rsidRDefault="00500B0C" w:rsidP="000442EA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sz w:val="22"/>
          <w:szCs w:val="22"/>
        </w:rPr>
        <w:t xml:space="preserve">A költségvetési szervek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saját hatáskörben végrehajtható előirányzat módosítási</w:t>
      </w:r>
      <w:r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sz w:val="22"/>
          <w:szCs w:val="22"/>
        </w:rPr>
        <w:t xml:space="preserve">kérelmet nyújtottak be. A bevételi és kiadási előirányzataik ezen módosítással összességében </w:t>
      </w:r>
      <w:r w:rsidR="00E43772" w:rsidRPr="004F638C">
        <w:rPr>
          <w:rFonts w:ascii="Calibri" w:hAnsi="Calibri" w:cs="Calibri"/>
          <w:sz w:val="22"/>
          <w:szCs w:val="22"/>
        </w:rPr>
        <w:t>+</w:t>
      </w:r>
      <w:r w:rsidR="004F638C" w:rsidRPr="004F638C">
        <w:rPr>
          <w:rFonts w:ascii="Calibri" w:hAnsi="Calibri" w:cs="Calibri"/>
          <w:sz w:val="22"/>
          <w:szCs w:val="22"/>
        </w:rPr>
        <w:t>217.262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DC1">
        <w:rPr>
          <w:rFonts w:ascii="Calibri" w:hAnsi="Calibri" w:cs="Calibri"/>
          <w:sz w:val="22"/>
          <w:szCs w:val="22"/>
        </w:rPr>
        <w:t>eFt-tal</w:t>
      </w:r>
      <w:proofErr w:type="spellEnd"/>
      <w:r w:rsidRPr="00F14DC1">
        <w:rPr>
          <w:rFonts w:ascii="Calibri" w:hAnsi="Calibri" w:cs="Calibri"/>
          <w:sz w:val="22"/>
          <w:szCs w:val="22"/>
        </w:rPr>
        <w:t xml:space="preserve"> </w:t>
      </w:r>
      <w:r w:rsidR="00E43772" w:rsidRPr="00F14DC1">
        <w:rPr>
          <w:rFonts w:ascii="Calibri" w:hAnsi="Calibri" w:cs="Calibri"/>
          <w:sz w:val="22"/>
          <w:szCs w:val="22"/>
        </w:rPr>
        <w:t>növeked</w:t>
      </w:r>
      <w:r w:rsidR="00B3221C">
        <w:rPr>
          <w:rFonts w:ascii="Calibri" w:hAnsi="Calibri" w:cs="Calibri"/>
          <w:sz w:val="22"/>
          <w:szCs w:val="22"/>
        </w:rPr>
        <w:t>tek</w:t>
      </w:r>
      <w:r w:rsidR="00E43772" w:rsidRPr="00F14DC1">
        <w:rPr>
          <w:rFonts w:ascii="Calibri" w:hAnsi="Calibri" w:cs="Calibri"/>
          <w:sz w:val="22"/>
          <w:szCs w:val="22"/>
        </w:rPr>
        <w:t>.</w:t>
      </w:r>
      <w:r w:rsidR="00630B3E">
        <w:rPr>
          <w:rFonts w:ascii="Calibri" w:hAnsi="Calibri" w:cs="Calibri"/>
          <w:sz w:val="22"/>
          <w:szCs w:val="22"/>
        </w:rPr>
        <w:t xml:space="preserve"> </w:t>
      </w:r>
    </w:p>
    <w:p w14:paraId="0FFEAB21" w14:textId="77777777" w:rsidR="00F65754" w:rsidRDefault="00F65754" w:rsidP="00F65754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7F7D732" w14:textId="77777777" w:rsidR="00500B0C" w:rsidRDefault="00630B3E" w:rsidP="00646B1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Szombathelyi Köznevelési GAMESZ valamint</w:t>
      </w:r>
      <w:r w:rsidR="00E75268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1</w:t>
      </w:r>
      <w:r w:rsidR="00646B1C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ó</w:t>
      </w:r>
      <w:r w:rsidR="003C1556">
        <w:rPr>
          <w:rFonts w:ascii="Calibri" w:hAnsi="Calibri" w:cs="Calibri"/>
          <w:sz w:val="22"/>
          <w:szCs w:val="22"/>
        </w:rPr>
        <w:t xml:space="preserve">voda 3.389 </w:t>
      </w:r>
      <w:proofErr w:type="spellStart"/>
      <w:r w:rsidR="003C1556">
        <w:rPr>
          <w:rFonts w:ascii="Calibri" w:hAnsi="Calibri" w:cs="Calibri"/>
          <w:sz w:val="22"/>
          <w:szCs w:val="22"/>
        </w:rPr>
        <w:t>eFt</w:t>
      </w:r>
      <w:proofErr w:type="spellEnd"/>
      <w:r w:rsidR="003C1556">
        <w:rPr>
          <w:rFonts w:ascii="Calibri" w:hAnsi="Calibri" w:cs="Calibri"/>
          <w:sz w:val="22"/>
          <w:szCs w:val="22"/>
        </w:rPr>
        <w:t xml:space="preserve"> működési bevételi többletet realizált</w:t>
      </w:r>
      <w:r w:rsidR="00646B1C">
        <w:rPr>
          <w:rFonts w:ascii="Calibri" w:hAnsi="Calibri" w:cs="Calibri"/>
          <w:sz w:val="22"/>
          <w:szCs w:val="22"/>
        </w:rPr>
        <w:t>. Ezen bevételek</w:t>
      </w:r>
      <w:r>
        <w:rPr>
          <w:rFonts w:ascii="Calibri" w:hAnsi="Calibri" w:cs="Calibri"/>
          <w:sz w:val="22"/>
          <w:szCs w:val="22"/>
        </w:rPr>
        <w:t xml:space="preserve"> egy része az angol, német nyelvi oktatáshoz és a zeneovi</w:t>
      </w:r>
      <w:r w:rsidR="00646B1C">
        <w:rPr>
          <w:rFonts w:ascii="Calibri" w:hAnsi="Calibri" w:cs="Calibri"/>
          <w:sz w:val="22"/>
          <w:szCs w:val="22"/>
        </w:rPr>
        <w:t>, illetve táncoktatási</w:t>
      </w:r>
      <w:r>
        <w:rPr>
          <w:rFonts w:ascii="Calibri" w:hAnsi="Calibri" w:cs="Calibri"/>
          <w:sz w:val="22"/>
          <w:szCs w:val="22"/>
        </w:rPr>
        <w:t xml:space="preserve"> szolgáltatások</w:t>
      </w:r>
      <w:r w:rsidR="00646B1C">
        <w:rPr>
          <w:rFonts w:ascii="Calibri" w:hAnsi="Calibri" w:cs="Calibri"/>
          <w:sz w:val="22"/>
          <w:szCs w:val="22"/>
        </w:rPr>
        <w:t>hoz kapcsolódó</w:t>
      </w:r>
      <w:r>
        <w:rPr>
          <w:rFonts w:ascii="Calibri" w:hAnsi="Calibri" w:cs="Calibri"/>
          <w:sz w:val="22"/>
          <w:szCs w:val="22"/>
        </w:rPr>
        <w:t xml:space="preserve"> </w:t>
      </w:r>
      <w:r w:rsidR="00646B1C">
        <w:rPr>
          <w:rFonts w:ascii="Calibri" w:hAnsi="Calibri" w:cs="Calibri"/>
          <w:sz w:val="22"/>
          <w:szCs w:val="22"/>
        </w:rPr>
        <w:t>befizetéseiből származnak. Ugyancsak itt szerepel a nem szombathelyi lakcímmel rendelkező óvodások után a vidéki önkormányzatok által befizetett étkezési hozzájárulások, illetve a</w:t>
      </w:r>
      <w:r>
        <w:rPr>
          <w:rFonts w:ascii="Calibri" w:hAnsi="Calibri" w:cs="Calibri"/>
          <w:sz w:val="22"/>
          <w:szCs w:val="22"/>
        </w:rPr>
        <w:t xml:space="preserve"> </w:t>
      </w:r>
      <w:r w:rsidR="00646B1C">
        <w:rPr>
          <w:rFonts w:ascii="Calibri" w:hAnsi="Calibri" w:cs="Calibri"/>
          <w:sz w:val="22"/>
          <w:szCs w:val="22"/>
        </w:rPr>
        <w:t>Német N</w:t>
      </w:r>
      <w:r>
        <w:rPr>
          <w:rFonts w:ascii="Calibri" w:hAnsi="Calibri" w:cs="Calibri"/>
          <w:sz w:val="22"/>
          <w:szCs w:val="22"/>
        </w:rPr>
        <w:t>emzetiségi</w:t>
      </w:r>
      <w:r w:rsidR="00646B1C">
        <w:rPr>
          <w:rFonts w:ascii="Calibri" w:hAnsi="Calibri" w:cs="Calibri"/>
          <w:sz w:val="22"/>
          <w:szCs w:val="22"/>
        </w:rPr>
        <w:t xml:space="preserve"> Önkormányzat által </w:t>
      </w:r>
      <w:r w:rsidR="00C83D63">
        <w:rPr>
          <w:rFonts w:ascii="Calibri" w:hAnsi="Calibri" w:cs="Calibri"/>
          <w:sz w:val="22"/>
          <w:szCs w:val="22"/>
        </w:rPr>
        <w:t>nyújtott támogatások összege is.</w:t>
      </w:r>
    </w:p>
    <w:p w14:paraId="3A077A92" w14:textId="77777777" w:rsidR="00785D2B" w:rsidRDefault="00785D2B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BF611F9" w14:textId="77777777" w:rsidR="00C83D63" w:rsidRDefault="00C83D63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Jelentős működési többletbevétel keletkezett a Mesebolt Bábszínház vonatkozásában, a „Bábművészeti Világtalálkozó” rendezvénysorozat lebonyolításával kapcsolatosan. Az intézmény saját bevételét 24.600 e Ft-tal növeli a Színházi Olimpia Nonprofit Kft. részére kiszámlázásra kerülő összeg, amely a rendezvény programjain fellépő művészek és együttesek kiadásaira biztosít fedezetet. A bábszínházi előadások létrehozását célzó NKA</w:t>
      </w:r>
      <w:r w:rsidR="006B67D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illetve </w:t>
      </w:r>
      <w:r w:rsidR="00C47BC7">
        <w:rPr>
          <w:rFonts w:ascii="Calibri" w:hAnsi="Calibri" w:cs="Calibri"/>
          <w:sz w:val="22"/>
          <w:szCs w:val="22"/>
        </w:rPr>
        <w:t xml:space="preserve">több </w:t>
      </w:r>
      <w:r>
        <w:rPr>
          <w:rFonts w:ascii="Calibri" w:hAnsi="Calibri" w:cs="Calibri"/>
          <w:sz w:val="22"/>
          <w:szCs w:val="22"/>
        </w:rPr>
        <w:t>EMT-TE E-23 pályázato</w:t>
      </w:r>
      <w:r w:rsidR="00C47BC7">
        <w:rPr>
          <w:rFonts w:ascii="Calibri" w:hAnsi="Calibri" w:cs="Calibri"/>
          <w:sz w:val="22"/>
          <w:szCs w:val="22"/>
        </w:rPr>
        <w:t xml:space="preserve">n </w:t>
      </w:r>
      <w:r>
        <w:rPr>
          <w:rFonts w:ascii="Calibri" w:hAnsi="Calibri" w:cs="Calibri"/>
          <w:sz w:val="22"/>
          <w:szCs w:val="22"/>
        </w:rPr>
        <w:t xml:space="preserve">összesen 24.600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-ot nyert </w:t>
      </w:r>
      <w:r w:rsidR="00C47BC7">
        <w:rPr>
          <w:rFonts w:ascii="Calibri" w:hAnsi="Calibri" w:cs="Calibri"/>
          <w:sz w:val="22"/>
          <w:szCs w:val="22"/>
        </w:rPr>
        <w:t xml:space="preserve">el </w:t>
      </w:r>
      <w:r>
        <w:rPr>
          <w:rFonts w:ascii="Calibri" w:hAnsi="Calibri" w:cs="Calibri"/>
          <w:sz w:val="22"/>
          <w:szCs w:val="22"/>
        </w:rPr>
        <w:t>az intézmé</w:t>
      </w:r>
      <w:r w:rsidR="00C47BC7">
        <w:rPr>
          <w:rFonts w:ascii="Calibri" w:hAnsi="Calibri" w:cs="Calibri"/>
          <w:sz w:val="22"/>
          <w:szCs w:val="22"/>
        </w:rPr>
        <w:t>ny, amely a pályázati feltételekben foglalt elismert kiadásokra nyújt fedezetet.</w:t>
      </w:r>
    </w:p>
    <w:p w14:paraId="3A1C5C9E" w14:textId="77777777" w:rsidR="00785D2B" w:rsidRDefault="00785D2B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D19E719" w14:textId="77777777" w:rsidR="00C47BC7" w:rsidRDefault="00C47BC7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Savaria Szimfonikus Zenekar </w:t>
      </w:r>
      <w:r w:rsidR="00F61D2F">
        <w:rPr>
          <w:rFonts w:ascii="Calibri" w:hAnsi="Calibri" w:cs="Calibri"/>
          <w:sz w:val="22"/>
          <w:szCs w:val="22"/>
        </w:rPr>
        <w:t xml:space="preserve">137.180 </w:t>
      </w:r>
      <w:proofErr w:type="spellStart"/>
      <w:r w:rsidR="00F61D2F">
        <w:rPr>
          <w:rFonts w:ascii="Calibri" w:hAnsi="Calibri" w:cs="Calibri"/>
          <w:sz w:val="22"/>
          <w:szCs w:val="22"/>
        </w:rPr>
        <w:t>eFt</w:t>
      </w:r>
      <w:proofErr w:type="spellEnd"/>
      <w:r w:rsidR="00F61D2F">
        <w:rPr>
          <w:rFonts w:ascii="Calibri" w:hAnsi="Calibri" w:cs="Calibri"/>
          <w:sz w:val="22"/>
          <w:szCs w:val="22"/>
        </w:rPr>
        <w:t>-ot nyert</w:t>
      </w:r>
      <w:r w:rsidR="00F615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az EMT-ZENEMŰV-23-0032 </w:t>
      </w:r>
      <w:r w:rsidR="00F61566">
        <w:rPr>
          <w:rFonts w:ascii="Calibri" w:hAnsi="Calibri" w:cs="Calibri"/>
          <w:sz w:val="22"/>
          <w:szCs w:val="22"/>
        </w:rPr>
        <w:t>elnevezésű pályázaton. Az előadásokkal kapcsolatosan felmerülő</w:t>
      </w:r>
      <w:r w:rsidR="00E73EA1">
        <w:rPr>
          <w:rFonts w:ascii="Calibri" w:hAnsi="Calibri" w:cs="Calibri"/>
          <w:sz w:val="22"/>
          <w:szCs w:val="22"/>
        </w:rPr>
        <w:t xml:space="preserve"> -</w:t>
      </w:r>
      <w:r w:rsidR="00F61566">
        <w:rPr>
          <w:rFonts w:ascii="Calibri" w:hAnsi="Calibri" w:cs="Calibri"/>
          <w:sz w:val="22"/>
          <w:szCs w:val="22"/>
        </w:rPr>
        <w:t xml:space="preserve"> többek közt, előadói díjak, szállítási és szállásköltség</w:t>
      </w:r>
      <w:r w:rsidR="00E73EA1">
        <w:rPr>
          <w:rFonts w:ascii="Calibri" w:hAnsi="Calibri" w:cs="Calibri"/>
          <w:sz w:val="22"/>
          <w:szCs w:val="22"/>
        </w:rPr>
        <w:t>,</w:t>
      </w:r>
      <w:r w:rsidR="00F61566">
        <w:rPr>
          <w:rFonts w:ascii="Calibri" w:hAnsi="Calibri" w:cs="Calibri"/>
          <w:sz w:val="22"/>
          <w:szCs w:val="22"/>
        </w:rPr>
        <w:t xml:space="preserve"> illetve </w:t>
      </w:r>
      <w:r w:rsidR="008677FC">
        <w:rPr>
          <w:rFonts w:ascii="Calibri" w:hAnsi="Calibri" w:cs="Calibri"/>
          <w:sz w:val="22"/>
          <w:szCs w:val="22"/>
        </w:rPr>
        <w:t xml:space="preserve">a </w:t>
      </w:r>
      <w:r w:rsidR="00F61566">
        <w:rPr>
          <w:rFonts w:ascii="Calibri" w:hAnsi="Calibri" w:cs="Calibri"/>
          <w:sz w:val="22"/>
          <w:szCs w:val="22"/>
        </w:rPr>
        <w:t>felhalmozási támogatás rész</w:t>
      </w:r>
      <w:r w:rsidR="00F61D2F">
        <w:rPr>
          <w:rFonts w:ascii="Calibri" w:hAnsi="Calibri" w:cs="Calibri"/>
          <w:sz w:val="22"/>
          <w:szCs w:val="22"/>
        </w:rPr>
        <w:t>,</w:t>
      </w:r>
      <w:r w:rsidR="00154DBB">
        <w:rPr>
          <w:rFonts w:ascii="Calibri" w:hAnsi="Calibri" w:cs="Calibri"/>
          <w:sz w:val="22"/>
          <w:szCs w:val="22"/>
        </w:rPr>
        <w:t xml:space="preserve"> </w:t>
      </w:r>
      <w:r w:rsidR="00F61566">
        <w:rPr>
          <w:rFonts w:ascii="Calibri" w:hAnsi="Calibri" w:cs="Calibri"/>
          <w:sz w:val="22"/>
          <w:szCs w:val="22"/>
        </w:rPr>
        <w:t xml:space="preserve">hangszerek (zongora, vonós hangszerek, fúvós hangszerek) beszerzésére </w:t>
      </w:r>
      <w:r w:rsidR="00B3221C">
        <w:rPr>
          <w:rFonts w:ascii="Calibri" w:hAnsi="Calibri" w:cs="Calibri"/>
          <w:sz w:val="22"/>
          <w:szCs w:val="22"/>
        </w:rPr>
        <w:t xml:space="preserve"> - </w:t>
      </w:r>
      <w:r w:rsidR="00F61566">
        <w:rPr>
          <w:rFonts w:ascii="Calibri" w:hAnsi="Calibri" w:cs="Calibri"/>
          <w:sz w:val="22"/>
          <w:szCs w:val="22"/>
        </w:rPr>
        <w:t>a pályázatban szere</w:t>
      </w:r>
      <w:r w:rsidR="00E73EA1">
        <w:rPr>
          <w:rFonts w:ascii="Calibri" w:hAnsi="Calibri" w:cs="Calibri"/>
          <w:sz w:val="22"/>
          <w:szCs w:val="22"/>
        </w:rPr>
        <w:t>plő kiadásokon kerül felhasználásra</w:t>
      </w:r>
      <w:r w:rsidR="00F61566">
        <w:rPr>
          <w:rFonts w:ascii="Calibri" w:hAnsi="Calibri" w:cs="Calibri"/>
          <w:sz w:val="22"/>
          <w:szCs w:val="22"/>
        </w:rPr>
        <w:t>.</w:t>
      </w:r>
    </w:p>
    <w:p w14:paraId="15C391C9" w14:textId="77777777" w:rsidR="00785D2B" w:rsidRDefault="00785D2B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ABC8E7C" w14:textId="77777777" w:rsidR="00785D2B" w:rsidRDefault="00460367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785D2B">
        <w:rPr>
          <w:rFonts w:ascii="Calibri" w:hAnsi="Calibri" w:cs="Calibri"/>
          <w:sz w:val="22"/>
          <w:szCs w:val="22"/>
        </w:rPr>
        <w:t xml:space="preserve">Savaria Múzeum működési bevételi előirányzata saját hatáskörben megemelésre került, a </w:t>
      </w:r>
      <w:r>
        <w:rPr>
          <w:rFonts w:ascii="Calibri" w:hAnsi="Calibri" w:cs="Calibri"/>
          <w:sz w:val="22"/>
          <w:szCs w:val="22"/>
        </w:rPr>
        <w:t xml:space="preserve">DBU támogatási program keretében </w:t>
      </w:r>
      <w:r w:rsidR="00785D2B">
        <w:rPr>
          <w:rFonts w:ascii="Calibri" w:hAnsi="Calibri" w:cs="Calibri"/>
          <w:sz w:val="22"/>
          <w:szCs w:val="22"/>
        </w:rPr>
        <w:t xml:space="preserve">elnyert </w:t>
      </w:r>
      <w:r>
        <w:rPr>
          <w:rFonts w:ascii="Calibri" w:hAnsi="Calibri" w:cs="Calibri"/>
          <w:sz w:val="22"/>
          <w:szCs w:val="22"/>
        </w:rPr>
        <w:t xml:space="preserve">8.958 </w:t>
      </w:r>
      <w:proofErr w:type="spellStart"/>
      <w:r>
        <w:rPr>
          <w:rFonts w:ascii="Calibri" w:hAnsi="Calibri" w:cs="Calibri"/>
          <w:sz w:val="22"/>
          <w:szCs w:val="22"/>
        </w:rPr>
        <w:t>e</w:t>
      </w:r>
      <w:r w:rsidR="00785D2B">
        <w:rPr>
          <w:rFonts w:ascii="Calibri" w:hAnsi="Calibri" w:cs="Calibri"/>
          <w:sz w:val="22"/>
          <w:szCs w:val="22"/>
        </w:rPr>
        <w:t>Ft</w:t>
      </w:r>
      <w:proofErr w:type="spellEnd"/>
      <w:r w:rsidR="00785D2B">
        <w:rPr>
          <w:rFonts w:ascii="Calibri" w:hAnsi="Calibri" w:cs="Calibri"/>
          <w:sz w:val="22"/>
          <w:szCs w:val="22"/>
        </w:rPr>
        <w:t xml:space="preserve"> összeggel</w:t>
      </w:r>
      <w:r>
        <w:rPr>
          <w:rFonts w:ascii="Calibri" w:hAnsi="Calibri" w:cs="Calibri"/>
          <w:sz w:val="22"/>
          <w:szCs w:val="22"/>
        </w:rPr>
        <w:t>, melyet a Skanzen területén</w:t>
      </w:r>
      <w:r w:rsidR="00AA584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rendezvények megvalósítására, a Skanz</w:t>
      </w:r>
      <w:r w:rsidR="00F61D2F">
        <w:rPr>
          <w:rFonts w:ascii="Calibri" w:hAnsi="Calibri" w:cs="Calibri"/>
          <w:sz w:val="22"/>
          <w:szCs w:val="22"/>
        </w:rPr>
        <w:t>en tárgyfeliratainak, házainak megújítására</w:t>
      </w:r>
      <w:r>
        <w:rPr>
          <w:rFonts w:ascii="Calibri" w:hAnsi="Calibri" w:cs="Calibri"/>
          <w:sz w:val="22"/>
          <w:szCs w:val="22"/>
        </w:rPr>
        <w:t xml:space="preserve">, gyümölcsöskertjének gondozására kíván fordítani. </w:t>
      </w:r>
    </w:p>
    <w:p w14:paraId="7EB2E2F1" w14:textId="77777777" w:rsidR="00154DBB" w:rsidRDefault="00460367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NKA „Kortárs magyar iparművészeti alkotások megvásárlá</w:t>
      </w:r>
      <w:r w:rsidR="006B67DB">
        <w:rPr>
          <w:rFonts w:ascii="Calibri" w:hAnsi="Calibri" w:cs="Calibri"/>
          <w:sz w:val="22"/>
          <w:szCs w:val="22"/>
        </w:rPr>
        <w:t>sára a Szombathelyi Képtár számá</w:t>
      </w:r>
      <w:r>
        <w:rPr>
          <w:rFonts w:ascii="Calibri" w:hAnsi="Calibri" w:cs="Calibri"/>
          <w:sz w:val="22"/>
          <w:szCs w:val="22"/>
        </w:rPr>
        <w:t>ra” c. pályázaton 4.800 e Ft többletbevételt ért el a</w:t>
      </w:r>
      <w:r w:rsidR="006B67DB">
        <w:rPr>
          <w:rFonts w:ascii="Calibri" w:hAnsi="Calibri" w:cs="Calibri"/>
          <w:sz w:val="22"/>
          <w:szCs w:val="22"/>
        </w:rPr>
        <w:t xml:space="preserve"> múzeum, melyet</w:t>
      </w:r>
      <w:r>
        <w:rPr>
          <w:rFonts w:ascii="Calibri" w:hAnsi="Calibri" w:cs="Calibri"/>
          <w:sz w:val="22"/>
          <w:szCs w:val="22"/>
        </w:rPr>
        <w:t xml:space="preserve"> képzőművés</w:t>
      </w:r>
      <w:r w:rsidR="006B67DB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eti alkotás megvásárlásra </w:t>
      </w:r>
      <w:r w:rsidR="0035797D">
        <w:rPr>
          <w:rFonts w:ascii="Calibri" w:hAnsi="Calibri" w:cs="Calibri"/>
          <w:sz w:val="22"/>
          <w:szCs w:val="22"/>
        </w:rPr>
        <w:t>használ fel a pályázati feltételeknek megfelelve.</w:t>
      </w:r>
    </w:p>
    <w:p w14:paraId="2FB924B9" w14:textId="77777777" w:rsidR="00D405B4" w:rsidRDefault="00D405B4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CC299B5" w14:textId="77777777" w:rsidR="00154DBB" w:rsidRDefault="00AA5848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Pálos Károly Szociális Szolgáltató Központ és Gyermekjóléti Szolgálat intézményi többletbevétele </w:t>
      </w:r>
      <w:r w:rsidR="00F61D2F">
        <w:rPr>
          <w:rFonts w:ascii="Calibri" w:hAnsi="Calibri" w:cs="Calibri"/>
          <w:sz w:val="22"/>
          <w:szCs w:val="22"/>
        </w:rPr>
        <w:t>egyrészről</w:t>
      </w:r>
      <w:r w:rsidR="000422E8">
        <w:rPr>
          <w:rFonts w:ascii="Calibri" w:hAnsi="Calibri" w:cs="Calibri"/>
          <w:sz w:val="22"/>
          <w:szCs w:val="22"/>
        </w:rPr>
        <w:t xml:space="preserve"> az ellátási díjak többletbevételéből</w:t>
      </w:r>
      <w:r w:rsidR="005F41F1">
        <w:rPr>
          <w:rFonts w:ascii="Calibri" w:hAnsi="Calibri" w:cs="Calibri"/>
          <w:sz w:val="22"/>
          <w:szCs w:val="22"/>
        </w:rPr>
        <w:t xml:space="preserve"> és</w:t>
      </w:r>
      <w:r w:rsidR="000422E8">
        <w:rPr>
          <w:rFonts w:ascii="Calibri" w:hAnsi="Calibri" w:cs="Calibri"/>
          <w:sz w:val="22"/>
          <w:szCs w:val="22"/>
        </w:rPr>
        <w:t xml:space="preserve"> </w:t>
      </w:r>
      <w:r w:rsidR="005F41F1">
        <w:rPr>
          <w:rFonts w:ascii="Calibri" w:hAnsi="Calibri" w:cs="Calibri"/>
          <w:sz w:val="22"/>
          <w:szCs w:val="22"/>
        </w:rPr>
        <w:t xml:space="preserve">ÁFA visszatérülésből </w:t>
      </w:r>
      <w:r w:rsidR="000422E8">
        <w:rPr>
          <w:rFonts w:ascii="Calibri" w:hAnsi="Calibri" w:cs="Calibri"/>
          <w:sz w:val="22"/>
          <w:szCs w:val="22"/>
        </w:rPr>
        <w:t>származik</w:t>
      </w:r>
      <w:r w:rsidR="005F41F1">
        <w:rPr>
          <w:rFonts w:ascii="Calibri" w:hAnsi="Calibri" w:cs="Calibri"/>
          <w:sz w:val="22"/>
          <w:szCs w:val="22"/>
        </w:rPr>
        <w:t>. A többlet</w:t>
      </w:r>
      <w:r w:rsidR="00E304CD">
        <w:rPr>
          <w:rFonts w:ascii="Calibri" w:hAnsi="Calibri" w:cs="Calibri"/>
          <w:sz w:val="22"/>
          <w:szCs w:val="22"/>
        </w:rPr>
        <w:t xml:space="preserve"> egy része</w:t>
      </w:r>
      <w:r w:rsidR="005F41F1">
        <w:rPr>
          <w:rFonts w:ascii="Calibri" w:hAnsi="Calibri" w:cs="Calibri"/>
          <w:sz w:val="22"/>
          <w:szCs w:val="22"/>
        </w:rPr>
        <w:t xml:space="preserve"> </w:t>
      </w:r>
      <w:r w:rsidR="000422E8">
        <w:rPr>
          <w:rFonts w:ascii="Calibri" w:hAnsi="Calibri" w:cs="Calibri"/>
          <w:sz w:val="22"/>
          <w:szCs w:val="22"/>
        </w:rPr>
        <w:t>a vásárolt élelmezés többletkiadásainak fedez</w:t>
      </w:r>
      <w:r w:rsidR="006E0FE6">
        <w:rPr>
          <w:rFonts w:ascii="Calibri" w:hAnsi="Calibri" w:cs="Calibri"/>
          <w:sz w:val="22"/>
          <w:szCs w:val="22"/>
        </w:rPr>
        <w:t>e</w:t>
      </w:r>
      <w:r w:rsidR="000422E8">
        <w:rPr>
          <w:rFonts w:ascii="Calibri" w:hAnsi="Calibri" w:cs="Calibri"/>
          <w:sz w:val="22"/>
          <w:szCs w:val="22"/>
        </w:rPr>
        <w:t>tére</w:t>
      </w:r>
      <w:r w:rsidR="006E0FE6">
        <w:rPr>
          <w:rFonts w:ascii="Calibri" w:hAnsi="Calibri" w:cs="Calibri"/>
          <w:sz w:val="22"/>
          <w:szCs w:val="22"/>
        </w:rPr>
        <w:t>, illetve felhalmozási kiadások fedezetére</w:t>
      </w:r>
      <w:r w:rsidR="000422E8">
        <w:rPr>
          <w:rFonts w:ascii="Calibri" w:hAnsi="Calibri" w:cs="Calibri"/>
          <w:sz w:val="22"/>
          <w:szCs w:val="22"/>
        </w:rPr>
        <w:t xml:space="preserve"> kíván az intézmény felhasználni</w:t>
      </w:r>
      <w:r w:rsidR="005F41F1">
        <w:rPr>
          <w:rFonts w:ascii="Calibri" w:hAnsi="Calibri" w:cs="Calibri"/>
          <w:sz w:val="22"/>
          <w:szCs w:val="22"/>
        </w:rPr>
        <w:t xml:space="preserve"> (pl.</w:t>
      </w:r>
      <w:r w:rsidR="000422E8">
        <w:rPr>
          <w:rFonts w:ascii="Calibri" w:hAnsi="Calibri" w:cs="Calibri"/>
          <w:sz w:val="22"/>
          <w:szCs w:val="22"/>
        </w:rPr>
        <w:t>.</w:t>
      </w:r>
      <w:r w:rsidR="00583290" w:rsidRPr="00583290">
        <w:rPr>
          <w:rFonts w:ascii="Calibri" w:hAnsi="Calibri" w:cs="Calibri"/>
          <w:sz w:val="22"/>
          <w:szCs w:val="22"/>
        </w:rPr>
        <w:t xml:space="preserve"> </w:t>
      </w:r>
      <w:r w:rsidR="00583290">
        <w:rPr>
          <w:rFonts w:ascii="Calibri" w:hAnsi="Calibri" w:cs="Calibri"/>
          <w:sz w:val="22"/>
          <w:szCs w:val="22"/>
        </w:rPr>
        <w:t xml:space="preserve">a  Családok Átmeneti Otthonában két lakás konyhaberendezésének, kettő lakás szobaberendezésének cseréjére, </w:t>
      </w:r>
      <w:proofErr w:type="spellStart"/>
      <w:r w:rsidR="00583290">
        <w:rPr>
          <w:rFonts w:ascii="Calibri" w:hAnsi="Calibri" w:cs="Calibri"/>
          <w:sz w:val="22"/>
          <w:szCs w:val="22"/>
        </w:rPr>
        <w:t>stb</w:t>
      </w:r>
      <w:proofErr w:type="spellEnd"/>
      <w:r w:rsidR="00583290">
        <w:rPr>
          <w:rFonts w:ascii="Calibri" w:hAnsi="Calibri" w:cs="Calibri"/>
          <w:sz w:val="22"/>
          <w:szCs w:val="22"/>
        </w:rPr>
        <w:t>…)</w:t>
      </w:r>
      <w:r w:rsidR="00E304CD">
        <w:rPr>
          <w:rFonts w:ascii="Calibri" w:hAnsi="Calibri" w:cs="Calibri"/>
          <w:sz w:val="22"/>
          <w:szCs w:val="22"/>
        </w:rPr>
        <w:t xml:space="preserve"> A többlet nagyobbik része későbbi felújítási célok meghatározásáig egyelőre nem kerül felhasználásra.</w:t>
      </w:r>
    </w:p>
    <w:p w14:paraId="008FA00E" w14:textId="77777777" w:rsidR="00774D28" w:rsidRDefault="00774D28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0FBF0C3" w14:textId="77777777" w:rsidR="002F391E" w:rsidRDefault="00774D28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Jogszabályi változás következtében a területi védőnői szolgálatok működtetése 2023. július 1-től átszervezésre került. A S</w:t>
      </w:r>
      <w:r w:rsidR="002F391E">
        <w:rPr>
          <w:rFonts w:ascii="Calibri" w:hAnsi="Calibri" w:cs="Calibri"/>
          <w:sz w:val="22"/>
          <w:szCs w:val="22"/>
        </w:rPr>
        <w:t xml:space="preserve">zombathelyi Egészségügyi és </w:t>
      </w:r>
      <w:r>
        <w:rPr>
          <w:rFonts w:ascii="Calibri" w:hAnsi="Calibri" w:cs="Calibri"/>
          <w:sz w:val="22"/>
          <w:szCs w:val="22"/>
        </w:rPr>
        <w:t>Kulturális Intézmények Gazdasági Ellátó Szervezete a második félévre tervezett NEAK finanszírozásának</w:t>
      </w:r>
      <w:r w:rsidR="00EC1EEE">
        <w:rPr>
          <w:rFonts w:ascii="Calibri" w:hAnsi="Calibri" w:cs="Calibri"/>
          <w:sz w:val="22"/>
          <w:szCs w:val="22"/>
        </w:rPr>
        <w:t xml:space="preserve"> lehívására </w:t>
      </w:r>
      <w:r>
        <w:rPr>
          <w:rFonts w:ascii="Calibri" w:hAnsi="Calibri" w:cs="Calibri"/>
          <w:sz w:val="22"/>
          <w:szCs w:val="22"/>
        </w:rPr>
        <w:t>ezen időponttól már nem jogosult</w:t>
      </w:r>
      <w:r w:rsidR="00EC1EEE">
        <w:rPr>
          <w:rFonts w:ascii="Calibri" w:hAnsi="Calibri" w:cs="Calibri"/>
          <w:sz w:val="22"/>
          <w:szCs w:val="22"/>
        </w:rPr>
        <w:t>,</w:t>
      </w:r>
      <w:r w:rsidR="002F391E">
        <w:rPr>
          <w:rFonts w:ascii="Calibri" w:hAnsi="Calibri" w:cs="Calibri"/>
          <w:sz w:val="22"/>
          <w:szCs w:val="22"/>
        </w:rPr>
        <w:t xml:space="preserve"> ezért</w:t>
      </w:r>
      <w:r>
        <w:rPr>
          <w:rFonts w:ascii="Calibri" w:hAnsi="Calibri" w:cs="Calibri"/>
          <w:sz w:val="22"/>
          <w:szCs w:val="22"/>
        </w:rPr>
        <w:t xml:space="preserve"> működési bevételi előirányzatát 65.888</w:t>
      </w:r>
      <w:r w:rsidR="002F391E">
        <w:rPr>
          <w:rFonts w:ascii="Calibri" w:hAnsi="Calibri" w:cs="Calibri"/>
          <w:sz w:val="22"/>
          <w:szCs w:val="22"/>
        </w:rPr>
        <w:t xml:space="preserve"> e Ft-tal </w:t>
      </w:r>
      <w:r>
        <w:rPr>
          <w:rFonts w:ascii="Calibri" w:hAnsi="Calibri" w:cs="Calibri"/>
          <w:sz w:val="22"/>
          <w:szCs w:val="22"/>
        </w:rPr>
        <w:t>csökkenteni</w:t>
      </w:r>
      <w:r w:rsidR="002F391E">
        <w:rPr>
          <w:rFonts w:ascii="Calibri" w:hAnsi="Calibri" w:cs="Calibri"/>
          <w:sz w:val="22"/>
          <w:szCs w:val="22"/>
        </w:rPr>
        <w:t xml:space="preserve"> szükséges. </w:t>
      </w:r>
      <w:r w:rsidR="004603DF">
        <w:rPr>
          <w:rFonts w:ascii="Calibri" w:hAnsi="Calibri" w:cs="Calibri"/>
          <w:sz w:val="22"/>
          <w:szCs w:val="22"/>
        </w:rPr>
        <w:t>Az intézmény e</w:t>
      </w:r>
      <w:r w:rsidR="002F391E">
        <w:rPr>
          <w:rFonts w:ascii="Calibri" w:hAnsi="Calibri" w:cs="Calibri"/>
          <w:sz w:val="22"/>
          <w:szCs w:val="22"/>
        </w:rPr>
        <w:t xml:space="preserve">zzel egyidejűleg </w:t>
      </w:r>
      <w:r>
        <w:rPr>
          <w:rFonts w:ascii="Calibri" w:hAnsi="Calibri" w:cs="Calibri"/>
          <w:sz w:val="22"/>
          <w:szCs w:val="22"/>
        </w:rPr>
        <w:t xml:space="preserve">kiadási </w:t>
      </w:r>
      <w:r w:rsidR="002F391E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lőirányzataiva</w:t>
      </w:r>
      <w:r w:rsidR="00EC1EEE">
        <w:rPr>
          <w:rFonts w:ascii="Calibri" w:hAnsi="Calibri" w:cs="Calibri"/>
          <w:sz w:val="22"/>
          <w:szCs w:val="22"/>
        </w:rPr>
        <w:t>l</w:t>
      </w:r>
      <w:r w:rsidR="002F391E">
        <w:rPr>
          <w:rFonts w:ascii="Calibri" w:hAnsi="Calibri" w:cs="Calibri"/>
          <w:sz w:val="22"/>
          <w:szCs w:val="22"/>
        </w:rPr>
        <w:t xml:space="preserve"> ezen összeg erejéig</w:t>
      </w:r>
      <w:r w:rsidR="004603DF">
        <w:rPr>
          <w:rFonts w:ascii="Calibri" w:hAnsi="Calibri" w:cs="Calibri"/>
          <w:sz w:val="22"/>
          <w:szCs w:val="22"/>
        </w:rPr>
        <w:t xml:space="preserve"> </w:t>
      </w:r>
      <w:r w:rsidR="002F391E">
        <w:rPr>
          <w:rFonts w:ascii="Calibri" w:hAnsi="Calibri" w:cs="Calibri"/>
          <w:sz w:val="22"/>
          <w:szCs w:val="22"/>
        </w:rPr>
        <w:t>visszalép.</w:t>
      </w:r>
    </w:p>
    <w:p w14:paraId="7C501ABD" w14:textId="77777777" w:rsidR="00583290" w:rsidRDefault="00583290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81ECF51" w14:textId="77777777" w:rsidR="004603DF" w:rsidRDefault="0073786D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E</w:t>
      </w:r>
      <w:r w:rsidR="00EC1EEE">
        <w:rPr>
          <w:rFonts w:ascii="Calibri" w:hAnsi="Calibri" w:cs="Calibri"/>
          <w:sz w:val="22"/>
          <w:szCs w:val="22"/>
        </w:rPr>
        <w:t>gyesített Bölcsődei I</w:t>
      </w:r>
      <w:r>
        <w:rPr>
          <w:rFonts w:ascii="Calibri" w:hAnsi="Calibri" w:cs="Calibri"/>
          <w:sz w:val="22"/>
          <w:szCs w:val="22"/>
        </w:rPr>
        <w:t xml:space="preserve">ntézmény 9.256 e Ft Szakképzési hozzájárulást kapott tanulószerződéssel rendelkező tanulók béréhez. A többletbevétel összegével a személyi juttatások előirányzata </w:t>
      </w:r>
      <w:r w:rsidR="00EC1EEE"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>megemelésre került.</w:t>
      </w:r>
    </w:p>
    <w:p w14:paraId="41042207" w14:textId="77777777" w:rsidR="00370ABA" w:rsidRDefault="00370ABA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69A4AF2" w14:textId="77777777" w:rsidR="0073786D" w:rsidRDefault="0073786D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 Polgármesteri Hivatal</w:t>
      </w:r>
      <w:r w:rsidR="00B84CBA">
        <w:rPr>
          <w:rFonts w:ascii="Calibri" w:hAnsi="Calibri" w:cs="Calibri"/>
          <w:sz w:val="22"/>
          <w:szCs w:val="22"/>
        </w:rPr>
        <w:t xml:space="preserve"> 4.274 e Ft </w:t>
      </w:r>
      <w:r w:rsidR="00EC1EEE">
        <w:rPr>
          <w:rFonts w:ascii="Calibri" w:hAnsi="Calibri" w:cs="Calibri"/>
          <w:sz w:val="22"/>
          <w:szCs w:val="22"/>
        </w:rPr>
        <w:t>működési b</w:t>
      </w:r>
      <w:r w:rsidR="00B84CBA">
        <w:rPr>
          <w:rFonts w:ascii="Calibri" w:hAnsi="Calibri" w:cs="Calibri"/>
          <w:sz w:val="22"/>
          <w:szCs w:val="22"/>
        </w:rPr>
        <w:t>evételi többlete a mezőőri szolgálat</w:t>
      </w:r>
      <w:r w:rsidR="00370ABA">
        <w:rPr>
          <w:rFonts w:ascii="Calibri" w:hAnsi="Calibri" w:cs="Calibri"/>
          <w:sz w:val="22"/>
          <w:szCs w:val="22"/>
        </w:rPr>
        <w:t xml:space="preserve"> működéséhez</w:t>
      </w:r>
      <w:r w:rsidR="00B84CBA">
        <w:rPr>
          <w:rFonts w:ascii="Calibri" w:hAnsi="Calibri" w:cs="Calibri"/>
          <w:sz w:val="22"/>
          <w:szCs w:val="22"/>
        </w:rPr>
        <w:t xml:space="preserve"> kapott 1.080 e Ft-os tá</w:t>
      </w:r>
      <w:r w:rsidR="00EC1EEE">
        <w:rPr>
          <w:rFonts w:ascii="Calibri" w:hAnsi="Calibri" w:cs="Calibri"/>
          <w:sz w:val="22"/>
          <w:szCs w:val="22"/>
        </w:rPr>
        <w:t>mogatásból, a</w:t>
      </w:r>
      <w:r w:rsidR="0014561B">
        <w:rPr>
          <w:rFonts w:ascii="Calibri" w:hAnsi="Calibri" w:cs="Calibri"/>
          <w:sz w:val="22"/>
          <w:szCs w:val="22"/>
        </w:rPr>
        <w:t>z</w:t>
      </w:r>
      <w:r w:rsidR="00EC1EEE">
        <w:rPr>
          <w:rFonts w:ascii="Calibri" w:hAnsi="Calibri" w:cs="Calibri"/>
          <w:sz w:val="22"/>
          <w:szCs w:val="22"/>
        </w:rPr>
        <w:t xml:space="preserve"> MJVS</w:t>
      </w:r>
      <w:r w:rsidR="0014561B">
        <w:rPr>
          <w:rFonts w:ascii="Calibri" w:hAnsi="Calibri" w:cs="Calibri"/>
          <w:sz w:val="22"/>
          <w:szCs w:val="22"/>
        </w:rPr>
        <w:t>Z</w:t>
      </w:r>
      <w:r w:rsidR="00B84CBA">
        <w:rPr>
          <w:rFonts w:ascii="Calibri" w:hAnsi="Calibri" w:cs="Calibri"/>
          <w:sz w:val="22"/>
          <w:szCs w:val="22"/>
        </w:rPr>
        <w:t xml:space="preserve"> jegyzői kollégium lebonyolításához kapott 1.000 Ft </w:t>
      </w:r>
      <w:r w:rsidR="00EC1EEE">
        <w:rPr>
          <w:rFonts w:ascii="Calibri" w:hAnsi="Calibri" w:cs="Calibri"/>
          <w:sz w:val="22"/>
          <w:szCs w:val="22"/>
        </w:rPr>
        <w:t xml:space="preserve">támogatásból, valamint továbbszámlázott költségekből, diákmunka bértámogatásából </w:t>
      </w:r>
      <w:r w:rsidR="00F710B1">
        <w:rPr>
          <w:rFonts w:ascii="Calibri" w:hAnsi="Calibri" w:cs="Calibri"/>
          <w:sz w:val="22"/>
          <w:szCs w:val="22"/>
        </w:rPr>
        <w:t>tevődik össze</w:t>
      </w:r>
      <w:r w:rsidR="00EC1EEE">
        <w:rPr>
          <w:rFonts w:ascii="Calibri" w:hAnsi="Calibri" w:cs="Calibri"/>
          <w:sz w:val="22"/>
          <w:szCs w:val="22"/>
        </w:rPr>
        <w:t>, ezen összegekkel a kiadási előirányzatok is megemelésre kerültek a hivatal költségvetésében.</w:t>
      </w:r>
    </w:p>
    <w:p w14:paraId="783A0F09" w14:textId="77777777" w:rsidR="00774D28" w:rsidRDefault="002F391E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65FC667" w14:textId="77777777" w:rsidR="00500B0C" w:rsidRPr="00F14DC1" w:rsidRDefault="00500B0C" w:rsidP="009003C4">
      <w:pPr>
        <w:ind w:left="426" w:hanging="284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sz w:val="22"/>
          <w:szCs w:val="22"/>
        </w:rPr>
        <w:t xml:space="preserve">     </w:t>
      </w:r>
      <w:r w:rsidRPr="009003C4">
        <w:rPr>
          <w:rFonts w:ascii="Calibri" w:hAnsi="Calibri" w:cs="Calibri"/>
          <w:b/>
          <w:bCs/>
          <w:i/>
          <w:iCs/>
          <w:sz w:val="22"/>
          <w:szCs w:val="22"/>
        </w:rPr>
        <w:t>b)</w:t>
      </w:r>
      <w:r w:rsidR="00BF5DCF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9003C4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B6248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  <w:proofErr w:type="spellStart"/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034B3A42" w14:textId="77777777" w:rsidR="00500B0C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7806AB79" w14:textId="77777777" w:rsidR="00EB7AAE" w:rsidRPr="00F14DC1" w:rsidRDefault="00EB7AAE" w:rsidP="00500B0C">
      <w:pPr>
        <w:jc w:val="both"/>
        <w:rPr>
          <w:rFonts w:ascii="Calibri" w:hAnsi="Calibri" w:cs="Calibri"/>
          <w:sz w:val="22"/>
          <w:szCs w:val="22"/>
        </w:rPr>
      </w:pPr>
    </w:p>
    <w:p w14:paraId="32ED3553" w14:textId="77777777" w:rsidR="00500B0C" w:rsidRPr="00F14DC1" w:rsidRDefault="00500B0C" w:rsidP="000442EA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működési és felhalmozási célú államháztartáson belülről kapott támogatások, és a működési és felhalmozási célú átvett pénzeszközök bevételei</w:t>
      </w:r>
      <w:r w:rsidRPr="00F14DC1">
        <w:rPr>
          <w:rFonts w:ascii="Calibri" w:hAnsi="Calibri" w:cs="Calibri"/>
          <w:sz w:val="22"/>
          <w:szCs w:val="22"/>
        </w:rPr>
        <w:t xml:space="preserve"> jellegéből adódóan meghatározott célú kiadások teljesítésének fedezetéül szolgálnak. A működési célú előirányzat </w:t>
      </w:r>
      <w:r w:rsidR="00B27BC6">
        <w:rPr>
          <w:rFonts w:ascii="Calibri" w:hAnsi="Calibri" w:cs="Calibri"/>
          <w:sz w:val="22"/>
          <w:szCs w:val="22"/>
        </w:rPr>
        <w:t>5</w:t>
      </w:r>
      <w:r w:rsidR="00C0651E">
        <w:rPr>
          <w:rFonts w:ascii="Calibri" w:hAnsi="Calibri" w:cs="Calibri"/>
          <w:sz w:val="22"/>
          <w:szCs w:val="22"/>
        </w:rPr>
        <w:t>6</w:t>
      </w:r>
      <w:r w:rsidR="00B27BC6">
        <w:rPr>
          <w:rFonts w:ascii="Calibri" w:hAnsi="Calibri" w:cs="Calibri"/>
          <w:sz w:val="22"/>
          <w:szCs w:val="22"/>
        </w:rPr>
        <w:t>.</w:t>
      </w:r>
      <w:r w:rsidR="00C0651E">
        <w:rPr>
          <w:rFonts w:ascii="Calibri" w:hAnsi="Calibri" w:cs="Calibri"/>
          <w:sz w:val="22"/>
          <w:szCs w:val="22"/>
        </w:rPr>
        <w:t>983</w:t>
      </w:r>
      <w:r w:rsidRPr="00F14DC1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="00D95580">
        <w:rPr>
          <w:rFonts w:ascii="Calibri" w:hAnsi="Calibri" w:cs="Calibri"/>
          <w:sz w:val="22"/>
          <w:szCs w:val="22"/>
        </w:rPr>
        <w:t>eFt</w:t>
      </w:r>
      <w:proofErr w:type="spellEnd"/>
      <w:r w:rsidR="00D95580">
        <w:rPr>
          <w:rFonts w:ascii="Calibri" w:hAnsi="Calibri" w:cs="Calibri"/>
          <w:sz w:val="22"/>
          <w:szCs w:val="22"/>
        </w:rPr>
        <w:t xml:space="preserve"> összeggel növekedett.</w:t>
      </w:r>
      <w:r w:rsidR="00F65754">
        <w:rPr>
          <w:rFonts w:ascii="Calibri" w:hAnsi="Calibri" w:cs="Calibri"/>
          <w:sz w:val="22"/>
          <w:szCs w:val="22"/>
        </w:rPr>
        <w:t xml:space="preserve"> A </w:t>
      </w:r>
      <w:r w:rsidR="00B3221C">
        <w:rPr>
          <w:rFonts w:ascii="Calibri" w:hAnsi="Calibri" w:cs="Calibri"/>
          <w:sz w:val="22"/>
          <w:szCs w:val="22"/>
        </w:rPr>
        <w:t>leg</w:t>
      </w:r>
      <w:r w:rsidR="00F65754">
        <w:rPr>
          <w:rFonts w:ascii="Calibri" w:hAnsi="Calibri" w:cs="Calibri"/>
          <w:sz w:val="22"/>
          <w:szCs w:val="22"/>
        </w:rPr>
        <w:t>lényegese</w:t>
      </w:r>
      <w:r w:rsidR="00B3221C">
        <w:rPr>
          <w:rFonts w:ascii="Calibri" w:hAnsi="Calibri" w:cs="Calibri"/>
          <w:sz w:val="22"/>
          <w:szCs w:val="22"/>
        </w:rPr>
        <w:t>bbe</w:t>
      </w:r>
      <w:r w:rsidR="00F65754">
        <w:rPr>
          <w:rFonts w:ascii="Calibri" w:hAnsi="Calibri" w:cs="Calibri"/>
          <w:sz w:val="22"/>
          <w:szCs w:val="22"/>
        </w:rPr>
        <w:t>k a</w:t>
      </w:r>
      <w:r w:rsidR="00B3221C">
        <w:rPr>
          <w:rFonts w:ascii="Calibri" w:hAnsi="Calibri" w:cs="Calibri"/>
          <w:sz w:val="22"/>
          <w:szCs w:val="22"/>
        </w:rPr>
        <w:t>z alábbiak</w:t>
      </w:r>
      <w:r w:rsidR="00F65754">
        <w:rPr>
          <w:rFonts w:ascii="Calibri" w:hAnsi="Calibri" w:cs="Calibri"/>
          <w:sz w:val="22"/>
          <w:szCs w:val="22"/>
        </w:rPr>
        <w:t>:</w:t>
      </w:r>
    </w:p>
    <w:p w14:paraId="51237F01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9CC18A3" w14:textId="77777777" w:rsidR="00626CF9" w:rsidRDefault="002008F3" w:rsidP="00626CF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Leopold Bloom Art Művészeti Alapítvány 1.000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összeggel támogatta</w:t>
      </w:r>
      <w:r w:rsidR="00D95580" w:rsidRPr="00D95580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 xml:space="preserve">2023. évi </w:t>
      </w:r>
      <w:proofErr w:type="spellStart"/>
      <w:r>
        <w:rPr>
          <w:rFonts w:ascii="Calibri" w:hAnsi="Calibri" w:cs="Calibri"/>
          <w:sz w:val="22"/>
          <w:szCs w:val="22"/>
        </w:rPr>
        <w:t>Bloomsday</w:t>
      </w:r>
      <w:proofErr w:type="spellEnd"/>
      <w:r>
        <w:rPr>
          <w:rFonts w:ascii="Calibri" w:hAnsi="Calibri" w:cs="Calibri"/>
          <w:sz w:val="22"/>
          <w:szCs w:val="22"/>
        </w:rPr>
        <w:t xml:space="preserve"> rendezvényt. </w:t>
      </w:r>
      <w:r w:rsidR="00D95580" w:rsidRPr="00D95580">
        <w:rPr>
          <w:rFonts w:ascii="Calibri" w:hAnsi="Calibri" w:cs="Calibri"/>
          <w:sz w:val="22"/>
          <w:szCs w:val="22"/>
        </w:rPr>
        <w:t xml:space="preserve"> A kiadási előirányzat beemelése a „Kulturális ágazat, média kiadásai - Egyéb kulturális rendezvények” tételsorra történik</w:t>
      </w:r>
      <w:r w:rsidR="00B3221C">
        <w:rPr>
          <w:rFonts w:ascii="Calibri" w:hAnsi="Calibri" w:cs="Calibri"/>
          <w:sz w:val="22"/>
          <w:szCs w:val="22"/>
        </w:rPr>
        <w:t>.</w:t>
      </w:r>
    </w:p>
    <w:p w14:paraId="05DA05CD" w14:textId="77777777" w:rsidR="002A346F" w:rsidRPr="00F14DC1" w:rsidRDefault="002A346F" w:rsidP="007B7B75">
      <w:pPr>
        <w:pStyle w:val="Listaszerbekezds"/>
        <w:ind w:left="0"/>
        <w:rPr>
          <w:rFonts w:ascii="Calibri" w:hAnsi="Calibri" w:cs="Calibri"/>
          <w:sz w:val="22"/>
          <w:szCs w:val="22"/>
        </w:rPr>
      </w:pPr>
    </w:p>
    <w:p w14:paraId="181D421F" w14:textId="77777777" w:rsidR="002008F3" w:rsidRDefault="00C91025" w:rsidP="002008F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korábban</w:t>
      </w:r>
      <w:r w:rsidR="002008F3">
        <w:rPr>
          <w:rFonts w:ascii="Calibri" w:hAnsi="Calibri" w:cs="Calibri"/>
          <w:sz w:val="22"/>
          <w:szCs w:val="22"/>
        </w:rPr>
        <w:t xml:space="preserve"> elnyert </w:t>
      </w:r>
      <w:r w:rsidR="002008F3" w:rsidRPr="002008F3">
        <w:rPr>
          <w:rFonts w:ascii="Calibri" w:hAnsi="Calibri" w:cs="Calibri"/>
          <w:sz w:val="22"/>
          <w:szCs w:val="22"/>
        </w:rPr>
        <w:t>Európai Városi Létesítmények (European Cit</w:t>
      </w:r>
      <w:r w:rsidR="002008F3">
        <w:rPr>
          <w:rFonts w:ascii="Calibri" w:hAnsi="Calibri" w:cs="Calibri"/>
          <w:sz w:val="22"/>
          <w:szCs w:val="22"/>
        </w:rPr>
        <w:t xml:space="preserve">y </w:t>
      </w:r>
      <w:proofErr w:type="spellStart"/>
      <w:r w:rsidR="002008F3">
        <w:rPr>
          <w:rFonts w:ascii="Calibri" w:hAnsi="Calibri" w:cs="Calibri"/>
          <w:sz w:val="22"/>
          <w:szCs w:val="22"/>
        </w:rPr>
        <w:t>Facility</w:t>
      </w:r>
      <w:proofErr w:type="spellEnd"/>
      <w:r w:rsidR="002008F3">
        <w:rPr>
          <w:rFonts w:ascii="Calibri" w:hAnsi="Calibri" w:cs="Calibri"/>
          <w:sz w:val="22"/>
          <w:szCs w:val="22"/>
        </w:rPr>
        <w:t>) pályázat</w:t>
      </w:r>
      <w:r w:rsidR="002008F3" w:rsidRPr="002008F3">
        <w:rPr>
          <w:rFonts w:ascii="Calibri" w:hAnsi="Calibri" w:cs="Calibri"/>
          <w:sz w:val="22"/>
          <w:szCs w:val="22"/>
        </w:rPr>
        <w:t xml:space="preserve"> célja, hogy a városok olyan átgondolt és átfogó beruházási koncepcióval rendelkezzenek, amely hozzájárul a város Fenntartható Energia és Klíma Akciótervének a megvalósításához. </w:t>
      </w:r>
      <w:r>
        <w:rPr>
          <w:rFonts w:ascii="Calibri" w:hAnsi="Calibri" w:cs="Calibri"/>
          <w:sz w:val="22"/>
          <w:szCs w:val="22"/>
        </w:rPr>
        <w:t xml:space="preserve">A pályázat támogatására további 6.767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 került biztosításra. </w:t>
      </w:r>
      <w:r w:rsidR="002008F3" w:rsidRPr="002008F3">
        <w:rPr>
          <w:rFonts w:ascii="Calibri" w:hAnsi="Calibri" w:cs="Calibri"/>
          <w:sz w:val="22"/>
          <w:szCs w:val="22"/>
        </w:rPr>
        <w:t xml:space="preserve">Mind a bevételi, mind pedig a kiadási előirányzat beemelésre került a költségvetési rendelet módosításában. </w:t>
      </w:r>
    </w:p>
    <w:p w14:paraId="357E5F07" w14:textId="77777777" w:rsidR="008C12F8" w:rsidRDefault="008C12F8" w:rsidP="008C12F8">
      <w:pPr>
        <w:pStyle w:val="Listaszerbekezds"/>
        <w:rPr>
          <w:rFonts w:ascii="Calibri" w:hAnsi="Calibri" w:cs="Calibri"/>
          <w:sz w:val="22"/>
          <w:szCs w:val="22"/>
        </w:rPr>
      </w:pPr>
    </w:p>
    <w:p w14:paraId="4C10591F" w14:textId="77777777" w:rsidR="00E372D8" w:rsidRDefault="008C12F8" w:rsidP="00E372D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</w:t>
      </w:r>
      <w:r w:rsidRPr="008C12F8">
        <w:rPr>
          <w:rFonts w:ascii="Calibri" w:hAnsi="Calibri" w:cs="Calibri"/>
          <w:sz w:val="22"/>
          <w:szCs w:val="22"/>
        </w:rPr>
        <w:t>EI</w:t>
      </w:r>
      <w:r>
        <w:rPr>
          <w:rFonts w:ascii="Calibri" w:hAnsi="Calibri" w:cs="Calibri"/>
          <w:sz w:val="22"/>
          <w:szCs w:val="22"/>
        </w:rPr>
        <w:t xml:space="preserve">T Urban </w:t>
      </w:r>
      <w:proofErr w:type="spellStart"/>
      <w:r>
        <w:rPr>
          <w:rFonts w:ascii="Calibri" w:hAnsi="Calibri" w:cs="Calibri"/>
          <w:sz w:val="22"/>
          <w:szCs w:val="22"/>
        </w:rPr>
        <w:t>Mobility</w:t>
      </w:r>
      <w:proofErr w:type="spellEnd"/>
      <w:r>
        <w:rPr>
          <w:rFonts w:ascii="Calibri" w:hAnsi="Calibri" w:cs="Calibri"/>
          <w:sz w:val="22"/>
          <w:szCs w:val="22"/>
        </w:rPr>
        <w:t xml:space="preserve"> TICER pályázattal kapcsolatban </w:t>
      </w:r>
      <w:r w:rsidR="00E372D8">
        <w:rPr>
          <w:rFonts w:ascii="Calibri" w:hAnsi="Calibri" w:cs="Calibri"/>
          <w:sz w:val="22"/>
          <w:szCs w:val="22"/>
        </w:rPr>
        <w:t xml:space="preserve">237 </w:t>
      </w:r>
      <w:proofErr w:type="spellStart"/>
      <w:r w:rsidR="00E372D8">
        <w:rPr>
          <w:rFonts w:ascii="Calibri" w:hAnsi="Calibri" w:cs="Calibri"/>
          <w:sz w:val="22"/>
          <w:szCs w:val="22"/>
        </w:rPr>
        <w:t>eFt</w:t>
      </w:r>
      <w:proofErr w:type="spellEnd"/>
      <w:r w:rsidR="00E372D8">
        <w:rPr>
          <w:rFonts w:ascii="Calibri" w:hAnsi="Calibri" w:cs="Calibri"/>
          <w:sz w:val="22"/>
          <w:szCs w:val="22"/>
        </w:rPr>
        <w:t xml:space="preserve"> összeg támogatás érkezett. A</w:t>
      </w:r>
      <w:r>
        <w:rPr>
          <w:rFonts w:ascii="Calibri" w:hAnsi="Calibri" w:cs="Calibri"/>
          <w:sz w:val="22"/>
          <w:szCs w:val="22"/>
        </w:rPr>
        <w:t xml:space="preserve"> bevételi és kiadási előirányzat</w:t>
      </w:r>
      <w:r w:rsidR="00E372D8">
        <w:rPr>
          <w:rFonts w:ascii="Calibri" w:hAnsi="Calibri" w:cs="Calibri"/>
          <w:sz w:val="22"/>
          <w:szCs w:val="22"/>
        </w:rPr>
        <w:t xml:space="preserve"> </w:t>
      </w:r>
      <w:r w:rsidR="00E372D8" w:rsidRPr="002008F3">
        <w:rPr>
          <w:rFonts w:ascii="Calibri" w:hAnsi="Calibri" w:cs="Calibri"/>
          <w:sz w:val="22"/>
          <w:szCs w:val="22"/>
        </w:rPr>
        <w:t xml:space="preserve">beemelésre került a költségvetési rendelet módosításában. </w:t>
      </w:r>
    </w:p>
    <w:p w14:paraId="2A37E257" w14:textId="77777777" w:rsidR="002B4CC8" w:rsidRDefault="002B4CC8" w:rsidP="002B4CC8">
      <w:pPr>
        <w:jc w:val="both"/>
        <w:rPr>
          <w:rFonts w:ascii="Calibri" w:hAnsi="Calibri" w:cs="Calibri"/>
          <w:sz w:val="22"/>
          <w:szCs w:val="22"/>
        </w:rPr>
      </w:pPr>
    </w:p>
    <w:p w14:paraId="3CF2E28C" w14:textId="77777777" w:rsidR="00B27BC6" w:rsidRDefault="00F851A2" w:rsidP="0064443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</w:t>
      </w:r>
      <w:r w:rsidR="002B4CC8">
        <w:rPr>
          <w:rFonts w:ascii="Calibri" w:hAnsi="Calibri" w:cs="Calibri"/>
          <w:sz w:val="22"/>
          <w:szCs w:val="22"/>
        </w:rPr>
        <w:t>INTERREG Europe OD4GROWTH pályázat finanszírozására</w:t>
      </w:r>
      <w:r>
        <w:rPr>
          <w:rFonts w:ascii="Calibri" w:hAnsi="Calibri" w:cs="Calibri"/>
          <w:sz w:val="22"/>
          <w:szCs w:val="22"/>
        </w:rPr>
        <w:t xml:space="preserve">, amelynek célja a nyílt adatok hozzáférhetősége és felhasználhatósága a helyi fejlődés és a városok átalakulásának támogatása érdekében, 47.629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összegű támogatás került biztosításra önkormányzatunk részére. </w:t>
      </w:r>
      <w:r w:rsidRPr="002008F3">
        <w:rPr>
          <w:rFonts w:ascii="Calibri" w:hAnsi="Calibri" w:cs="Calibri"/>
          <w:sz w:val="22"/>
          <w:szCs w:val="22"/>
        </w:rPr>
        <w:t xml:space="preserve">Mind a bevételi, mind pedig a kiadási előirányzat beemelésre került a költségvetési rendelet módosításában. </w:t>
      </w:r>
    </w:p>
    <w:p w14:paraId="4CE9DE83" w14:textId="77777777" w:rsidR="007B68DF" w:rsidRDefault="007B68DF" w:rsidP="007B68DF">
      <w:pPr>
        <w:pStyle w:val="Listaszerbekezds"/>
        <w:rPr>
          <w:rFonts w:ascii="Calibri" w:hAnsi="Calibri" w:cs="Calibri"/>
          <w:sz w:val="22"/>
          <w:szCs w:val="22"/>
        </w:rPr>
      </w:pPr>
    </w:p>
    <w:p w14:paraId="430A36A2" w14:textId="77777777" w:rsidR="007B68DF" w:rsidRPr="00C0651E" w:rsidRDefault="00C400E3" w:rsidP="0064443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0651E">
        <w:rPr>
          <w:rFonts w:ascii="Calibri" w:hAnsi="Calibri" w:cs="Calibri"/>
          <w:sz w:val="22"/>
          <w:szCs w:val="22"/>
        </w:rPr>
        <w:t xml:space="preserve">A </w:t>
      </w:r>
      <w:r w:rsidR="003154A0" w:rsidRPr="00C0651E">
        <w:rPr>
          <w:rFonts w:ascii="Calibri" w:hAnsi="Calibri" w:cs="Calibri"/>
          <w:sz w:val="22"/>
          <w:szCs w:val="22"/>
        </w:rPr>
        <w:t>TOP-6.1.5-2019-00002</w:t>
      </w:r>
      <w:r w:rsidR="00775DCF" w:rsidRPr="00C0651E">
        <w:rPr>
          <w:rFonts w:ascii="Calibri" w:hAnsi="Calibri" w:cs="Calibri"/>
          <w:sz w:val="22"/>
          <w:szCs w:val="22"/>
        </w:rPr>
        <w:t xml:space="preserve"> pályázatban foglaltak szerint, a</w:t>
      </w:r>
      <w:r w:rsidR="003154A0" w:rsidRPr="00C0651E">
        <w:rPr>
          <w:rFonts w:ascii="Calibri" w:hAnsi="Calibri" w:cs="Calibri"/>
          <w:sz w:val="22"/>
          <w:szCs w:val="22"/>
        </w:rPr>
        <w:t xml:space="preserve"> </w:t>
      </w:r>
      <w:r w:rsidR="007B68DF" w:rsidRPr="00C0651E">
        <w:rPr>
          <w:rFonts w:ascii="Calibri" w:hAnsi="Calibri" w:cs="Calibri"/>
          <w:sz w:val="22"/>
          <w:szCs w:val="22"/>
        </w:rPr>
        <w:t>Ferenczy u</w:t>
      </w:r>
      <w:r w:rsidR="00574C71" w:rsidRPr="00C0651E">
        <w:rPr>
          <w:rFonts w:ascii="Calibri" w:hAnsi="Calibri" w:cs="Calibri"/>
          <w:sz w:val="22"/>
          <w:szCs w:val="22"/>
        </w:rPr>
        <w:t>. hiányzó szakaszának kiépítésére kapott 420. 312 e Ft támogatási összeg</w:t>
      </w:r>
      <w:r w:rsidR="00B3221C">
        <w:rPr>
          <w:rFonts w:ascii="Calibri" w:hAnsi="Calibri" w:cs="Calibri"/>
          <w:sz w:val="22"/>
          <w:szCs w:val="22"/>
        </w:rPr>
        <w:t xml:space="preserve"> erejéig</w:t>
      </w:r>
      <w:r w:rsidR="00574C71" w:rsidRPr="00C0651E">
        <w:rPr>
          <w:rFonts w:ascii="Calibri" w:hAnsi="Calibri" w:cs="Calibri"/>
          <w:sz w:val="22"/>
          <w:szCs w:val="22"/>
        </w:rPr>
        <w:t xml:space="preserve"> a felhalmozási célú bevételek előirányzata megemelésre került.</w:t>
      </w:r>
    </w:p>
    <w:p w14:paraId="79DEC608" w14:textId="77777777" w:rsidR="007B68DF" w:rsidRPr="00C0651E" w:rsidRDefault="007B68DF" w:rsidP="007B68DF">
      <w:pPr>
        <w:pStyle w:val="Listaszerbekezds"/>
        <w:rPr>
          <w:rFonts w:ascii="Calibri" w:hAnsi="Calibri" w:cs="Calibri"/>
          <w:sz w:val="22"/>
          <w:szCs w:val="22"/>
        </w:rPr>
      </w:pPr>
    </w:p>
    <w:p w14:paraId="7260114C" w14:textId="77777777" w:rsidR="007B68DF" w:rsidRPr="00C0651E" w:rsidRDefault="00BC05FC" w:rsidP="0064443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C0651E">
        <w:rPr>
          <w:rFonts w:ascii="Calibri" w:hAnsi="Calibri" w:cs="Calibri"/>
          <w:sz w:val="22"/>
          <w:szCs w:val="22"/>
        </w:rPr>
        <w:t>Beemelére</w:t>
      </w:r>
      <w:proofErr w:type="spellEnd"/>
      <w:r w:rsidRPr="00C0651E">
        <w:rPr>
          <w:rFonts w:ascii="Calibri" w:hAnsi="Calibri" w:cs="Calibri"/>
          <w:sz w:val="22"/>
          <w:szCs w:val="22"/>
        </w:rPr>
        <w:t xml:space="preserve"> került a</w:t>
      </w:r>
      <w:r w:rsidR="00C447C1" w:rsidRPr="00C0651E">
        <w:rPr>
          <w:rFonts w:ascii="Calibri" w:hAnsi="Calibri" w:cs="Calibri"/>
          <w:sz w:val="22"/>
          <w:szCs w:val="22"/>
        </w:rPr>
        <w:t xml:space="preserve"> költségveté</w:t>
      </w:r>
      <w:r w:rsidR="00ED5BD8" w:rsidRPr="00C0651E">
        <w:rPr>
          <w:rFonts w:ascii="Calibri" w:hAnsi="Calibri" w:cs="Calibri"/>
          <w:sz w:val="22"/>
          <w:szCs w:val="22"/>
        </w:rPr>
        <w:t xml:space="preserve">si rendelet módosítása során, a </w:t>
      </w:r>
      <w:r w:rsidR="00095B4F" w:rsidRPr="00C0651E">
        <w:rPr>
          <w:rFonts w:ascii="Calibri" w:hAnsi="Calibri" w:cs="Calibri"/>
          <w:sz w:val="22"/>
          <w:szCs w:val="22"/>
        </w:rPr>
        <w:t>TOP</w:t>
      </w:r>
      <w:r w:rsidR="00C447C1" w:rsidRPr="00C0651E">
        <w:rPr>
          <w:rFonts w:ascii="Calibri" w:hAnsi="Calibri" w:cs="Calibri"/>
          <w:sz w:val="22"/>
          <w:szCs w:val="22"/>
        </w:rPr>
        <w:t>-7</w:t>
      </w:r>
      <w:r w:rsidR="00095B4F" w:rsidRPr="00C0651E">
        <w:rPr>
          <w:rFonts w:ascii="Calibri" w:hAnsi="Calibri" w:cs="Calibri"/>
          <w:sz w:val="22"/>
          <w:szCs w:val="22"/>
        </w:rPr>
        <w:t>.</w:t>
      </w:r>
      <w:r w:rsidR="00C447C1" w:rsidRPr="00C0651E">
        <w:rPr>
          <w:rFonts w:ascii="Calibri" w:hAnsi="Calibri" w:cs="Calibri"/>
          <w:sz w:val="22"/>
          <w:szCs w:val="22"/>
        </w:rPr>
        <w:t xml:space="preserve">1.1-16-H-ERFA-2020-000782. sz. </w:t>
      </w:r>
      <w:r w:rsidRPr="00C0651E">
        <w:rPr>
          <w:rFonts w:ascii="Calibri" w:hAnsi="Calibri" w:cs="Calibri"/>
          <w:sz w:val="22"/>
          <w:szCs w:val="22"/>
        </w:rPr>
        <w:t>B</w:t>
      </w:r>
      <w:r w:rsidR="007B68DF" w:rsidRPr="00C0651E">
        <w:rPr>
          <w:rFonts w:ascii="Calibri" w:hAnsi="Calibri" w:cs="Calibri"/>
          <w:sz w:val="22"/>
          <w:szCs w:val="22"/>
        </w:rPr>
        <w:t>elvárosi közösségi tér</w:t>
      </w:r>
      <w:r w:rsidR="00775DCF" w:rsidRPr="00C0651E">
        <w:rPr>
          <w:rFonts w:ascii="Calibri" w:hAnsi="Calibri" w:cs="Calibri"/>
          <w:sz w:val="22"/>
          <w:szCs w:val="22"/>
        </w:rPr>
        <w:t xml:space="preserve"> fejlesztése</w:t>
      </w:r>
      <w:r w:rsidRPr="00C0651E">
        <w:rPr>
          <w:rFonts w:ascii="Calibri" w:hAnsi="Calibri" w:cs="Calibri"/>
          <w:sz w:val="22"/>
          <w:szCs w:val="22"/>
        </w:rPr>
        <w:t xml:space="preserve"> </w:t>
      </w:r>
      <w:r w:rsidR="00C447C1" w:rsidRPr="00C0651E">
        <w:rPr>
          <w:rFonts w:ascii="Calibri" w:hAnsi="Calibri" w:cs="Calibri"/>
          <w:sz w:val="22"/>
          <w:szCs w:val="22"/>
        </w:rPr>
        <w:t>pályázat</w:t>
      </w:r>
      <w:r w:rsidR="00ED5BD8" w:rsidRPr="00C0651E">
        <w:rPr>
          <w:rFonts w:ascii="Calibri" w:hAnsi="Calibri" w:cs="Calibri"/>
          <w:sz w:val="22"/>
          <w:szCs w:val="22"/>
        </w:rPr>
        <w:t>,</w:t>
      </w:r>
      <w:r w:rsidR="00C447C1" w:rsidRPr="00C0651E">
        <w:rPr>
          <w:rFonts w:ascii="Calibri" w:hAnsi="Calibri" w:cs="Calibri"/>
          <w:sz w:val="22"/>
          <w:szCs w:val="22"/>
        </w:rPr>
        <w:t xml:space="preserve"> </w:t>
      </w:r>
      <w:r w:rsidR="00775DCF" w:rsidRPr="00C0651E">
        <w:rPr>
          <w:rFonts w:ascii="Calibri" w:hAnsi="Calibri" w:cs="Calibri"/>
          <w:sz w:val="22"/>
          <w:szCs w:val="22"/>
        </w:rPr>
        <w:t>6.023 e Ft</w:t>
      </w:r>
      <w:r w:rsidRPr="00C0651E">
        <w:rPr>
          <w:rFonts w:ascii="Calibri" w:hAnsi="Calibri" w:cs="Calibri"/>
          <w:sz w:val="22"/>
          <w:szCs w:val="22"/>
        </w:rPr>
        <w:t xml:space="preserve"> </w:t>
      </w:r>
      <w:r w:rsidR="00C447C1" w:rsidRPr="00C0651E">
        <w:rPr>
          <w:rFonts w:ascii="Calibri" w:hAnsi="Calibri" w:cs="Calibri"/>
          <w:sz w:val="22"/>
          <w:szCs w:val="22"/>
        </w:rPr>
        <w:t>összegű támogatása.</w:t>
      </w:r>
    </w:p>
    <w:p w14:paraId="6A847C21" w14:textId="77777777" w:rsidR="000D5C35" w:rsidRPr="00803330" w:rsidRDefault="000D5C35" w:rsidP="00803330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79AF100" w14:textId="77777777" w:rsidR="00500B0C" w:rsidRPr="004137CD" w:rsidRDefault="00500B0C" w:rsidP="007B68DF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641FCE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4137CD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0E1C863D" w14:textId="77777777" w:rsidR="004137CD" w:rsidRPr="00F14DC1" w:rsidRDefault="004137CD" w:rsidP="004137CD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775681BD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CBC169C" w14:textId="77777777" w:rsidR="00500B0C" w:rsidRPr="007B68DF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d)</w:t>
      </w:r>
      <w:r w:rsidR="00BF5DCF"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7B68D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működéshez</w:t>
      </w:r>
      <w:r w:rsidR="00E43772" w:rsidRPr="007B68D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és felhalmozáshoz</w:t>
      </w:r>
      <w:r w:rsidRPr="007B68D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kapcsolódó</w:t>
      </w:r>
      <w:r w:rsidRPr="007B68DF">
        <w:rPr>
          <w:rFonts w:ascii="Calibri" w:hAnsi="Calibri" w:cs="Calibri"/>
          <w:bCs/>
          <w:iCs/>
          <w:sz w:val="22"/>
          <w:szCs w:val="22"/>
        </w:rPr>
        <w:t xml:space="preserve"> – </w:t>
      </w:r>
      <w:r w:rsidRPr="007B68DF">
        <w:rPr>
          <w:rFonts w:ascii="Calibri" w:hAnsi="Calibri" w:cs="Calibri"/>
          <w:sz w:val="22"/>
          <w:szCs w:val="22"/>
        </w:rPr>
        <w:t xml:space="preserve">jelen módosításban beemelésre kerülő -  </w:t>
      </w:r>
      <w:r w:rsidRPr="007B68D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többletbevételek</w:t>
      </w:r>
      <w:r w:rsidRPr="007B68DF">
        <w:rPr>
          <w:rFonts w:ascii="Calibri" w:hAnsi="Calibri" w:cs="Calibri"/>
          <w:sz w:val="22"/>
          <w:szCs w:val="22"/>
        </w:rPr>
        <w:t xml:space="preserve"> összege </w:t>
      </w:r>
      <w:r w:rsidR="00E43772" w:rsidRPr="007B68DF">
        <w:rPr>
          <w:rFonts w:ascii="Calibri" w:hAnsi="Calibri" w:cs="Calibri"/>
          <w:sz w:val="22"/>
          <w:szCs w:val="22"/>
        </w:rPr>
        <w:t>mind</w:t>
      </w:r>
      <w:r w:rsidRPr="007B68DF">
        <w:rPr>
          <w:rFonts w:ascii="Calibri" w:hAnsi="Calibri" w:cs="Calibri"/>
          <w:sz w:val="22"/>
          <w:szCs w:val="22"/>
        </w:rPr>
        <w:t xml:space="preserve">összesen  </w:t>
      </w:r>
      <w:r w:rsidR="007B68DF" w:rsidRPr="007B68DF">
        <w:rPr>
          <w:rFonts w:ascii="Calibri" w:hAnsi="Calibri" w:cs="Calibri"/>
          <w:sz w:val="22"/>
          <w:szCs w:val="22"/>
        </w:rPr>
        <w:t>13.414</w:t>
      </w:r>
      <w:r w:rsidRPr="007B68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68DF">
        <w:rPr>
          <w:rFonts w:ascii="Calibri" w:hAnsi="Calibri" w:cs="Calibri"/>
          <w:sz w:val="22"/>
          <w:szCs w:val="22"/>
        </w:rPr>
        <w:t>eFt</w:t>
      </w:r>
      <w:proofErr w:type="spellEnd"/>
      <w:r w:rsidRPr="007B68DF">
        <w:rPr>
          <w:rFonts w:ascii="Calibri" w:hAnsi="Calibri" w:cs="Calibri"/>
          <w:sz w:val="22"/>
          <w:szCs w:val="22"/>
        </w:rPr>
        <w:t xml:space="preserve">.  </w:t>
      </w:r>
    </w:p>
    <w:p w14:paraId="66BC4EB0" w14:textId="77777777" w:rsidR="00500B0C" w:rsidRPr="00644437" w:rsidRDefault="00500B0C" w:rsidP="00500B0C">
      <w:pPr>
        <w:ind w:left="3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123A4FB" w14:textId="77777777" w:rsidR="00E8771F" w:rsidRPr="00644437" w:rsidRDefault="00E8771F" w:rsidP="00E8771F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F7D125E" w14:textId="77777777" w:rsidR="00500B0C" w:rsidRPr="001B3DE2" w:rsidRDefault="00F11F00" w:rsidP="00F11F00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1B3DE2">
        <w:rPr>
          <w:rFonts w:ascii="Calibri" w:hAnsi="Calibri" w:cs="Calibri"/>
          <w:sz w:val="22"/>
          <w:szCs w:val="22"/>
        </w:rPr>
        <w:t>A „Köztemetés költségeinek megtérítése más önkormányzatoktól</w:t>
      </w:r>
      <w:r w:rsidR="00442593" w:rsidRPr="001B3DE2">
        <w:rPr>
          <w:rFonts w:ascii="Calibri" w:hAnsi="Calibri" w:cs="Calibri"/>
          <w:sz w:val="22"/>
          <w:szCs w:val="22"/>
        </w:rPr>
        <w:t>”</w:t>
      </w:r>
      <w:r w:rsidRPr="001B3DE2">
        <w:rPr>
          <w:rFonts w:ascii="Calibri" w:hAnsi="Calibri" w:cs="Calibri"/>
          <w:sz w:val="22"/>
          <w:szCs w:val="22"/>
        </w:rPr>
        <w:t xml:space="preserve"> </w:t>
      </w:r>
      <w:r w:rsidR="00B3221C">
        <w:rPr>
          <w:rFonts w:ascii="Calibri" w:hAnsi="Calibri" w:cs="Calibri"/>
          <w:sz w:val="22"/>
          <w:szCs w:val="22"/>
        </w:rPr>
        <w:t>címen kapott</w:t>
      </w:r>
      <w:r w:rsidRPr="001B3DE2">
        <w:rPr>
          <w:rFonts w:ascii="Calibri" w:hAnsi="Calibri" w:cs="Calibri"/>
          <w:sz w:val="22"/>
          <w:szCs w:val="22"/>
        </w:rPr>
        <w:t xml:space="preserve"> többlet</w:t>
      </w:r>
      <w:r w:rsidR="00500B0C" w:rsidRPr="001B3DE2">
        <w:rPr>
          <w:rFonts w:ascii="Calibri" w:hAnsi="Calibri" w:cs="Calibri"/>
          <w:sz w:val="22"/>
          <w:szCs w:val="22"/>
        </w:rPr>
        <w:t xml:space="preserve"> a „Segély önkormányzati támogatásból” tételr</w:t>
      </w:r>
      <w:r w:rsidRPr="001B3DE2">
        <w:rPr>
          <w:rFonts w:ascii="Calibri" w:hAnsi="Calibri" w:cs="Calibri"/>
          <w:sz w:val="22"/>
          <w:szCs w:val="22"/>
        </w:rPr>
        <w:t>e került</w:t>
      </w:r>
      <w:r w:rsidR="00BF0634">
        <w:rPr>
          <w:rFonts w:ascii="Calibri" w:hAnsi="Calibri" w:cs="Calibri"/>
          <w:sz w:val="22"/>
          <w:szCs w:val="22"/>
        </w:rPr>
        <w:t xml:space="preserve"> beemelésre </w:t>
      </w:r>
      <w:r w:rsidRPr="001B3DE2">
        <w:rPr>
          <w:rFonts w:ascii="Calibri" w:hAnsi="Calibri" w:cs="Calibri"/>
          <w:sz w:val="22"/>
          <w:szCs w:val="22"/>
        </w:rPr>
        <w:t>1.471</w:t>
      </w:r>
      <w:r w:rsidR="00726477" w:rsidRPr="001B3D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00B0C" w:rsidRPr="001B3DE2">
        <w:rPr>
          <w:rFonts w:ascii="Calibri" w:hAnsi="Calibri" w:cs="Calibri"/>
          <w:sz w:val="22"/>
          <w:szCs w:val="22"/>
        </w:rPr>
        <w:t>eFt</w:t>
      </w:r>
      <w:proofErr w:type="spellEnd"/>
      <w:r w:rsidR="00500B0C" w:rsidRPr="001B3DE2">
        <w:rPr>
          <w:rFonts w:ascii="Calibri" w:hAnsi="Calibri" w:cs="Calibri"/>
          <w:sz w:val="22"/>
          <w:szCs w:val="22"/>
        </w:rPr>
        <w:t xml:space="preserve"> összegben.</w:t>
      </w:r>
    </w:p>
    <w:p w14:paraId="6C366A2D" w14:textId="77777777" w:rsidR="003622DB" w:rsidRPr="00644437" w:rsidRDefault="003622DB" w:rsidP="009B5448">
      <w:pPr>
        <w:jc w:val="both"/>
        <w:rPr>
          <w:rFonts w:ascii="Calibri" w:hAnsi="Calibri" w:cs="Calibri"/>
          <w:color w:val="FF0000"/>
          <w:sz w:val="22"/>
          <w:szCs w:val="22"/>
          <w:highlight w:val="yellow"/>
        </w:rPr>
      </w:pPr>
    </w:p>
    <w:p w14:paraId="7E942BDE" w14:textId="77777777" w:rsidR="002C594F" w:rsidRPr="001B3DE2" w:rsidRDefault="00E43772" w:rsidP="002C594F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B3DE2">
        <w:rPr>
          <w:rFonts w:ascii="Calibri" w:hAnsi="Calibri" w:cs="Calibri"/>
          <w:sz w:val="22"/>
          <w:szCs w:val="22"/>
        </w:rPr>
        <w:t>A Közösségi Bérlakás Rendszer működéséhez kapcsolódó többletbevétel összege</w:t>
      </w:r>
      <w:r w:rsidR="00B3221C">
        <w:rPr>
          <w:rFonts w:ascii="Calibri" w:hAnsi="Calibri" w:cs="Calibri"/>
          <w:sz w:val="22"/>
          <w:szCs w:val="22"/>
        </w:rPr>
        <w:t xml:space="preserve"> -</w:t>
      </w:r>
      <w:r w:rsidRPr="001B3DE2">
        <w:rPr>
          <w:rFonts w:ascii="Calibri" w:hAnsi="Calibri" w:cs="Calibri"/>
          <w:sz w:val="22"/>
          <w:szCs w:val="22"/>
        </w:rPr>
        <w:t xml:space="preserve"> mely </w:t>
      </w:r>
      <w:r w:rsidR="001B3DE2" w:rsidRPr="001B3DE2">
        <w:rPr>
          <w:rFonts w:ascii="Calibri" w:hAnsi="Calibri" w:cs="Calibri"/>
          <w:sz w:val="22"/>
          <w:szCs w:val="22"/>
        </w:rPr>
        <w:t>8.292</w:t>
      </w:r>
      <w:r w:rsidRPr="001B3D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B3DE2">
        <w:rPr>
          <w:rFonts w:ascii="Calibri" w:hAnsi="Calibri" w:cs="Calibri"/>
          <w:sz w:val="22"/>
          <w:szCs w:val="22"/>
        </w:rPr>
        <w:t>eFt</w:t>
      </w:r>
      <w:proofErr w:type="spellEnd"/>
      <w:r w:rsidR="00B3221C">
        <w:rPr>
          <w:rFonts w:ascii="Calibri" w:hAnsi="Calibri" w:cs="Calibri"/>
          <w:sz w:val="22"/>
          <w:szCs w:val="22"/>
        </w:rPr>
        <w:t xml:space="preserve"> -</w:t>
      </w:r>
      <w:r w:rsidRPr="001B3DE2">
        <w:rPr>
          <w:rFonts w:ascii="Calibri" w:hAnsi="Calibri" w:cs="Calibri"/>
          <w:sz w:val="22"/>
          <w:szCs w:val="22"/>
        </w:rPr>
        <w:t xml:space="preserve"> beemelésre került a Közösségi Bérlakás Rendszer kiadási előirányzatára. </w:t>
      </w:r>
    </w:p>
    <w:p w14:paraId="1563D6AB" w14:textId="77777777" w:rsidR="00B42C61" w:rsidRPr="00644437" w:rsidRDefault="00B42C61" w:rsidP="00B42C61">
      <w:pPr>
        <w:pStyle w:val="Listaszerbekezds"/>
        <w:rPr>
          <w:rFonts w:ascii="Calibri" w:hAnsi="Calibri" w:cs="Calibri"/>
          <w:sz w:val="22"/>
          <w:szCs w:val="22"/>
          <w:highlight w:val="yellow"/>
        </w:rPr>
      </w:pPr>
    </w:p>
    <w:p w14:paraId="322F0AB4" w14:textId="77777777" w:rsidR="003622DB" w:rsidRDefault="00C72573" w:rsidP="009B544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7B68DF">
        <w:rPr>
          <w:rFonts w:ascii="Calibri" w:hAnsi="Calibri" w:cs="Calibri"/>
          <w:sz w:val="22"/>
          <w:szCs w:val="22"/>
        </w:rPr>
        <w:t>A 2023</w:t>
      </w:r>
      <w:r w:rsidR="00BF0634" w:rsidRPr="007B68DF">
        <w:rPr>
          <w:rFonts w:ascii="Calibri" w:hAnsi="Calibri" w:cs="Calibri"/>
          <w:sz w:val="22"/>
          <w:szCs w:val="22"/>
        </w:rPr>
        <w:t>. évi I – VIII</w:t>
      </w:r>
      <w:r w:rsidR="002E1C5F" w:rsidRPr="007B68DF">
        <w:rPr>
          <w:rFonts w:ascii="Calibri" w:hAnsi="Calibri" w:cs="Calibri"/>
          <w:sz w:val="22"/>
          <w:szCs w:val="22"/>
        </w:rPr>
        <w:t>. havi teljesítési adat</w:t>
      </w:r>
      <w:r w:rsidR="00D130F1" w:rsidRPr="007B68DF">
        <w:rPr>
          <w:rFonts w:ascii="Calibri" w:hAnsi="Calibri" w:cs="Calibri"/>
          <w:sz w:val="22"/>
          <w:szCs w:val="22"/>
        </w:rPr>
        <w:t xml:space="preserve">ok alapján a </w:t>
      </w:r>
      <w:r w:rsidR="00BF0634" w:rsidRPr="007B68DF">
        <w:rPr>
          <w:rFonts w:ascii="Calibri" w:hAnsi="Calibri" w:cs="Calibri"/>
          <w:sz w:val="22"/>
          <w:szCs w:val="22"/>
        </w:rPr>
        <w:t xml:space="preserve">„Vásárok bevétele” </w:t>
      </w:r>
      <w:r w:rsidR="00B3221C">
        <w:rPr>
          <w:rFonts w:ascii="Calibri" w:hAnsi="Calibri" w:cs="Calibri"/>
          <w:sz w:val="22"/>
          <w:szCs w:val="22"/>
        </w:rPr>
        <w:t xml:space="preserve">költségvetési sor </w:t>
      </w:r>
      <w:r w:rsidR="00BF0634" w:rsidRPr="007B68DF">
        <w:rPr>
          <w:rFonts w:ascii="Calibri" w:hAnsi="Calibri" w:cs="Calibri"/>
          <w:sz w:val="22"/>
          <w:szCs w:val="22"/>
        </w:rPr>
        <w:t>többlete 1.618</w:t>
      </w:r>
      <w:r w:rsidR="002E1C5F" w:rsidRPr="007B68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E1C5F" w:rsidRPr="007B68DF">
        <w:rPr>
          <w:rFonts w:ascii="Calibri" w:hAnsi="Calibri" w:cs="Calibri"/>
          <w:sz w:val="22"/>
          <w:szCs w:val="22"/>
        </w:rPr>
        <w:t>eFt</w:t>
      </w:r>
      <w:proofErr w:type="spellEnd"/>
      <w:r w:rsidR="002E1C5F" w:rsidRPr="007B68DF">
        <w:rPr>
          <w:rFonts w:ascii="Calibri" w:hAnsi="Calibri" w:cs="Calibri"/>
          <w:sz w:val="22"/>
          <w:szCs w:val="22"/>
        </w:rPr>
        <w:t xml:space="preserve">. Ezen összeggel megemelésre került a „Vásárok, rendezvények, karácsonyi díszkivilágítás” kiadási előirányzat. </w:t>
      </w:r>
      <w:r w:rsidR="00E8771F" w:rsidRPr="007B68DF">
        <w:rPr>
          <w:rFonts w:ascii="Calibri" w:hAnsi="Calibri" w:cs="Calibri"/>
          <w:sz w:val="22"/>
          <w:szCs w:val="22"/>
        </w:rPr>
        <w:t xml:space="preserve">  </w:t>
      </w:r>
    </w:p>
    <w:p w14:paraId="51BA7827" w14:textId="77777777" w:rsidR="007B68DF" w:rsidRDefault="007B68DF" w:rsidP="007B68DF">
      <w:pPr>
        <w:pStyle w:val="Listaszerbekezds"/>
        <w:rPr>
          <w:rFonts w:ascii="Calibri" w:hAnsi="Calibri" w:cs="Calibri"/>
          <w:sz w:val="22"/>
          <w:szCs w:val="22"/>
        </w:rPr>
      </w:pPr>
    </w:p>
    <w:p w14:paraId="79A0450F" w14:textId="77777777" w:rsidR="0060684C" w:rsidRPr="00F977FB" w:rsidRDefault="00F977FB" w:rsidP="0056126E">
      <w:pPr>
        <w:numPr>
          <w:ilvl w:val="0"/>
          <w:numId w:val="3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977FB">
        <w:rPr>
          <w:rFonts w:ascii="Calibri" w:hAnsi="Calibri" w:cs="Calibri"/>
          <w:sz w:val="22"/>
          <w:szCs w:val="22"/>
        </w:rPr>
        <w:t xml:space="preserve">A Markusovszky körforgalom építése kapcsán 2 db közútcsatlakozás 1.940 </w:t>
      </w:r>
      <w:proofErr w:type="spellStart"/>
      <w:r w:rsidRPr="00F977FB">
        <w:rPr>
          <w:rFonts w:ascii="Calibri" w:hAnsi="Calibri" w:cs="Calibri"/>
          <w:sz w:val="22"/>
          <w:szCs w:val="22"/>
        </w:rPr>
        <w:t>eFt</w:t>
      </w:r>
      <w:proofErr w:type="spellEnd"/>
      <w:r w:rsidRPr="00F977FB">
        <w:rPr>
          <w:rFonts w:ascii="Calibri" w:hAnsi="Calibri" w:cs="Calibri"/>
          <w:sz w:val="22"/>
          <w:szCs w:val="22"/>
        </w:rPr>
        <w:t xml:space="preserve"> öss</w:t>
      </w:r>
      <w:r>
        <w:rPr>
          <w:rFonts w:ascii="Calibri" w:hAnsi="Calibri" w:cs="Calibri"/>
          <w:sz w:val="22"/>
          <w:szCs w:val="22"/>
        </w:rPr>
        <w:t>z</w:t>
      </w:r>
      <w:r w:rsidRPr="00F977FB">
        <w:rPr>
          <w:rFonts w:ascii="Calibri" w:hAnsi="Calibri" w:cs="Calibri"/>
          <w:sz w:val="22"/>
          <w:szCs w:val="22"/>
        </w:rPr>
        <w:t xml:space="preserve">ege került </w:t>
      </w:r>
      <w:proofErr w:type="spellStart"/>
      <w:r w:rsidRPr="00F977FB">
        <w:rPr>
          <w:rFonts w:ascii="Calibri" w:hAnsi="Calibri" w:cs="Calibri"/>
          <w:sz w:val="22"/>
          <w:szCs w:val="22"/>
        </w:rPr>
        <w:t>továbbszámlázásra</w:t>
      </w:r>
      <w:proofErr w:type="spellEnd"/>
      <w:r>
        <w:rPr>
          <w:rFonts w:ascii="Calibri" w:hAnsi="Calibri" w:cs="Calibri"/>
          <w:sz w:val="22"/>
          <w:szCs w:val="22"/>
        </w:rPr>
        <w:t>, amely</w:t>
      </w:r>
      <w:r w:rsidR="00B3221C"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z w:val="22"/>
          <w:szCs w:val="22"/>
        </w:rPr>
        <w:t xml:space="preserve"> összegét 2.834 </w:t>
      </w:r>
      <w:proofErr w:type="spellStart"/>
      <w:r>
        <w:rPr>
          <w:rFonts w:ascii="Calibri" w:hAnsi="Calibri" w:cs="Calibri"/>
          <w:sz w:val="22"/>
          <w:szCs w:val="22"/>
        </w:rPr>
        <w:t>eFt-al</w:t>
      </w:r>
      <w:proofErr w:type="spellEnd"/>
      <w:r>
        <w:rPr>
          <w:rFonts w:ascii="Calibri" w:hAnsi="Calibri" w:cs="Calibri"/>
          <w:sz w:val="22"/>
          <w:szCs w:val="22"/>
        </w:rPr>
        <w:t xml:space="preserve"> kiegészítve a</w:t>
      </w:r>
      <w:r w:rsidR="004B2B29">
        <w:rPr>
          <w:rFonts w:ascii="Calibri" w:hAnsi="Calibri" w:cs="Calibri"/>
          <w:sz w:val="22"/>
          <w:szCs w:val="22"/>
        </w:rPr>
        <w:t xml:space="preserve"> vízkivételi mű részét képező ülepítő medence elbontására teremtünk fedezetet.</w:t>
      </w:r>
    </w:p>
    <w:p w14:paraId="148648F0" w14:textId="77777777" w:rsidR="00F977FB" w:rsidRDefault="00F977FB" w:rsidP="00F977FB">
      <w:pPr>
        <w:pStyle w:val="Listaszerbekezds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7EA8D5A8" w14:textId="77777777" w:rsidR="00F977FB" w:rsidRPr="00F977FB" w:rsidRDefault="00F977FB" w:rsidP="00F977FB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2E199042" w14:textId="77777777" w:rsidR="00500B0C" w:rsidRPr="00F14DC1" w:rsidRDefault="009723BC" w:rsidP="009723BC">
      <w:pPr>
        <w:numPr>
          <w:ilvl w:val="0"/>
          <w:numId w:val="5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-2.834</w:t>
      </w:r>
      <w:r w:rsidR="00057C30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25C00221" w14:textId="77777777" w:rsidR="00500B0C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521E70C6" w14:textId="77777777" w:rsidR="007E1EEA" w:rsidRDefault="007E1EEA" w:rsidP="007E1EEA">
      <w:pPr>
        <w:keepNext/>
        <w:jc w:val="both"/>
        <w:outlineLvl w:val="7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74D92C06" w14:textId="77777777" w:rsidR="000120C1" w:rsidRDefault="000120C1" w:rsidP="007E1EEA">
      <w:pPr>
        <w:keepNext/>
        <w:jc w:val="both"/>
        <w:outlineLvl w:val="7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A7AE90D" w14:textId="77777777" w:rsidR="00A60C2A" w:rsidRPr="007E1EEA" w:rsidRDefault="00500B0C" w:rsidP="000442EA">
      <w:pPr>
        <w:keepNext/>
        <w:numPr>
          <w:ilvl w:val="0"/>
          <w:numId w:val="13"/>
        </w:numPr>
        <w:jc w:val="both"/>
        <w:outlineLvl w:val="7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sz w:val="22"/>
          <w:szCs w:val="22"/>
          <w:u w:val="single"/>
        </w:rPr>
        <w:t>A Polgármesteri rendelkezések alapján történt előirányzat átcsoportosítások:</w:t>
      </w:r>
    </w:p>
    <w:p w14:paraId="684B6FC3" w14:textId="77777777" w:rsidR="00A60C2A" w:rsidRPr="00F14DC1" w:rsidRDefault="00A60C2A" w:rsidP="00500B0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2008"/>
      </w:tblGrid>
      <w:tr w:rsidR="00500B0C" w:rsidRPr="00F14DC1" w14:paraId="5AE76E8C" w14:textId="77777777" w:rsidTr="00F172A1">
        <w:trPr>
          <w:trHeight w:val="576"/>
        </w:trPr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310B7617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1FBE1990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500B0C" w:rsidRPr="00F14DC1" w14:paraId="5D541BC0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B88C467" w14:textId="77777777" w:rsidR="00500B0C" w:rsidRPr="00C50D1D" w:rsidRDefault="006062E8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6062E8">
              <w:rPr>
                <w:rFonts w:ascii="Calibri" w:hAnsi="Calibri" w:cs="Calibri"/>
                <w:sz w:val="22"/>
                <w:szCs w:val="22"/>
              </w:rPr>
              <w:t xml:space="preserve">Egyéb, más ágazathoz nem sorolható intézmények és feladatok kiadásai - Savaria Karnevál megrendezése, kulturális rendezvények, fesztiválok megrendezése (Savaria Turizmus </w:t>
            </w:r>
            <w:proofErr w:type="spellStart"/>
            <w:r w:rsidRPr="006062E8">
              <w:rPr>
                <w:rFonts w:ascii="Calibri" w:hAnsi="Calibri" w:cs="Calibri"/>
                <w:sz w:val="22"/>
                <w:szCs w:val="22"/>
              </w:rPr>
              <w:t>Nkft</w:t>
            </w:r>
            <w:proofErr w:type="spellEnd"/>
            <w:r w:rsidRPr="006062E8">
              <w:rPr>
                <w:rFonts w:ascii="Calibri" w:hAnsi="Calibri" w:cs="Calibri"/>
                <w:sz w:val="22"/>
                <w:szCs w:val="22"/>
              </w:rPr>
              <w:t>., egyéb kiadások, stb.)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E39190" w14:textId="77777777" w:rsidR="00500B0C" w:rsidRPr="00144257" w:rsidRDefault="006062E8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+1.300</w:t>
            </w:r>
          </w:p>
        </w:tc>
      </w:tr>
      <w:tr w:rsidR="00500B0C" w:rsidRPr="00F14DC1" w14:paraId="2D8FBD0F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B977CD" w14:textId="77777777" w:rsidR="00500B0C" w:rsidRPr="00F14011" w:rsidRDefault="006062E8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6062E8">
              <w:rPr>
                <w:rFonts w:ascii="Calibri" w:hAnsi="Calibri" w:cs="Calibri"/>
                <w:sz w:val="22"/>
                <w:szCs w:val="22"/>
              </w:rPr>
              <w:t>Tartalékok - Általános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C35F89F" w14:textId="77777777" w:rsidR="00500B0C" w:rsidRPr="00746BFE" w:rsidRDefault="006062E8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-1.300</w:t>
            </w:r>
          </w:p>
        </w:tc>
      </w:tr>
      <w:tr w:rsidR="00AD4DFE" w:rsidRPr="00F14DC1" w14:paraId="2A4EB092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54C55B" w14:textId="77777777" w:rsidR="00AD4DFE" w:rsidRPr="00F14011" w:rsidRDefault="006062E8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6062E8">
              <w:rPr>
                <w:rFonts w:ascii="Calibri" w:hAnsi="Calibri" w:cs="Calibri"/>
                <w:sz w:val="22"/>
                <w:szCs w:val="22"/>
              </w:rPr>
              <w:t>Önkormányzati felhalmozási kiadások - Informatikai fejlesztések -Digitális Óvoda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43D41" w14:textId="77777777" w:rsidR="00AD4DFE" w:rsidRPr="00144257" w:rsidRDefault="006062E8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+4.500</w:t>
            </w:r>
          </w:p>
        </w:tc>
      </w:tr>
      <w:tr w:rsidR="00AD4DFE" w:rsidRPr="00F14DC1" w14:paraId="047B32E2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D88F3B" w14:textId="77777777" w:rsidR="00AD4DFE" w:rsidRPr="00F14011" w:rsidRDefault="006062E8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6062E8">
              <w:rPr>
                <w:rFonts w:ascii="Calibri" w:hAnsi="Calibri" w:cs="Calibri"/>
                <w:sz w:val="22"/>
                <w:szCs w:val="22"/>
              </w:rPr>
              <w:t>Tartalékok - Általános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9FB9B22" w14:textId="77777777" w:rsidR="006062E8" w:rsidRPr="00144257" w:rsidRDefault="006062E8" w:rsidP="006062E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-4.500</w:t>
            </w:r>
          </w:p>
        </w:tc>
      </w:tr>
      <w:tr w:rsidR="00AD4DFE" w:rsidRPr="00F14DC1" w14:paraId="48F6F2D4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5BBF2E" w14:textId="77777777" w:rsidR="00AD4DFE" w:rsidRPr="00F14011" w:rsidRDefault="005E0CE3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Önkormányzati felhalmozási kiadások - Fürdő utca burkolat felújítás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C1E83B" w14:textId="77777777" w:rsidR="00AD4DFE" w:rsidRPr="00EF42E0" w:rsidRDefault="005E0CE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+5.100</w:t>
            </w:r>
          </w:p>
        </w:tc>
      </w:tr>
      <w:tr w:rsidR="00AD4DFE" w:rsidRPr="00F14DC1" w14:paraId="56CDD887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CE8F39" w14:textId="77777777" w:rsidR="00AD4DFE" w:rsidRPr="00F14011" w:rsidRDefault="005E0CE3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6062E8">
              <w:rPr>
                <w:rFonts w:ascii="Calibri" w:hAnsi="Calibri" w:cs="Calibri"/>
                <w:sz w:val="22"/>
                <w:szCs w:val="22"/>
              </w:rPr>
              <w:t>Tartalékok - Általános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359603D" w14:textId="77777777" w:rsidR="00AD4DFE" w:rsidRPr="00EF42E0" w:rsidRDefault="005E0CE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-5.100</w:t>
            </w:r>
          </w:p>
        </w:tc>
      </w:tr>
      <w:tr w:rsidR="00AD4DFE" w:rsidRPr="00F14DC1" w14:paraId="66DFB2CC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F8A11D" w14:textId="77777777" w:rsidR="00AD4DFE" w:rsidRPr="00F14011" w:rsidRDefault="005E0CE3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- Erdő és vadgazdálkodási költség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49A8DB" w14:textId="77777777" w:rsidR="00AD4DFE" w:rsidRPr="00EF42E0" w:rsidRDefault="005E0CE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+1.400</w:t>
            </w:r>
          </w:p>
        </w:tc>
      </w:tr>
      <w:tr w:rsidR="00AD4DFE" w:rsidRPr="00F14DC1" w14:paraId="2762EAF9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EDB22C3" w14:textId="77777777" w:rsidR="00AD4DFE" w:rsidRPr="00F14011" w:rsidRDefault="005E0CE3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Önkormányzati felhalmozási kiadások - Vak Bottyán u. 2.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0CE3">
              <w:rPr>
                <w:rFonts w:ascii="Calibri" w:hAnsi="Calibri" w:cs="Calibri"/>
                <w:sz w:val="22"/>
                <w:szCs w:val="22"/>
              </w:rPr>
              <w:t>sz. alatti ingatlan vásárlás (Brenner villa)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7D166D6" w14:textId="77777777" w:rsidR="00AD4DFE" w:rsidRPr="00EF42E0" w:rsidRDefault="005E0CE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-1.400</w:t>
            </w:r>
          </w:p>
        </w:tc>
      </w:tr>
      <w:tr w:rsidR="00EF42E0" w:rsidRPr="00F14DC1" w14:paraId="1CC66BF9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DD1406" w14:textId="77777777" w:rsidR="00EF42E0" w:rsidRPr="00144257" w:rsidRDefault="005E0CE3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Kulturális ágazat, média kiadásai - Hatósági díjak, egyéb kiadások, szakértői feladatok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55DB2E" w14:textId="77777777" w:rsidR="00EF42E0" w:rsidRPr="00EF42E0" w:rsidRDefault="005E0CE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+670</w:t>
            </w:r>
          </w:p>
        </w:tc>
      </w:tr>
      <w:tr w:rsidR="00EF42E0" w:rsidRPr="00F14DC1" w14:paraId="03278393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28F778" w14:textId="77777777" w:rsidR="00EF42E0" w:rsidRPr="00144257" w:rsidRDefault="005E0CE3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Önkormányzati felhalmozási kiadások - Vak Bottyán u. 2.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0CE3">
              <w:rPr>
                <w:rFonts w:ascii="Calibri" w:hAnsi="Calibri" w:cs="Calibri"/>
                <w:sz w:val="22"/>
                <w:szCs w:val="22"/>
              </w:rPr>
              <w:t>sz. alatti ingatlan vásárlás (Brenner villa)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5AA590F" w14:textId="77777777" w:rsidR="00EF42E0" w:rsidRPr="00EF42E0" w:rsidRDefault="005E0CE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-670</w:t>
            </w:r>
          </w:p>
        </w:tc>
      </w:tr>
      <w:tr w:rsidR="00422F90" w:rsidRPr="00F14DC1" w14:paraId="418AB274" w14:textId="77777777" w:rsidTr="00F172A1"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14:paraId="1DEF50D5" w14:textId="77777777" w:rsidR="005E0CE3" w:rsidRPr="005E0CE3" w:rsidRDefault="005E0CE3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Kulturális ágazat, média kiadásai - Szombathelyi Sárkányhajó Fesztivá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auto"/>
          </w:tcPr>
          <w:p w14:paraId="00FCB83A" w14:textId="77777777" w:rsidR="00C27658" w:rsidRDefault="00C27658" w:rsidP="005E0CE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A344011" w14:textId="77777777" w:rsidR="005F260E" w:rsidRPr="00EF42E0" w:rsidRDefault="005E0CE3" w:rsidP="005E0CE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+500</w:t>
            </w:r>
          </w:p>
        </w:tc>
      </w:tr>
      <w:tr w:rsidR="005F260E" w:rsidRPr="00F14DC1" w14:paraId="5951B625" w14:textId="77777777" w:rsidTr="00F172A1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CEF46" w14:textId="77777777" w:rsidR="005F260E" w:rsidRPr="00EF42E0" w:rsidRDefault="005E0CE3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Önkormányzati felhalmozási kiadások - Vak Bottyán u. 2.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0CE3">
              <w:rPr>
                <w:rFonts w:ascii="Calibri" w:hAnsi="Calibri" w:cs="Calibri"/>
                <w:sz w:val="22"/>
                <w:szCs w:val="22"/>
              </w:rPr>
              <w:t>sz. alatti ingatlan vásárlás (Brenner villa)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40FD2" w14:textId="77777777" w:rsidR="005E0CE3" w:rsidRDefault="005E0CE3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CFFB864" w14:textId="77777777" w:rsidR="005F260E" w:rsidRPr="00EF42E0" w:rsidRDefault="005E0CE3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-500</w:t>
            </w:r>
          </w:p>
        </w:tc>
      </w:tr>
      <w:tr w:rsidR="0003036E" w:rsidRPr="00F14DC1" w14:paraId="4C3A3D80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C59B7C" w14:textId="77777777" w:rsidR="0003036E" w:rsidRPr="00EF42E0" w:rsidRDefault="005E0CE3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Kulturális ágazat, média kiadásai - Szombathelyi Turisztikai és Testvérvárosi Egyesület támogatása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EAA90E" w14:textId="77777777" w:rsidR="0003036E" w:rsidRDefault="0003036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E646316" w14:textId="77777777" w:rsidR="0003036E" w:rsidRDefault="005E0CE3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+1.200</w:t>
            </w:r>
          </w:p>
        </w:tc>
      </w:tr>
      <w:tr w:rsidR="0003036E" w:rsidRPr="00F14DC1" w14:paraId="04713859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5630A9" w14:textId="77777777" w:rsidR="0003036E" w:rsidRPr="00EF42E0" w:rsidRDefault="005E0CE3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Önkormányzati felhalmozási kiadások - Vak Bottyán u. 2.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0CE3">
              <w:rPr>
                <w:rFonts w:ascii="Calibri" w:hAnsi="Calibri" w:cs="Calibri"/>
                <w:sz w:val="22"/>
                <w:szCs w:val="22"/>
              </w:rPr>
              <w:t>sz. alatti ingatlan vásárlás (Brenner villa)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95C972" w14:textId="77777777" w:rsidR="005E0CE3" w:rsidRDefault="005E0CE3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75DCC3F" w14:textId="77777777" w:rsidR="0003036E" w:rsidRDefault="005E0CE3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-1.200</w:t>
            </w:r>
          </w:p>
        </w:tc>
      </w:tr>
      <w:tr w:rsidR="0003036E" w:rsidRPr="00F14DC1" w14:paraId="6E6D9FB8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8B6F4C" w14:textId="77777777" w:rsidR="0003036E" w:rsidRPr="00EF42E0" w:rsidRDefault="00457355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457355">
              <w:rPr>
                <w:rFonts w:ascii="Calibri" w:hAnsi="Calibri" w:cs="Calibri"/>
                <w:sz w:val="22"/>
                <w:szCs w:val="22"/>
              </w:rPr>
              <w:t>Sport ágazat kiadásai - FALCO KC Kft. Támogatása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397C98" w14:textId="77777777" w:rsidR="00803330" w:rsidRDefault="00457355" w:rsidP="00457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+55.000</w:t>
            </w:r>
          </w:p>
        </w:tc>
      </w:tr>
      <w:tr w:rsidR="0003036E" w:rsidRPr="00F14DC1" w14:paraId="39D290E0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954123" w14:textId="77777777" w:rsidR="0003036E" w:rsidRPr="00EF42E0" w:rsidRDefault="00457355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457355">
              <w:rPr>
                <w:rFonts w:ascii="Calibri" w:hAnsi="Calibri" w:cs="Calibri"/>
                <w:sz w:val="22"/>
                <w:szCs w:val="22"/>
              </w:rPr>
              <w:t>Tartalék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F0E01D" w14:textId="77777777" w:rsidR="0003036E" w:rsidRDefault="0045735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-55.000</w:t>
            </w:r>
          </w:p>
        </w:tc>
      </w:tr>
      <w:tr w:rsidR="0003036E" w:rsidRPr="00F14DC1" w14:paraId="05919BB2" w14:textId="77777777" w:rsidTr="00F172A1"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14:paraId="5E0CC122" w14:textId="77777777" w:rsidR="0003036E" w:rsidRPr="00EF42E0" w:rsidRDefault="00457355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457355">
              <w:rPr>
                <w:rFonts w:ascii="Calibri" w:hAnsi="Calibri" w:cs="Calibri"/>
                <w:sz w:val="22"/>
                <w:szCs w:val="22"/>
              </w:rPr>
              <w:t>Önkormányzati felhalmozási kiadások - TOP-6.1.5-2019-00002 Ferenczy u. hiányzó szakaszának építése - hozzájárulás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auto"/>
          </w:tcPr>
          <w:p w14:paraId="2A5A1470" w14:textId="77777777" w:rsidR="0003036E" w:rsidRDefault="0003036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CCED36B" w14:textId="77777777" w:rsidR="009B0463" w:rsidRDefault="0045735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+2.100</w:t>
            </w:r>
          </w:p>
        </w:tc>
      </w:tr>
      <w:tr w:rsidR="005F260E" w:rsidRPr="00F14DC1" w14:paraId="1317DED9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0EBDC0" w14:textId="77777777" w:rsidR="005F260E" w:rsidRPr="00457355" w:rsidRDefault="00457355" w:rsidP="005F260E">
            <w:pPr>
              <w:rPr>
                <w:rFonts w:ascii="Arial" w:hAnsi="Arial" w:cs="Arial"/>
                <w:sz w:val="36"/>
                <w:szCs w:val="36"/>
              </w:rPr>
            </w:pPr>
            <w:r w:rsidRPr="00457355">
              <w:rPr>
                <w:rFonts w:ascii="Calibri" w:hAnsi="Calibri" w:cs="Calibri"/>
                <w:sz w:val="22"/>
                <w:szCs w:val="22"/>
              </w:rPr>
              <w:t>Önkormányzati felhalmozási kiadások - Projektek - önerő, hozzájárulás, előkészítés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925088" w14:textId="77777777" w:rsidR="005F260E" w:rsidRDefault="005F260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6284CD2" w14:textId="77777777" w:rsidR="009B0463" w:rsidRPr="005F260E" w:rsidRDefault="00457355" w:rsidP="00457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-2.100</w:t>
            </w:r>
          </w:p>
        </w:tc>
      </w:tr>
      <w:tr w:rsidR="005F260E" w:rsidRPr="00F14DC1" w14:paraId="7C215F5C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CCD40C" w14:textId="77777777" w:rsidR="005F260E" w:rsidRPr="003200D7" w:rsidRDefault="00E553D9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E553D9">
              <w:rPr>
                <w:rFonts w:ascii="Calibri" w:hAnsi="Calibri" w:cs="Calibri"/>
                <w:sz w:val="22"/>
                <w:szCs w:val="22"/>
              </w:rPr>
              <w:lastRenderedPageBreak/>
              <w:t>Egyéb, más ágazathoz nem sorolható intézmények és feladatok kiadásai - Erdő és vadgazdálkodási költség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EF8016" w14:textId="77777777" w:rsidR="005F260E" w:rsidRDefault="005F260E" w:rsidP="00E553D9">
            <w:pPr>
              <w:ind w:left="7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11C0E2" w14:textId="77777777" w:rsidR="00E553D9" w:rsidRPr="003200D7" w:rsidRDefault="00E553D9" w:rsidP="00E553D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+3.500</w:t>
            </w:r>
          </w:p>
        </w:tc>
      </w:tr>
      <w:tr w:rsidR="005F260E" w:rsidRPr="00F14DC1" w14:paraId="5C021433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5454A5" w14:textId="77777777" w:rsidR="005F260E" w:rsidRPr="00F14DC1" w:rsidRDefault="00E553D9" w:rsidP="005F260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Önkormányzati felhalmozási kiadások - Vak Bottyán u. 2.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0CE3">
              <w:rPr>
                <w:rFonts w:ascii="Calibri" w:hAnsi="Calibri" w:cs="Calibri"/>
                <w:sz w:val="22"/>
                <w:szCs w:val="22"/>
              </w:rPr>
              <w:t>sz. alatti ingatlan vásárlás (Brenner villa)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3FFA1B" w14:textId="77777777" w:rsidR="005F260E" w:rsidRDefault="005F260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66AD88A" w14:textId="77777777" w:rsidR="00E553D9" w:rsidRPr="003200D7" w:rsidRDefault="00E553D9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-3.500</w:t>
            </w:r>
          </w:p>
        </w:tc>
      </w:tr>
      <w:tr w:rsidR="00E553D9" w:rsidRPr="00F14DC1" w14:paraId="003F0145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CDE236" w14:textId="77777777" w:rsidR="00E553D9" w:rsidRPr="00144257" w:rsidRDefault="006F053B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6F053B">
              <w:rPr>
                <w:rFonts w:ascii="Calibri" w:hAnsi="Calibri" w:cs="Calibri"/>
                <w:sz w:val="22"/>
                <w:szCs w:val="22"/>
              </w:rPr>
              <w:t xml:space="preserve">Egyéb, más ágazathoz nem sorolható intézmények és feladatok kiadásai - Savaria Karnevál megrendezése, kulturális rendezvények, fesztiválok megrendezése (Savaria Turizmus </w:t>
            </w:r>
            <w:proofErr w:type="spellStart"/>
            <w:r w:rsidRPr="006F053B">
              <w:rPr>
                <w:rFonts w:ascii="Calibri" w:hAnsi="Calibri" w:cs="Calibri"/>
                <w:sz w:val="22"/>
                <w:szCs w:val="22"/>
              </w:rPr>
              <w:t>Nkft</w:t>
            </w:r>
            <w:proofErr w:type="spellEnd"/>
            <w:r w:rsidRPr="006F053B">
              <w:rPr>
                <w:rFonts w:ascii="Calibri" w:hAnsi="Calibri" w:cs="Calibri"/>
                <w:sz w:val="22"/>
                <w:szCs w:val="22"/>
              </w:rPr>
              <w:t>., egyéb kiadások, stb.)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6C0ADC" w14:textId="77777777" w:rsidR="00E553D9" w:rsidRDefault="00E553D9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2E95A36" w14:textId="77777777" w:rsidR="006F053B" w:rsidRDefault="006F053B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D369D9C" w14:textId="77777777" w:rsidR="006F053B" w:rsidRDefault="006F053B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3495B44" w14:textId="77777777" w:rsidR="006F053B" w:rsidRPr="003200D7" w:rsidRDefault="006F053B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+1.000</w:t>
            </w:r>
          </w:p>
        </w:tc>
      </w:tr>
      <w:tr w:rsidR="00E553D9" w:rsidRPr="00F14DC1" w14:paraId="54960DC8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206513" w14:textId="77777777" w:rsidR="00E553D9" w:rsidRPr="00144257" w:rsidRDefault="006F053B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Önkormányzati felhalmozási kiadások - Vak Bottyán u. 2.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0CE3">
              <w:rPr>
                <w:rFonts w:ascii="Calibri" w:hAnsi="Calibri" w:cs="Calibri"/>
                <w:sz w:val="22"/>
                <w:szCs w:val="22"/>
              </w:rPr>
              <w:t>sz. alatti ingatlan vásárlás (Brenner villa)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D23570" w14:textId="77777777" w:rsidR="00E553D9" w:rsidRDefault="00E553D9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858E000" w14:textId="77777777" w:rsidR="006F053B" w:rsidRPr="003200D7" w:rsidRDefault="006F053B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-1.000</w:t>
            </w:r>
          </w:p>
        </w:tc>
      </w:tr>
      <w:tr w:rsidR="006F053B" w:rsidRPr="00F14DC1" w14:paraId="35305B42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9B8AD3" w14:textId="77777777" w:rsidR="006F053B" w:rsidRPr="00144257" w:rsidRDefault="006F053B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6F053B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- Polgármesteri keret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2979F9" w14:textId="77777777" w:rsidR="006F053B" w:rsidRDefault="006F053B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7391D94" w14:textId="77777777" w:rsidR="006F053B" w:rsidRPr="003200D7" w:rsidRDefault="006F053B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+5.000</w:t>
            </w:r>
          </w:p>
        </w:tc>
      </w:tr>
      <w:tr w:rsidR="006F053B" w:rsidRPr="00F14DC1" w14:paraId="10B1BB85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29B810" w14:textId="77777777" w:rsidR="006F053B" w:rsidRPr="00144257" w:rsidRDefault="006F053B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Önkormányzati felhalmozási kiadások - Vak Bottyán u. 2.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0CE3">
              <w:rPr>
                <w:rFonts w:ascii="Calibri" w:hAnsi="Calibri" w:cs="Calibri"/>
                <w:sz w:val="22"/>
                <w:szCs w:val="22"/>
              </w:rPr>
              <w:t>sz. alatti ingatlan vásárlás (Brenner villa)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87036C" w14:textId="77777777" w:rsidR="006F053B" w:rsidRDefault="006F053B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89B1643" w14:textId="77777777" w:rsidR="006F053B" w:rsidRPr="003200D7" w:rsidRDefault="006F053B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-5.000</w:t>
            </w:r>
          </w:p>
        </w:tc>
      </w:tr>
      <w:tr w:rsidR="00457355" w:rsidRPr="00F14DC1" w14:paraId="241C5DDA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D73931E" w14:textId="77777777" w:rsidR="00457355" w:rsidRPr="00144257" w:rsidRDefault="006F053B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BF0F49">
              <w:rPr>
                <w:rFonts w:ascii="Calibri" w:hAnsi="Calibri" w:cs="Calibri"/>
                <w:sz w:val="22"/>
                <w:szCs w:val="22"/>
              </w:rPr>
              <w:t>Szociális ágazat kiadásai - Fogyatékkal Élőket és Hajléktalanokat El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látó </w:t>
            </w:r>
            <w:proofErr w:type="spellStart"/>
            <w:r w:rsidR="0050239A">
              <w:rPr>
                <w:rFonts w:ascii="Calibri" w:hAnsi="Calibri" w:cs="Calibri"/>
                <w:sz w:val="22"/>
                <w:szCs w:val="22"/>
              </w:rPr>
              <w:t>Nkft</w:t>
            </w:r>
            <w:proofErr w:type="spellEnd"/>
            <w:r w:rsidR="0050239A">
              <w:rPr>
                <w:rFonts w:ascii="Calibri" w:hAnsi="Calibri" w:cs="Calibri"/>
                <w:sz w:val="22"/>
                <w:szCs w:val="22"/>
              </w:rPr>
              <w:t>. Támogatása (célja: tű</w:t>
            </w:r>
            <w:r w:rsidRPr="00BF0F49">
              <w:rPr>
                <w:rFonts w:ascii="Calibri" w:hAnsi="Calibri" w:cs="Calibri"/>
                <w:sz w:val="22"/>
                <w:szCs w:val="22"/>
              </w:rPr>
              <w:t>zifa vásárlás)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DFA969" w14:textId="77777777" w:rsidR="00457355" w:rsidRDefault="0045735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072EDE0" w14:textId="77777777" w:rsidR="00BF0F49" w:rsidRPr="003200D7" w:rsidRDefault="00BF0F49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+14.278</w:t>
            </w:r>
          </w:p>
        </w:tc>
      </w:tr>
      <w:tr w:rsidR="00E553D9" w:rsidRPr="00F14DC1" w14:paraId="46BB60EF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4945DD" w14:textId="77777777" w:rsidR="00E553D9" w:rsidRPr="00144257" w:rsidRDefault="00BF0F49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BF0F49">
              <w:rPr>
                <w:rFonts w:ascii="Calibri" w:hAnsi="Calibri" w:cs="Calibri"/>
                <w:sz w:val="22"/>
                <w:szCs w:val="22"/>
              </w:rPr>
              <w:t>Tartalék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0A2F09" w14:textId="77777777" w:rsidR="00E553D9" w:rsidRPr="003200D7" w:rsidRDefault="00BF0F49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-14.278</w:t>
            </w:r>
          </w:p>
        </w:tc>
      </w:tr>
      <w:tr w:rsidR="00E553D9" w:rsidRPr="00F14DC1" w14:paraId="3C67A2BD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D82838C" w14:textId="77777777" w:rsidR="00E553D9" w:rsidRPr="00144257" w:rsidRDefault="00F172A1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F172A1">
              <w:rPr>
                <w:rFonts w:ascii="Calibri" w:hAnsi="Calibri" w:cs="Calibri"/>
                <w:sz w:val="22"/>
                <w:szCs w:val="22"/>
              </w:rPr>
              <w:t>Kulturális ágazat, média kiadásai - Savaria Múzeum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FD59B7" w14:textId="77777777" w:rsidR="00E553D9" w:rsidRPr="003200D7" w:rsidRDefault="00F172A1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+500</w:t>
            </w:r>
          </w:p>
        </w:tc>
      </w:tr>
      <w:tr w:rsidR="00DD45EF" w:rsidRPr="00F14DC1" w14:paraId="73DB642C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DAFDA8" w14:textId="77777777" w:rsidR="00DD45EF" w:rsidRPr="00144257" w:rsidRDefault="00F172A1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Önkormányzati felhalmozási kiadások - Vak Bottyán u. 2.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0CE3">
              <w:rPr>
                <w:rFonts w:ascii="Calibri" w:hAnsi="Calibri" w:cs="Calibri"/>
                <w:sz w:val="22"/>
                <w:szCs w:val="22"/>
              </w:rPr>
              <w:t>sz. alatti ingatlan vásárlás (Brenner villa)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41FD6E" w14:textId="77777777" w:rsidR="00F172A1" w:rsidRDefault="00F172A1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8A45847" w14:textId="77777777" w:rsidR="00DD45EF" w:rsidRPr="003200D7" w:rsidRDefault="00F172A1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-500</w:t>
            </w:r>
          </w:p>
        </w:tc>
      </w:tr>
      <w:tr w:rsidR="00AC2B95" w:rsidRPr="00F14DC1" w14:paraId="1970F865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9ED7A8" w14:textId="77777777" w:rsidR="00AC2B95" w:rsidRPr="00144257" w:rsidRDefault="00F172A1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F172A1">
              <w:rPr>
                <w:rFonts w:ascii="Calibri" w:hAnsi="Calibri" w:cs="Calibri"/>
                <w:sz w:val="22"/>
                <w:szCs w:val="22"/>
              </w:rPr>
              <w:t>Önkormányzati felhalmozási kiadások - Intézményi felújítások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2C4229E" w14:textId="77777777" w:rsidR="00AC2B95" w:rsidRPr="003200D7" w:rsidRDefault="00F172A1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+1.251</w:t>
            </w:r>
          </w:p>
        </w:tc>
      </w:tr>
      <w:tr w:rsidR="00AC2B95" w:rsidRPr="00F14DC1" w14:paraId="4E5FB198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F5EADF" w14:textId="77777777" w:rsidR="00AC2B95" w:rsidRPr="00144257" w:rsidRDefault="00F172A1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Önkormányzati felhalmozási kiadások - Vak Bottyán u. 2.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0CE3">
              <w:rPr>
                <w:rFonts w:ascii="Calibri" w:hAnsi="Calibri" w:cs="Calibri"/>
                <w:sz w:val="22"/>
                <w:szCs w:val="22"/>
              </w:rPr>
              <w:t>sz. alatti ingatlan vásárlás (Brenner villa)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403EFB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1BD1873" w14:textId="77777777" w:rsidR="00E10984" w:rsidRPr="003200D7" w:rsidRDefault="00E10984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-1.251</w:t>
            </w:r>
          </w:p>
        </w:tc>
      </w:tr>
      <w:tr w:rsidR="00AC2B95" w:rsidRPr="00F14DC1" w14:paraId="0A7C1733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2CE871" w14:textId="77777777" w:rsidR="00AC2B95" w:rsidRPr="00144257" w:rsidRDefault="00F172A1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F172A1">
              <w:rPr>
                <w:rFonts w:ascii="Calibri" w:hAnsi="Calibri" w:cs="Calibri"/>
                <w:sz w:val="22"/>
                <w:szCs w:val="22"/>
              </w:rPr>
              <w:t>Önkormányzati felhalmozási kiadások - Jégpince utca és a Bartók B. körút körforgalom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DDE07D2" w14:textId="77777777" w:rsidR="00F172A1" w:rsidRDefault="00F172A1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9DEFC26" w14:textId="77777777" w:rsidR="00AC2B95" w:rsidRPr="003200D7" w:rsidRDefault="00F172A1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+707</w:t>
            </w:r>
          </w:p>
        </w:tc>
      </w:tr>
      <w:tr w:rsidR="00AC2B95" w:rsidRPr="00F14DC1" w14:paraId="3481F357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92A763" w14:textId="77777777" w:rsidR="00AC2B95" w:rsidRPr="00144257" w:rsidRDefault="00F172A1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F172A1">
              <w:rPr>
                <w:rFonts w:ascii="Calibri" w:hAnsi="Calibri" w:cs="Calibri"/>
                <w:sz w:val="22"/>
                <w:szCs w:val="22"/>
              </w:rPr>
              <w:t>Önkormányzati felhalmozási kiadások - Körforgalom (Markusovszky u. - Sugár u. - Horváth Boldizsár krt. - Dr. István Lajos krt.)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2C7314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47B89C" w14:textId="77777777" w:rsidR="00F172A1" w:rsidRPr="003200D7" w:rsidRDefault="00F172A1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-707</w:t>
            </w:r>
          </w:p>
        </w:tc>
      </w:tr>
      <w:tr w:rsidR="00AC2B95" w:rsidRPr="00F14DC1" w14:paraId="687D0703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61330F" w14:textId="77777777" w:rsidR="00AC2B95" w:rsidRPr="00144257" w:rsidRDefault="00F172A1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F172A1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 - Fenntarth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F172A1">
              <w:rPr>
                <w:rFonts w:ascii="Calibri" w:hAnsi="Calibri" w:cs="Calibri"/>
                <w:sz w:val="22"/>
                <w:szCs w:val="22"/>
              </w:rPr>
              <w:t>tósági és Klímapolitikai célok megvalósulása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3F0BA37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5249BE3" w14:textId="77777777" w:rsidR="00F172A1" w:rsidRPr="003200D7" w:rsidRDefault="00F172A1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+1.800</w:t>
            </w:r>
          </w:p>
        </w:tc>
      </w:tr>
      <w:tr w:rsidR="00AC2B95" w:rsidRPr="00F14DC1" w14:paraId="3172C7E6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82FD18" w14:textId="77777777" w:rsidR="00AC2B95" w:rsidRPr="00F172A1" w:rsidRDefault="00F172A1" w:rsidP="005F260E">
            <w:pPr>
              <w:rPr>
                <w:rFonts w:ascii="Arial" w:hAnsi="Arial" w:cs="Arial"/>
                <w:sz w:val="36"/>
                <w:szCs w:val="36"/>
              </w:rPr>
            </w:pPr>
            <w:r w:rsidRPr="00F172A1">
              <w:rPr>
                <w:rFonts w:ascii="Calibri" w:hAnsi="Calibri" w:cs="Calibri"/>
                <w:sz w:val="22"/>
                <w:szCs w:val="22"/>
              </w:rPr>
              <w:t>Egyéb, más ágazathoz nem sor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olható intézmények és feladatok </w:t>
            </w:r>
            <w:r w:rsidRPr="00F172A1">
              <w:rPr>
                <w:rFonts w:ascii="Calibri" w:hAnsi="Calibri" w:cs="Calibri"/>
                <w:sz w:val="22"/>
                <w:szCs w:val="22"/>
              </w:rPr>
              <w:t xml:space="preserve">kiadásai - Európai Városi Létesítmények (European City </w:t>
            </w:r>
            <w:proofErr w:type="spellStart"/>
            <w:r w:rsidRPr="00F172A1">
              <w:rPr>
                <w:rFonts w:ascii="Calibri" w:hAnsi="Calibri" w:cs="Calibri"/>
                <w:sz w:val="22"/>
                <w:szCs w:val="22"/>
              </w:rPr>
              <w:t>Facility</w:t>
            </w:r>
            <w:proofErr w:type="spellEnd"/>
            <w:r w:rsidRPr="00F172A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3456FC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5F9F683" w14:textId="77777777" w:rsidR="00F172A1" w:rsidRPr="003200D7" w:rsidRDefault="00F172A1" w:rsidP="00F172A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-1.800</w:t>
            </w:r>
          </w:p>
        </w:tc>
      </w:tr>
      <w:tr w:rsidR="00AC2B95" w:rsidRPr="00F14DC1" w14:paraId="5A4E3728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6B80E6" w14:textId="77777777" w:rsidR="00AC2B95" w:rsidRPr="00144257" w:rsidRDefault="00F172A1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F172A1">
              <w:rPr>
                <w:rFonts w:ascii="Calibri" w:hAnsi="Calibri" w:cs="Calibri"/>
                <w:sz w:val="22"/>
                <w:szCs w:val="22"/>
              </w:rPr>
              <w:t>Önkormányzati felhalmozási kiadások - Jégpince utca és a Bartók B. körút körforgalom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3CAFD4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1321B4D" w14:textId="77777777" w:rsidR="009D021D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+540</w:t>
            </w:r>
          </w:p>
        </w:tc>
      </w:tr>
      <w:tr w:rsidR="00AC2B95" w:rsidRPr="00F14DC1" w14:paraId="130E4611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A6DFBD" w14:textId="77777777" w:rsidR="00AC2B95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F172A1">
              <w:rPr>
                <w:rFonts w:ascii="Calibri" w:hAnsi="Calibri" w:cs="Calibri"/>
                <w:sz w:val="22"/>
                <w:szCs w:val="22"/>
              </w:rPr>
              <w:t>Önkormányzati felhalmozási kiadások - Körforgalom (Markusovszky u. - Sugár u. - Horváth Boldizsár krt. - Dr. István Lajos krt.)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E1FFD8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220E56D" w14:textId="77777777" w:rsidR="009D021D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-540</w:t>
            </w:r>
          </w:p>
        </w:tc>
      </w:tr>
      <w:tr w:rsidR="00AC2B95" w:rsidRPr="00F14DC1" w14:paraId="20B5F840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A2A7E2" w14:textId="77777777" w:rsidR="00AC2B95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>Északi iparterület - közművesítések finanszírozása, fejlesztések finanszírozása, tanulmányterv készítése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C0F5B4C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42E566A" w14:textId="77777777" w:rsidR="009D021D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+83.000</w:t>
            </w:r>
          </w:p>
        </w:tc>
      </w:tr>
      <w:tr w:rsidR="00AC2B95" w:rsidRPr="00F14DC1" w14:paraId="4C52E1A9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017DA1" w14:textId="77777777" w:rsidR="00AC2B95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>Tartalék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3D3CD0" w14:textId="77777777" w:rsidR="00AC2B95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-83.000</w:t>
            </w:r>
          </w:p>
        </w:tc>
      </w:tr>
      <w:tr w:rsidR="00AC2B95" w:rsidRPr="00F14DC1" w14:paraId="6F104662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A7FFE4" w14:textId="77777777" w:rsidR="00AC2B95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 xml:space="preserve">Egyéb, más ágazathoz nem sorolható intézmények és feladatok kiadásai - Savaria Karnevál megrendezése, kulturális rendezvények, fesztiválok megrendezése (Savaria Turizmus </w:t>
            </w:r>
            <w:proofErr w:type="spellStart"/>
            <w:r w:rsidRPr="009D021D">
              <w:rPr>
                <w:rFonts w:ascii="Calibri" w:hAnsi="Calibri" w:cs="Calibri"/>
                <w:sz w:val="22"/>
                <w:szCs w:val="22"/>
              </w:rPr>
              <w:t>Nkft</w:t>
            </w:r>
            <w:proofErr w:type="spellEnd"/>
            <w:r w:rsidRPr="009D021D">
              <w:rPr>
                <w:rFonts w:ascii="Calibri" w:hAnsi="Calibri" w:cs="Calibri"/>
                <w:sz w:val="22"/>
                <w:szCs w:val="22"/>
              </w:rPr>
              <w:t>., egyéb kiadások, stb.)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108C18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FDB4C62" w14:textId="77777777" w:rsidR="009D021D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B0E395F" w14:textId="77777777" w:rsidR="009D021D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BBBCF65" w14:textId="77777777" w:rsidR="009D021D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+1.600</w:t>
            </w:r>
          </w:p>
        </w:tc>
      </w:tr>
      <w:tr w:rsidR="00AC2B95" w:rsidRPr="00F14DC1" w14:paraId="1891D651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68FEA2" w14:textId="77777777" w:rsidR="00AC2B95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5E0CE3">
              <w:rPr>
                <w:rFonts w:ascii="Calibri" w:hAnsi="Calibri" w:cs="Calibri"/>
                <w:sz w:val="22"/>
                <w:szCs w:val="22"/>
              </w:rPr>
              <w:t>Önkormányzati felhalmozási kiadások - Vak Bottyán u. 2.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0CE3">
              <w:rPr>
                <w:rFonts w:ascii="Calibri" w:hAnsi="Calibri" w:cs="Calibri"/>
                <w:sz w:val="22"/>
                <w:szCs w:val="22"/>
              </w:rPr>
              <w:t>sz. alatti ingatlan vásárlás (Brenner villa)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FD6F61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1A6D6F9" w14:textId="77777777" w:rsidR="009D021D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-1.600</w:t>
            </w:r>
          </w:p>
        </w:tc>
      </w:tr>
      <w:tr w:rsidR="00AC2B95" w:rsidRPr="00F14DC1" w14:paraId="7AD852BF" w14:textId="77777777" w:rsidTr="009D021D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D79C52" w14:textId="77777777" w:rsidR="00AC2B95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 xml:space="preserve">Egyéb, más ágazathoz nem sorolható intézmények és feladatok kiadásai - Savaria Karnevál megrendezése, kulturális rendezvények, fesztiválok megrendezése (Savaria Turizmus </w:t>
            </w:r>
            <w:proofErr w:type="spellStart"/>
            <w:r w:rsidRPr="009D021D">
              <w:rPr>
                <w:rFonts w:ascii="Calibri" w:hAnsi="Calibri" w:cs="Calibri"/>
                <w:sz w:val="22"/>
                <w:szCs w:val="22"/>
              </w:rPr>
              <w:t>Nkft</w:t>
            </w:r>
            <w:proofErr w:type="spellEnd"/>
            <w:r w:rsidRPr="009D021D">
              <w:rPr>
                <w:rFonts w:ascii="Calibri" w:hAnsi="Calibri" w:cs="Calibri"/>
                <w:sz w:val="22"/>
                <w:szCs w:val="22"/>
              </w:rPr>
              <w:t>., egyéb kiadások, stb.)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394C6C9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D9AF46C" w14:textId="77777777" w:rsidR="009D021D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C9FA02F" w14:textId="77777777" w:rsidR="009D021D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2D119D2" w14:textId="77777777" w:rsidR="009D021D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+15.000</w:t>
            </w:r>
          </w:p>
        </w:tc>
      </w:tr>
      <w:tr w:rsidR="009D021D" w:rsidRPr="00F14DC1" w14:paraId="581C8FD5" w14:textId="77777777" w:rsidTr="009D021D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B51D6" w14:textId="77777777" w:rsidR="009D021D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>Tartalék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F60AC" w14:textId="77777777" w:rsidR="009D021D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-720</w:t>
            </w:r>
          </w:p>
        </w:tc>
      </w:tr>
      <w:tr w:rsidR="009D021D" w:rsidRPr="00F14DC1" w14:paraId="65C13D3F" w14:textId="77777777" w:rsidTr="009D021D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6C734" w14:textId="77777777" w:rsidR="009D021D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>Önkormányzati felhalmozási kiadások - Vak Bottyán u. 2.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D021D">
              <w:rPr>
                <w:rFonts w:ascii="Calibri" w:hAnsi="Calibri" w:cs="Calibri"/>
                <w:sz w:val="22"/>
                <w:szCs w:val="22"/>
              </w:rPr>
              <w:t xml:space="preserve">sz. alatti </w:t>
            </w:r>
            <w:r w:rsidRPr="009D021D">
              <w:rPr>
                <w:rFonts w:ascii="Calibri" w:hAnsi="Calibri" w:cs="Calibri"/>
                <w:sz w:val="22"/>
                <w:szCs w:val="22"/>
              </w:rPr>
              <w:lastRenderedPageBreak/>
              <w:t>ingatlan vásárlás (Brenner villa)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4F427" w14:textId="77777777" w:rsidR="009D021D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2A742FB" w14:textId="77777777" w:rsidR="009D021D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-6.720</w:t>
            </w:r>
          </w:p>
        </w:tc>
      </w:tr>
      <w:tr w:rsidR="00AC2B95" w:rsidRPr="00F14DC1" w14:paraId="15C6A70F" w14:textId="77777777" w:rsidTr="009D021D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577E38" w14:textId="77777777" w:rsidR="00AC2B95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lastRenderedPageBreak/>
              <w:t>Önkormányzati felhalmozási kiadások - Vak Bottyán u. 2.</w:t>
            </w:r>
            <w:r w:rsidR="005023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D021D">
              <w:rPr>
                <w:rFonts w:ascii="Calibri" w:hAnsi="Calibri" w:cs="Calibri"/>
                <w:sz w:val="22"/>
                <w:szCs w:val="22"/>
              </w:rPr>
              <w:t>sz. alatti ingatlan vásárlás (Brenner villa) fordított ÁFA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91FD23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FA91CE6" w14:textId="77777777" w:rsidR="009D021D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-7.560</w:t>
            </w:r>
          </w:p>
        </w:tc>
      </w:tr>
      <w:tr w:rsidR="00AC2B95" w:rsidRPr="00F14DC1" w14:paraId="704D8403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03958A" w14:textId="77777777" w:rsidR="00AC2B95" w:rsidRPr="00144257" w:rsidRDefault="00D62166" w:rsidP="00D62166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 xml:space="preserve">Egyéb, más ágazathoz nem sorolható intézmények és feladatok kiadásai </w:t>
            </w:r>
            <w:r w:rsidR="009D021D" w:rsidRPr="00D62166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="009D021D" w:rsidRPr="00D62166">
              <w:rPr>
                <w:rFonts w:ascii="Calibri" w:hAnsi="Calibri" w:cs="Calibri"/>
                <w:sz w:val="22"/>
                <w:szCs w:val="22"/>
              </w:rPr>
              <w:t>Gyöngy</w:t>
            </w:r>
            <w:r w:rsidR="005C6CA0" w:rsidRPr="00D62166">
              <w:rPr>
                <w:rFonts w:ascii="Calibri" w:hAnsi="Calibri" w:cs="Calibri"/>
                <w:sz w:val="22"/>
                <w:szCs w:val="22"/>
              </w:rPr>
              <w:t>öss</w:t>
            </w:r>
            <w:r w:rsidR="00B134BC" w:rsidRPr="00D62166">
              <w:rPr>
                <w:rFonts w:ascii="Calibri" w:hAnsi="Calibri" w:cs="Calibri"/>
                <w:sz w:val="22"/>
                <w:szCs w:val="22"/>
              </w:rPr>
              <w:t>zőlősi</w:t>
            </w:r>
            <w:proofErr w:type="spellEnd"/>
            <w:r w:rsidR="00B134BC" w:rsidRPr="00D62166">
              <w:rPr>
                <w:rFonts w:ascii="Calibri" w:hAnsi="Calibri" w:cs="Calibri"/>
                <w:sz w:val="22"/>
                <w:szCs w:val="22"/>
              </w:rPr>
              <w:t xml:space="preserve"> klubház</w:t>
            </w:r>
            <w:r w:rsidR="00B134BC">
              <w:rPr>
                <w:rFonts w:ascii="Calibri" w:hAnsi="Calibri" w:cs="Calibri"/>
                <w:sz w:val="22"/>
                <w:szCs w:val="22"/>
              </w:rPr>
              <w:t xml:space="preserve"> karbantartási</w:t>
            </w:r>
            <w:r w:rsidR="005C6C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021D" w:rsidRPr="009D021D">
              <w:rPr>
                <w:rFonts w:ascii="Calibri" w:hAnsi="Calibri" w:cs="Calibri"/>
                <w:sz w:val="22"/>
                <w:szCs w:val="22"/>
              </w:rPr>
              <w:t>munkálataira támogatás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8C6D42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3483135" w14:textId="77777777" w:rsidR="001B6340" w:rsidRDefault="001B6340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3946E06" w14:textId="77777777" w:rsidR="009D021D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+8.495</w:t>
            </w:r>
          </w:p>
        </w:tc>
      </w:tr>
      <w:tr w:rsidR="00AC2B95" w:rsidRPr="00F14DC1" w14:paraId="76F43053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CE51CC" w14:textId="77777777" w:rsidR="00AC2B95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>Tartalék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24DB0C" w14:textId="77777777" w:rsidR="00AC2B95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-8.495</w:t>
            </w:r>
          </w:p>
        </w:tc>
      </w:tr>
      <w:tr w:rsidR="00AC2B95" w:rsidRPr="00F14DC1" w14:paraId="466AFD3E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0EEDF9C" w14:textId="77777777" w:rsidR="00AC2B95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 - Önkormányzati tulajdonú területek kaszálása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051619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92DA049" w14:textId="77777777" w:rsidR="009D021D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+1.000</w:t>
            </w:r>
          </w:p>
        </w:tc>
      </w:tr>
      <w:tr w:rsidR="00AC2B95" w:rsidRPr="00F14DC1" w14:paraId="41BCA8CB" w14:textId="77777777" w:rsidTr="00D41C25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81FC82" w14:textId="77777777" w:rsidR="00AC2B95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 - Egyéb feladatok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C0B78E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64EA27E" w14:textId="77777777" w:rsidR="009D021D" w:rsidRPr="003200D7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-1.000</w:t>
            </w:r>
          </w:p>
        </w:tc>
      </w:tr>
      <w:tr w:rsidR="00AC2B95" w:rsidRPr="00F14DC1" w14:paraId="09C60D49" w14:textId="77777777" w:rsidTr="00D41C25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DA458AC" w14:textId="77777777" w:rsidR="00AC2B95" w:rsidRPr="00144257" w:rsidRDefault="0024201A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 xml:space="preserve">Egyéb, más ágazathoz nem sorolható intézmények és feladatok kiadásai </w:t>
            </w:r>
            <w:r>
              <w:rPr>
                <w:rFonts w:ascii="Calibri" w:hAnsi="Calibri" w:cs="Calibri"/>
                <w:sz w:val="22"/>
                <w:szCs w:val="22"/>
              </w:rPr>
              <w:t>- Polgármesteri Hivatal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4EAB207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ABC6D9D" w14:textId="77777777" w:rsidR="00D41C25" w:rsidRPr="003200D7" w:rsidRDefault="00D41C2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+1.118</w:t>
            </w:r>
          </w:p>
        </w:tc>
      </w:tr>
      <w:tr w:rsidR="009D021D" w:rsidRPr="00F14DC1" w14:paraId="23385325" w14:textId="77777777" w:rsidTr="00D41C25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8568E" w14:textId="77777777" w:rsidR="009D021D" w:rsidRPr="009D021D" w:rsidRDefault="009D021D" w:rsidP="009D021D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>Kulturális á</w:t>
            </w:r>
            <w:r w:rsidR="0024201A">
              <w:rPr>
                <w:rFonts w:ascii="Calibri" w:hAnsi="Calibri" w:cs="Calibri"/>
                <w:sz w:val="22"/>
                <w:szCs w:val="22"/>
              </w:rPr>
              <w:t xml:space="preserve">gazat, média kiadásai – </w:t>
            </w:r>
            <w:r w:rsidR="0024201A" w:rsidRPr="0024201A">
              <w:rPr>
                <w:rFonts w:ascii="Calibri" w:hAnsi="Calibri" w:cs="Calibri"/>
                <w:sz w:val="22"/>
                <w:szCs w:val="22"/>
              </w:rPr>
              <w:t>Savaria Turizmus Nonprofit Kft - támogatása és pályázati önrész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D3F6F" w14:textId="77777777" w:rsidR="0024201A" w:rsidRDefault="0024201A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C17417D" w14:textId="77777777" w:rsidR="009D021D" w:rsidRPr="003200D7" w:rsidRDefault="0024201A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+1.118</w:t>
            </w:r>
          </w:p>
        </w:tc>
      </w:tr>
      <w:tr w:rsidR="009D021D" w:rsidRPr="00F14DC1" w14:paraId="49D70858" w14:textId="77777777" w:rsidTr="00D41C25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A7A4C" w14:textId="77777777" w:rsidR="009D021D" w:rsidRPr="009D021D" w:rsidRDefault="0024201A" w:rsidP="009D021D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 xml:space="preserve">Egyéb, más ágazathoz nem sorolható intézmények és feladatok kiadásai </w:t>
            </w:r>
            <w:r w:rsidR="00A1479B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479B">
              <w:rPr>
                <w:rFonts w:ascii="Calibri" w:hAnsi="Calibri" w:cs="Calibri"/>
                <w:sz w:val="22"/>
                <w:szCs w:val="22"/>
              </w:rPr>
              <w:t>Szombathelyi Parkfenntartási Kft szú</w:t>
            </w:r>
            <w:r w:rsidR="009D021D" w:rsidRPr="009D021D">
              <w:rPr>
                <w:rFonts w:ascii="Calibri" w:hAnsi="Calibri" w:cs="Calibri"/>
                <w:sz w:val="22"/>
                <w:szCs w:val="22"/>
              </w:rPr>
              <w:t>nyoggyérítés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296DE" w14:textId="77777777" w:rsidR="009D021D" w:rsidRDefault="009D021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CB293A5" w14:textId="77777777" w:rsidR="00D41C25" w:rsidRPr="003200D7" w:rsidRDefault="00D41C25" w:rsidP="00D41C25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+1.118</w:t>
            </w:r>
          </w:p>
        </w:tc>
      </w:tr>
      <w:tr w:rsidR="00AC2B95" w:rsidRPr="00F14DC1" w14:paraId="23191636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67E4EB" w14:textId="77777777" w:rsidR="00AC2B95" w:rsidRPr="00144257" w:rsidRDefault="009D021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>Tartalék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C5FA1F" w14:textId="77777777" w:rsidR="00AC2B95" w:rsidRPr="003200D7" w:rsidRDefault="00D41C2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-3.354</w:t>
            </w:r>
          </w:p>
        </w:tc>
      </w:tr>
      <w:tr w:rsidR="00AC2B95" w:rsidRPr="00F14DC1" w14:paraId="7C7CB753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75C9C6" w14:textId="77777777" w:rsidR="00AC2B95" w:rsidRPr="00144257" w:rsidRDefault="00CF7027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CF7027">
              <w:rPr>
                <w:rFonts w:ascii="Calibri" w:hAnsi="Calibri" w:cs="Calibri"/>
                <w:sz w:val="22"/>
                <w:szCs w:val="22"/>
              </w:rPr>
              <w:t xml:space="preserve">Szociális </w:t>
            </w:r>
            <w:r w:rsidR="00DB1087">
              <w:rPr>
                <w:rFonts w:ascii="Calibri" w:hAnsi="Calibri" w:cs="Calibri"/>
                <w:sz w:val="22"/>
                <w:szCs w:val="22"/>
              </w:rPr>
              <w:t>ágazat kiadásai - Szombathelyi R</w:t>
            </w:r>
            <w:r w:rsidRPr="00CF7027">
              <w:rPr>
                <w:rFonts w:ascii="Calibri" w:hAnsi="Calibri" w:cs="Calibri"/>
                <w:sz w:val="22"/>
                <w:szCs w:val="22"/>
              </w:rPr>
              <w:t>eformátus Gyülekezet tám</w:t>
            </w:r>
            <w:r w:rsidR="00DB1087">
              <w:rPr>
                <w:rFonts w:ascii="Calibri" w:hAnsi="Calibri" w:cs="Calibri"/>
                <w:sz w:val="22"/>
                <w:szCs w:val="22"/>
              </w:rPr>
              <w:t>ogatása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CA653C" w14:textId="77777777" w:rsidR="00DB1087" w:rsidRDefault="00DB1087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09A5A08" w14:textId="77777777" w:rsidR="00AC2B95" w:rsidRPr="003200D7" w:rsidRDefault="00CF7027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+200</w:t>
            </w:r>
          </w:p>
        </w:tc>
      </w:tr>
      <w:tr w:rsidR="00AC2B95" w:rsidRPr="00F14DC1" w14:paraId="1E8F0921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91E3DC" w14:textId="77777777" w:rsidR="00AC2B95" w:rsidRPr="00144257" w:rsidRDefault="00CF7027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CF7027">
              <w:rPr>
                <w:rFonts w:ascii="Calibri" w:hAnsi="Calibri" w:cs="Calibri"/>
                <w:sz w:val="22"/>
                <w:szCs w:val="22"/>
              </w:rPr>
              <w:t>Tartalék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DF60BE" w14:textId="77777777" w:rsidR="00AC2B95" w:rsidRPr="003200D7" w:rsidRDefault="00CF7027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-200</w:t>
            </w:r>
          </w:p>
        </w:tc>
      </w:tr>
      <w:tr w:rsidR="00AC2B95" w:rsidRPr="00F14DC1" w14:paraId="46DF2798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5E01FD" w14:textId="77777777" w:rsidR="00AC2B95" w:rsidRPr="00144257" w:rsidRDefault="00CF7027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CF7027">
              <w:rPr>
                <w:rFonts w:ascii="Calibri" w:hAnsi="Calibri" w:cs="Calibri"/>
                <w:sz w:val="22"/>
                <w:szCs w:val="22"/>
              </w:rPr>
              <w:t>Szo</w:t>
            </w:r>
            <w:r w:rsidR="00DB1087">
              <w:rPr>
                <w:rFonts w:ascii="Calibri" w:hAnsi="Calibri" w:cs="Calibri"/>
                <w:sz w:val="22"/>
                <w:szCs w:val="22"/>
              </w:rPr>
              <w:t>ciális ágazat kiadásai - HÁROFIT Közhasznú</w:t>
            </w:r>
            <w:r w:rsidRPr="00CF7027">
              <w:rPr>
                <w:rFonts w:ascii="Calibri" w:hAnsi="Calibri" w:cs="Calibri"/>
                <w:sz w:val="22"/>
                <w:szCs w:val="22"/>
              </w:rPr>
              <w:t xml:space="preserve"> Egyesület</w:t>
            </w:r>
            <w:r w:rsidR="00DB1087">
              <w:rPr>
                <w:rFonts w:ascii="Calibri" w:hAnsi="Calibri" w:cs="Calibri"/>
                <w:sz w:val="22"/>
                <w:szCs w:val="22"/>
              </w:rPr>
              <w:t xml:space="preserve"> - Rászoruló családoknak nyújtott tanévkezdési támogatás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7F404B" w14:textId="77777777" w:rsidR="00AC2B95" w:rsidRDefault="00AC2B9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9D260F9" w14:textId="77777777" w:rsidR="00CF7027" w:rsidRPr="003200D7" w:rsidRDefault="00CF7027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+200</w:t>
            </w:r>
          </w:p>
        </w:tc>
      </w:tr>
      <w:tr w:rsidR="00CF7027" w:rsidRPr="00F14DC1" w14:paraId="0EC64E5F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9FEC4B6" w14:textId="77777777" w:rsidR="00CF7027" w:rsidRPr="00144257" w:rsidRDefault="00CF7027" w:rsidP="00CF7027">
            <w:pPr>
              <w:rPr>
                <w:rFonts w:ascii="Calibri" w:hAnsi="Calibri" w:cs="Calibri"/>
                <w:sz w:val="22"/>
                <w:szCs w:val="22"/>
              </w:rPr>
            </w:pPr>
            <w:r w:rsidRPr="00CF7027">
              <w:rPr>
                <w:rFonts w:ascii="Calibri" w:hAnsi="Calibri" w:cs="Calibri"/>
                <w:sz w:val="22"/>
                <w:szCs w:val="22"/>
              </w:rPr>
              <w:t>Tartalék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CD79CC" w14:textId="77777777" w:rsidR="00CF7027" w:rsidRPr="003200D7" w:rsidRDefault="00CF7027" w:rsidP="00CF7027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-200</w:t>
            </w:r>
          </w:p>
        </w:tc>
      </w:tr>
    </w:tbl>
    <w:p w14:paraId="68B93C05" w14:textId="77777777" w:rsidR="00FE78E1" w:rsidRPr="00F14DC1" w:rsidRDefault="00FE78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5407DC9" w14:textId="77777777" w:rsidR="00500B0C" w:rsidRPr="00F14DC1" w:rsidRDefault="00500B0C" w:rsidP="00500B0C">
      <w:pPr>
        <w:tabs>
          <w:tab w:val="left" w:pos="1080"/>
        </w:tabs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3200D7">
        <w:rPr>
          <w:rFonts w:ascii="Calibri" w:hAnsi="Calibri" w:cs="Calibri"/>
          <w:b/>
          <w:bCs/>
          <w:iCs/>
          <w:sz w:val="22"/>
          <w:szCs w:val="22"/>
        </w:rPr>
        <w:t>e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0 </w:t>
      </w:r>
      <w:proofErr w:type="spellStart"/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36264610" w14:textId="77777777" w:rsidR="00500B0C" w:rsidRPr="00F14DC1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755A9692" w14:textId="77777777" w:rsidR="004E27F0" w:rsidRDefault="004E27F0" w:rsidP="00295143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F4F592C" w14:textId="77777777" w:rsidR="00295143" w:rsidRPr="00F14DC1" w:rsidRDefault="00295143" w:rsidP="00295143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</w:rPr>
        <w:t>f) Ágazati kiadásokból, polgármesteri keretből történt átcsoportosítások:</w:t>
      </w:r>
    </w:p>
    <w:p w14:paraId="121CC9D3" w14:textId="77777777" w:rsidR="00295143" w:rsidRPr="00F14DC1" w:rsidRDefault="00295143" w:rsidP="00500B0C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5775926" w14:textId="77777777" w:rsidR="00576AEE" w:rsidRPr="00E8771F" w:rsidRDefault="00576AEE" w:rsidP="00576AEE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E8771F">
        <w:rPr>
          <w:rFonts w:ascii="Calibri" w:hAnsi="Calibri" w:cs="Calibri"/>
          <w:bCs/>
          <w:iCs/>
          <w:sz w:val="22"/>
          <w:szCs w:val="22"/>
        </w:rPr>
        <w:t>A</w:t>
      </w:r>
      <w:r>
        <w:rPr>
          <w:rFonts w:ascii="Calibri" w:hAnsi="Calibri" w:cs="Calibri"/>
          <w:bCs/>
          <w:iCs/>
          <w:sz w:val="22"/>
          <w:szCs w:val="22"/>
        </w:rPr>
        <w:t>z 54/2023. (IV.25</w:t>
      </w:r>
      <w:r w:rsidRPr="00E8771F">
        <w:rPr>
          <w:rFonts w:ascii="Calibri" w:hAnsi="Calibri" w:cs="Calibri"/>
          <w:bCs/>
          <w:iCs/>
          <w:sz w:val="22"/>
          <w:szCs w:val="22"/>
        </w:rPr>
        <w:t xml:space="preserve">.) KOCB sz. határozat szerint </w:t>
      </w:r>
      <w:r>
        <w:rPr>
          <w:rFonts w:ascii="Calibri" w:hAnsi="Calibri" w:cs="Calibri"/>
          <w:bCs/>
          <w:iCs/>
          <w:sz w:val="22"/>
          <w:szCs w:val="22"/>
        </w:rPr>
        <w:t xml:space="preserve">a 2023. évi önkormányzati nyári napközis tábor megszervezésére biztosított 8.000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 xml:space="preserve"> összeg a pénzügyi lebonyolítást végző Köznevelési GAMESZ költségvetésébe került átcsoportosításra.</w:t>
      </w:r>
    </w:p>
    <w:p w14:paraId="7EA3FB2A" w14:textId="77777777" w:rsidR="00576AEE" w:rsidRDefault="00576AEE" w:rsidP="00576AEE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73E77DE7" w14:textId="77777777" w:rsidR="00576AEE" w:rsidRPr="00576AEE" w:rsidRDefault="00576AEE" w:rsidP="00576AEE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576AEE">
        <w:rPr>
          <w:rFonts w:ascii="Calibri" w:hAnsi="Calibri" w:cs="Calibri"/>
          <w:bCs/>
          <w:iCs/>
          <w:sz w:val="22"/>
          <w:szCs w:val="22"/>
        </w:rPr>
        <w:t xml:space="preserve">A Kulturális, Oktatási és Civil </w:t>
      </w:r>
      <w:r>
        <w:rPr>
          <w:rFonts w:ascii="Calibri" w:hAnsi="Calibri" w:cs="Calibri"/>
          <w:bCs/>
          <w:iCs/>
          <w:sz w:val="22"/>
          <w:szCs w:val="22"/>
        </w:rPr>
        <w:t>Bizottság által a bizottság 2023</w:t>
      </w:r>
      <w:r w:rsidRPr="00576AEE">
        <w:rPr>
          <w:rFonts w:ascii="Calibri" w:hAnsi="Calibri" w:cs="Calibri"/>
          <w:bCs/>
          <w:iCs/>
          <w:sz w:val="22"/>
          <w:szCs w:val="22"/>
        </w:rPr>
        <w:t xml:space="preserve">. szeptemberi ülésén tárgyalt, a „Kalandváros óvodai és iskolai csoportok által történő szervezett látogatásának támogatása” költségvetési tétel felhasználására tett javaslat alapján, 2.050 </w:t>
      </w:r>
      <w:proofErr w:type="spellStart"/>
      <w:r w:rsidRPr="00576AEE"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 w:rsidRPr="00576AEE">
        <w:rPr>
          <w:rFonts w:ascii="Calibri" w:hAnsi="Calibri" w:cs="Calibri"/>
          <w:bCs/>
          <w:iCs/>
          <w:sz w:val="22"/>
          <w:szCs w:val="22"/>
        </w:rPr>
        <w:t xml:space="preserve"> átcsoportosításra került a Köznevelési GAMESZ költségvetésébe.</w:t>
      </w:r>
    </w:p>
    <w:p w14:paraId="12D60CAB" w14:textId="77777777" w:rsidR="00B779DA" w:rsidRDefault="00B779DA" w:rsidP="003200D7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38B0B870" w14:textId="77777777" w:rsidR="00295143" w:rsidRPr="0090196C" w:rsidRDefault="00DD3C5E" w:rsidP="00576AEE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90196C">
        <w:rPr>
          <w:rFonts w:ascii="Calibri" w:hAnsi="Calibri" w:cs="Calibri"/>
          <w:bCs/>
          <w:iCs/>
          <w:sz w:val="22"/>
          <w:szCs w:val="22"/>
        </w:rPr>
        <w:t>Továbbá a szakmai bizottságok által hozott határozatok alapján meghatározott tételek átcsoportosításra kerültek az ágazatok előirányzatairól az intézményi költségvetési előirányzatok közé. E módosítások többletforrás igénnyel nem jártak.</w:t>
      </w:r>
    </w:p>
    <w:p w14:paraId="6EA082FE" w14:textId="77777777" w:rsidR="0090196C" w:rsidRPr="00F14DC1" w:rsidRDefault="0090196C" w:rsidP="00DD3C5E">
      <w:pPr>
        <w:ind w:left="360"/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1ECE301A" w14:textId="77777777" w:rsidR="00295143" w:rsidRPr="00F14DC1" w:rsidRDefault="00295143" w:rsidP="0090196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</w:t>
      </w:r>
      <w:r w:rsid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 </w:t>
      </w:r>
      <w:proofErr w:type="spellStart"/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67182996" w14:textId="77777777" w:rsidR="007154D9" w:rsidRDefault="007154D9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5005F06" w14:textId="77777777" w:rsidR="004B2B29" w:rsidRDefault="004B2B29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A4A2281" w14:textId="77777777" w:rsidR="004B2B29" w:rsidRDefault="004B2B29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91A609E" w14:textId="77777777" w:rsidR="00B3221C" w:rsidRDefault="00B3221C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3F95840" w14:textId="77777777" w:rsidR="00B3221C" w:rsidRPr="00F14DC1" w:rsidRDefault="00B3221C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FBB7AB3" w14:textId="77777777" w:rsidR="007154D9" w:rsidRPr="00F14DC1" w:rsidRDefault="007154D9" w:rsidP="00500B0C">
      <w:pPr>
        <w:ind w:left="360"/>
        <w:rPr>
          <w:rFonts w:ascii="Calibri" w:hAnsi="Calibri" w:cs="Calibri"/>
          <w:sz w:val="22"/>
          <w:szCs w:val="22"/>
        </w:rPr>
      </w:pPr>
    </w:p>
    <w:p w14:paraId="165EEACA" w14:textId="77777777" w:rsidR="00500B0C" w:rsidRPr="00F14DC1" w:rsidRDefault="00295143" w:rsidP="00500B0C">
      <w:pPr>
        <w:keepNext/>
        <w:jc w:val="both"/>
        <w:outlineLvl w:val="7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lastRenderedPageBreak/>
        <w:t>g</w:t>
      </w:r>
      <w:r w:rsidR="00500B0C"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) Egyéb átcsoportosítások:</w:t>
      </w:r>
    </w:p>
    <w:p w14:paraId="5261FEFB" w14:textId="77777777" w:rsidR="00FB41D2" w:rsidRDefault="00FB41D2" w:rsidP="00B13601">
      <w:pPr>
        <w:jc w:val="both"/>
        <w:rPr>
          <w:rFonts w:ascii="Calibri" w:hAnsi="Calibri" w:cs="Calibri"/>
          <w:sz w:val="22"/>
          <w:szCs w:val="22"/>
        </w:rPr>
      </w:pPr>
    </w:p>
    <w:p w14:paraId="147FB47C" w14:textId="77777777" w:rsidR="00FB41D2" w:rsidRPr="00241880" w:rsidRDefault="00FB41D2" w:rsidP="00241880">
      <w:pPr>
        <w:ind w:left="426"/>
        <w:jc w:val="both"/>
        <w:rPr>
          <w:rFonts w:ascii="Calibri" w:hAnsi="Calibri" w:cs="Calibri"/>
          <w:color w:val="FF0000"/>
          <w:sz w:val="22"/>
          <w:szCs w:val="22"/>
        </w:rPr>
      </w:pPr>
      <w:r w:rsidRPr="00FB41D2">
        <w:rPr>
          <w:rFonts w:ascii="Calibri" w:hAnsi="Calibri" w:cs="Calibri"/>
          <w:sz w:val="22"/>
          <w:szCs w:val="22"/>
        </w:rPr>
        <w:t>Az átcsoportosítás keretében egyenleget nem érintő változások kerültek végrehajtásra, melyet szakmai indokok támasztanak alá, továbbá technikai jellegűek. (</w:t>
      </w:r>
      <w:r w:rsidRPr="00652DCD">
        <w:rPr>
          <w:rFonts w:ascii="Calibri" w:hAnsi="Calibri" w:cs="Calibri"/>
          <w:sz w:val="22"/>
          <w:szCs w:val="22"/>
        </w:rPr>
        <w:t>Jelentősebb nagyságrendűnek</w:t>
      </w:r>
      <w:r w:rsidRPr="00FB41D2">
        <w:rPr>
          <w:rFonts w:ascii="Calibri" w:hAnsi="Calibri" w:cs="Calibri"/>
          <w:sz w:val="22"/>
          <w:szCs w:val="22"/>
        </w:rPr>
        <w:t xml:space="preserve"> tekintendő tételek bemutatása.)</w:t>
      </w:r>
    </w:p>
    <w:p w14:paraId="023BAF99" w14:textId="77777777" w:rsidR="00372CB4" w:rsidRPr="00F14DC1" w:rsidRDefault="00372CB4" w:rsidP="00500B0C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6CC3D0D" w14:textId="77777777" w:rsidR="00500B0C" w:rsidRPr="00B3221C" w:rsidRDefault="00725D86" w:rsidP="000442EA">
      <w:pPr>
        <w:numPr>
          <w:ilvl w:val="0"/>
          <w:numId w:val="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B3221C">
        <w:rPr>
          <w:rFonts w:ascii="Calibri" w:hAnsi="Calibri" w:cs="Calibri"/>
          <w:sz w:val="22"/>
          <w:szCs w:val="22"/>
        </w:rPr>
        <w:t xml:space="preserve">A „Kulturális ágazat, média kiadásai – Egyéb kulturális rendezvények” tételsorról 5.000 </w:t>
      </w:r>
      <w:proofErr w:type="spellStart"/>
      <w:r w:rsidRPr="00B3221C">
        <w:rPr>
          <w:rFonts w:ascii="Calibri" w:hAnsi="Calibri" w:cs="Calibri"/>
          <w:sz w:val="22"/>
          <w:szCs w:val="22"/>
        </w:rPr>
        <w:t>eFt</w:t>
      </w:r>
      <w:proofErr w:type="spellEnd"/>
      <w:r w:rsidRPr="00B3221C">
        <w:rPr>
          <w:rFonts w:ascii="Calibri" w:hAnsi="Calibri" w:cs="Calibri"/>
          <w:sz w:val="22"/>
          <w:szCs w:val="22"/>
        </w:rPr>
        <w:t xml:space="preserve"> összeg került átcsoportosításra a Savaria Múzeum intézményi költségvetésébe a </w:t>
      </w:r>
      <w:proofErr w:type="spellStart"/>
      <w:r w:rsidRPr="00B3221C">
        <w:rPr>
          <w:rFonts w:ascii="Calibri" w:hAnsi="Calibri" w:cs="Calibri"/>
          <w:sz w:val="22"/>
          <w:szCs w:val="22"/>
        </w:rPr>
        <w:t>Geszler</w:t>
      </w:r>
      <w:proofErr w:type="spellEnd"/>
      <w:r w:rsidRPr="00B3221C">
        <w:rPr>
          <w:rFonts w:ascii="Calibri" w:hAnsi="Calibri" w:cs="Calibri"/>
          <w:sz w:val="22"/>
          <w:szCs w:val="22"/>
        </w:rPr>
        <w:t xml:space="preserve"> Mária állandó kiállítás megvalósítása céljából.</w:t>
      </w:r>
    </w:p>
    <w:p w14:paraId="244EE59B" w14:textId="77777777" w:rsidR="00725D86" w:rsidRPr="00B3221C" w:rsidRDefault="00725D86" w:rsidP="000442E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3221C">
        <w:rPr>
          <w:rFonts w:ascii="Calibri" w:hAnsi="Calibri" w:cs="Calibri"/>
          <w:sz w:val="22"/>
          <w:szCs w:val="22"/>
        </w:rPr>
        <w:t>A 2023. június-</w:t>
      </w:r>
      <w:r w:rsidR="004F638C" w:rsidRPr="00B3221C">
        <w:rPr>
          <w:rFonts w:ascii="Calibri" w:hAnsi="Calibri" w:cs="Calibri"/>
          <w:sz w:val="22"/>
          <w:szCs w:val="22"/>
        </w:rPr>
        <w:t>augusztus</w:t>
      </w:r>
      <w:r w:rsidRPr="00B3221C">
        <w:rPr>
          <w:rFonts w:ascii="Calibri" w:hAnsi="Calibri" w:cs="Calibri"/>
          <w:sz w:val="22"/>
          <w:szCs w:val="22"/>
        </w:rPr>
        <w:t xml:space="preserve"> havi elszámolások alapján a „Szünidei gyermekétkeztetés” tételsorról </w:t>
      </w:r>
      <w:r w:rsidR="004F638C" w:rsidRPr="00B3221C">
        <w:rPr>
          <w:rFonts w:ascii="Calibri" w:hAnsi="Calibri" w:cs="Calibri"/>
          <w:sz w:val="22"/>
          <w:szCs w:val="22"/>
        </w:rPr>
        <w:t>4.461</w:t>
      </w:r>
      <w:r w:rsidRPr="00B3221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221C">
        <w:rPr>
          <w:rFonts w:ascii="Calibri" w:hAnsi="Calibri" w:cs="Calibri"/>
          <w:sz w:val="22"/>
          <w:szCs w:val="22"/>
        </w:rPr>
        <w:t>eFt</w:t>
      </w:r>
      <w:proofErr w:type="spellEnd"/>
      <w:r w:rsidRPr="00B3221C">
        <w:rPr>
          <w:rFonts w:ascii="Calibri" w:hAnsi="Calibri" w:cs="Calibri"/>
          <w:sz w:val="22"/>
          <w:szCs w:val="22"/>
        </w:rPr>
        <w:t xml:space="preserve"> összegű előirányzat átcsoportosításra került a feladatot ellátó Pálos Károly Szociális Szolgáltató Központ és Gyermekjóléti Szolgálat intézmény költségvetésébe.</w:t>
      </w:r>
    </w:p>
    <w:p w14:paraId="01CB398A" w14:textId="77777777" w:rsidR="00725D86" w:rsidRPr="00B3221C" w:rsidRDefault="00725D86" w:rsidP="000442EA">
      <w:pPr>
        <w:numPr>
          <w:ilvl w:val="0"/>
          <w:numId w:val="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B3221C">
        <w:rPr>
          <w:rFonts w:ascii="Calibri" w:hAnsi="Calibri" w:cs="Calibri"/>
          <w:sz w:val="22"/>
          <w:szCs w:val="22"/>
        </w:rPr>
        <w:t>Az „Önkormányzati felhalmozási kiadások – Derkovits lakótelepen parkoló építés”</w:t>
      </w:r>
      <w:r w:rsidR="005A61E9" w:rsidRPr="00B3221C">
        <w:rPr>
          <w:rFonts w:ascii="Calibri" w:hAnsi="Calibri" w:cs="Calibri"/>
          <w:sz w:val="22"/>
          <w:szCs w:val="22"/>
        </w:rPr>
        <w:t xml:space="preserve"> előirányzata átcsoportosításra került az „Út-híd fenntartási kiadások - Derkovits lakótelepen parkoló kialakítása” tételsorra 28.000 </w:t>
      </w:r>
      <w:proofErr w:type="spellStart"/>
      <w:r w:rsidR="005A61E9" w:rsidRPr="00B3221C">
        <w:rPr>
          <w:rFonts w:ascii="Calibri" w:hAnsi="Calibri" w:cs="Calibri"/>
          <w:sz w:val="22"/>
          <w:szCs w:val="22"/>
        </w:rPr>
        <w:t>eFt</w:t>
      </w:r>
      <w:proofErr w:type="spellEnd"/>
      <w:r w:rsidR="005A61E9" w:rsidRPr="00B3221C">
        <w:rPr>
          <w:rFonts w:ascii="Calibri" w:hAnsi="Calibri" w:cs="Calibri"/>
          <w:sz w:val="22"/>
          <w:szCs w:val="22"/>
        </w:rPr>
        <w:t xml:space="preserve"> összegben.</w:t>
      </w:r>
      <w:r w:rsidR="003208F4" w:rsidRPr="00B3221C">
        <w:rPr>
          <w:rFonts w:ascii="Calibri" w:hAnsi="Calibri" w:cs="Calibri"/>
          <w:sz w:val="22"/>
          <w:szCs w:val="22"/>
        </w:rPr>
        <w:t xml:space="preserve"> </w:t>
      </w:r>
    </w:p>
    <w:p w14:paraId="6C6B0885" w14:textId="77777777" w:rsidR="003208F4" w:rsidRPr="00B3221C" w:rsidRDefault="005A61E9" w:rsidP="000442EA">
      <w:pPr>
        <w:numPr>
          <w:ilvl w:val="0"/>
          <w:numId w:val="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B3221C">
        <w:rPr>
          <w:rFonts w:ascii="Calibri" w:hAnsi="Calibri" w:cs="Calibri"/>
          <w:sz w:val="22"/>
          <w:szCs w:val="22"/>
        </w:rPr>
        <w:t xml:space="preserve">A „Projektek - önerő, hozzájárulás, előkészítés” tételsorról került biztosításra a „TOP-6.1.5-2019-00002 Ferenczy u. hiányzó szakaszának építése – hozzájárulás </w:t>
      </w:r>
      <w:r w:rsidR="004B2B29" w:rsidRPr="00B3221C">
        <w:rPr>
          <w:rFonts w:ascii="Calibri" w:hAnsi="Calibri" w:cs="Calibri"/>
          <w:sz w:val="22"/>
          <w:szCs w:val="22"/>
        </w:rPr>
        <w:t>5</w:t>
      </w:r>
      <w:r w:rsidRPr="00B3221C">
        <w:rPr>
          <w:rFonts w:ascii="Calibri" w:hAnsi="Calibri" w:cs="Calibri"/>
          <w:sz w:val="22"/>
          <w:szCs w:val="22"/>
        </w:rPr>
        <w:t xml:space="preserve">.344 </w:t>
      </w:r>
      <w:proofErr w:type="spellStart"/>
      <w:r w:rsidRPr="00B3221C">
        <w:rPr>
          <w:rFonts w:ascii="Calibri" w:hAnsi="Calibri" w:cs="Calibri"/>
          <w:sz w:val="22"/>
          <w:szCs w:val="22"/>
        </w:rPr>
        <w:t>eFt</w:t>
      </w:r>
      <w:proofErr w:type="spellEnd"/>
      <w:r w:rsidRPr="00B3221C">
        <w:rPr>
          <w:rFonts w:ascii="Calibri" w:hAnsi="Calibri" w:cs="Calibri"/>
          <w:sz w:val="22"/>
          <w:szCs w:val="22"/>
        </w:rPr>
        <w:t xml:space="preserve"> összegű fedezete.</w:t>
      </w:r>
    </w:p>
    <w:p w14:paraId="6132C8A8" w14:textId="77777777" w:rsidR="007E6087" w:rsidRPr="00B3221C" w:rsidRDefault="003208F4" w:rsidP="007E608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3221C">
        <w:rPr>
          <w:rFonts w:ascii="Calibri" w:hAnsi="Calibri" w:cs="Calibri"/>
          <w:sz w:val="22"/>
          <w:szCs w:val="22"/>
        </w:rPr>
        <w:t xml:space="preserve">Az „Önkormányzati felhalmozási kiadások - Vak Bottyán u. 2. sz. alatti ingatlan vásárlás (Brenner villa)” tételsorról átcsoportosításra került az „Egyéb, más ágazathoz nem sorolható intézmények és feladatok kiadásai - </w:t>
      </w:r>
      <w:r w:rsidR="00A4600F" w:rsidRPr="00B3221C">
        <w:rPr>
          <w:rFonts w:ascii="Calibri" w:hAnsi="Calibri" w:cs="Calibri"/>
          <w:sz w:val="22"/>
          <w:szCs w:val="22"/>
        </w:rPr>
        <w:t>Vak Bottyán u. 2. sz. alatti ingatlan vásárlás perköltség (Brenner villa</w:t>
      </w:r>
      <w:r w:rsidR="000021CD" w:rsidRPr="00B3221C">
        <w:rPr>
          <w:rFonts w:ascii="Calibri" w:hAnsi="Calibri" w:cs="Calibri"/>
          <w:sz w:val="22"/>
          <w:szCs w:val="22"/>
        </w:rPr>
        <w:t xml:space="preserve">) sorra 4.575 </w:t>
      </w:r>
      <w:proofErr w:type="spellStart"/>
      <w:r w:rsidR="000021CD" w:rsidRPr="00B3221C">
        <w:rPr>
          <w:rFonts w:ascii="Calibri" w:hAnsi="Calibri" w:cs="Calibri"/>
          <w:sz w:val="22"/>
          <w:szCs w:val="22"/>
        </w:rPr>
        <w:t>eFt</w:t>
      </w:r>
      <w:proofErr w:type="spellEnd"/>
      <w:r w:rsidR="000021CD" w:rsidRPr="00B3221C">
        <w:rPr>
          <w:rFonts w:ascii="Calibri" w:hAnsi="Calibri" w:cs="Calibri"/>
          <w:sz w:val="22"/>
          <w:szCs w:val="22"/>
        </w:rPr>
        <w:t xml:space="preserve"> előirányzat a Győri Ítélőtábla végzése alapján </w:t>
      </w:r>
      <w:r w:rsidR="008C5C5E" w:rsidRPr="00B3221C">
        <w:rPr>
          <w:rFonts w:ascii="Calibri" w:hAnsi="Calibri" w:cs="Calibri"/>
          <w:sz w:val="22"/>
          <w:szCs w:val="22"/>
        </w:rPr>
        <w:t>fizetendő perköltség teljesítésére.</w:t>
      </w:r>
      <w:r w:rsidR="007E6087" w:rsidRPr="00B3221C">
        <w:rPr>
          <w:rFonts w:ascii="Calibri" w:hAnsi="Calibri" w:cs="Calibri"/>
          <w:sz w:val="22"/>
          <w:szCs w:val="22"/>
        </w:rPr>
        <w:t xml:space="preserve"> </w:t>
      </w:r>
    </w:p>
    <w:p w14:paraId="7448CCFD" w14:textId="77777777" w:rsidR="007E6087" w:rsidRPr="00B3221C" w:rsidRDefault="007E6087" w:rsidP="007E608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3221C">
        <w:rPr>
          <w:rFonts w:ascii="Calibri" w:hAnsi="Calibri" w:cs="Calibri"/>
          <w:sz w:val="22"/>
          <w:szCs w:val="22"/>
        </w:rPr>
        <w:t>Az „INTERREG</w:t>
      </w:r>
      <w:r w:rsidR="00895F31" w:rsidRPr="00B3221C">
        <w:rPr>
          <w:rFonts w:ascii="Calibri" w:hAnsi="Calibri" w:cs="Calibri"/>
          <w:sz w:val="22"/>
          <w:szCs w:val="22"/>
        </w:rPr>
        <w:t xml:space="preserve"> Europe</w:t>
      </w:r>
      <w:r w:rsidRPr="00B3221C">
        <w:rPr>
          <w:rFonts w:ascii="Calibri" w:hAnsi="Calibri" w:cs="Calibri"/>
          <w:sz w:val="22"/>
          <w:szCs w:val="22"/>
        </w:rPr>
        <w:t xml:space="preserve"> OD4GROWTH pályázat” tételsorról a Polgármesteri Hivatal költségvetésébe 4.035 </w:t>
      </w:r>
      <w:proofErr w:type="spellStart"/>
      <w:r w:rsidRPr="00B3221C">
        <w:rPr>
          <w:rFonts w:ascii="Calibri" w:hAnsi="Calibri" w:cs="Calibri"/>
          <w:sz w:val="22"/>
          <w:szCs w:val="22"/>
        </w:rPr>
        <w:t>eFt</w:t>
      </w:r>
      <w:proofErr w:type="spellEnd"/>
      <w:r w:rsidRPr="00B3221C">
        <w:rPr>
          <w:rFonts w:ascii="Calibri" w:hAnsi="Calibri" w:cs="Calibri"/>
          <w:sz w:val="22"/>
          <w:szCs w:val="22"/>
        </w:rPr>
        <w:t xml:space="preserve"> összeg került átcsoportosításra, mivel a projektben résztvevő személyek részére célfeladatként kerül kifizetésre az elvégzett feladat és a célfeladatok fedezete a hivatal költségvetésében kell, hogy rendelkezésre álljon.</w:t>
      </w:r>
    </w:p>
    <w:p w14:paraId="27ECFEB2" w14:textId="77777777" w:rsidR="004436E7" w:rsidRPr="00B3221C" w:rsidRDefault="00E15586" w:rsidP="00895F31">
      <w:pPr>
        <w:numPr>
          <w:ilvl w:val="0"/>
          <w:numId w:val="4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B3221C">
        <w:rPr>
          <w:rFonts w:ascii="Calibri" w:hAnsi="Calibri" w:cs="Calibri"/>
          <w:sz w:val="22"/>
          <w:szCs w:val="22"/>
        </w:rPr>
        <w:t>A „Közszolgáltatási szerződés helyi közlekedés” tételsorról a „</w:t>
      </w:r>
      <w:r w:rsidR="00895F31" w:rsidRPr="00B3221C">
        <w:rPr>
          <w:rFonts w:ascii="Calibri" w:hAnsi="Calibri" w:cs="Calibri"/>
          <w:sz w:val="22"/>
          <w:szCs w:val="22"/>
        </w:rPr>
        <w:t xml:space="preserve">Savaria Karnevál megrendezése, kulturális rendezvények, fesztiválok megrendezése (Savaria Turizmus </w:t>
      </w:r>
      <w:proofErr w:type="spellStart"/>
      <w:r w:rsidR="00895F31" w:rsidRPr="00B3221C">
        <w:rPr>
          <w:rFonts w:ascii="Calibri" w:hAnsi="Calibri" w:cs="Calibri"/>
          <w:sz w:val="22"/>
          <w:szCs w:val="22"/>
        </w:rPr>
        <w:t>Nkft</w:t>
      </w:r>
      <w:proofErr w:type="spellEnd"/>
      <w:r w:rsidR="00895F31" w:rsidRPr="00B3221C">
        <w:rPr>
          <w:rFonts w:ascii="Calibri" w:hAnsi="Calibri" w:cs="Calibri"/>
          <w:sz w:val="22"/>
          <w:szCs w:val="22"/>
        </w:rPr>
        <w:t>., egyéb kiadások, stb.</w:t>
      </w:r>
      <w:r w:rsidRPr="00B3221C">
        <w:rPr>
          <w:rFonts w:ascii="Calibri" w:hAnsi="Calibri" w:cs="Calibri"/>
          <w:sz w:val="22"/>
          <w:szCs w:val="22"/>
        </w:rPr>
        <w:t xml:space="preserve">)” tételsorra került átcsoportosításra 3.544 </w:t>
      </w:r>
      <w:proofErr w:type="spellStart"/>
      <w:r w:rsidRPr="00B3221C">
        <w:rPr>
          <w:rFonts w:ascii="Calibri" w:hAnsi="Calibri" w:cs="Calibri"/>
          <w:sz w:val="22"/>
          <w:szCs w:val="22"/>
        </w:rPr>
        <w:t>eFt</w:t>
      </w:r>
      <w:proofErr w:type="spellEnd"/>
      <w:r w:rsidRPr="00B3221C">
        <w:rPr>
          <w:rFonts w:ascii="Calibri" w:hAnsi="Calibri" w:cs="Calibri"/>
          <w:sz w:val="22"/>
          <w:szCs w:val="22"/>
        </w:rPr>
        <w:t xml:space="preserve"> </w:t>
      </w:r>
      <w:r w:rsidR="00B41DA2" w:rsidRPr="00B3221C">
        <w:rPr>
          <w:rFonts w:ascii="Calibri" w:hAnsi="Calibri" w:cs="Calibri"/>
          <w:sz w:val="22"/>
          <w:szCs w:val="22"/>
        </w:rPr>
        <w:t xml:space="preserve">összegű </w:t>
      </w:r>
      <w:r w:rsidRPr="00B3221C">
        <w:rPr>
          <w:rFonts w:ascii="Calibri" w:hAnsi="Calibri" w:cs="Calibri"/>
          <w:sz w:val="22"/>
          <w:szCs w:val="22"/>
        </w:rPr>
        <w:t>előirányzat.</w:t>
      </w:r>
      <w:r w:rsidRPr="00B3221C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644437" w:rsidRPr="00B3221C">
        <w:rPr>
          <w:rFonts w:ascii="Calibri" w:hAnsi="Calibri" w:cs="Calibri"/>
          <w:sz w:val="22"/>
          <w:szCs w:val="22"/>
        </w:rPr>
        <w:t xml:space="preserve">Az </w:t>
      </w:r>
      <w:proofErr w:type="spellStart"/>
      <w:r w:rsidR="00EA7B84" w:rsidRPr="00B3221C">
        <w:rPr>
          <w:rFonts w:ascii="Calibri" w:hAnsi="Calibri" w:cs="Calibri"/>
          <w:sz w:val="22"/>
          <w:szCs w:val="22"/>
        </w:rPr>
        <w:t>iSi</w:t>
      </w:r>
      <w:proofErr w:type="spellEnd"/>
      <w:r w:rsidR="00EA7B84" w:rsidRPr="00B3221C">
        <w:rPr>
          <w:rFonts w:ascii="Calibri" w:hAnsi="Calibri" w:cs="Calibri"/>
          <w:sz w:val="22"/>
          <w:szCs w:val="22"/>
        </w:rPr>
        <w:t xml:space="preserve"> Kft. –vel létrejött együttműködési megállapodás alapján a cég által nyújtott támogatást az önkormányzat kizárólag kulturális célra</w:t>
      </w:r>
      <w:r w:rsidRPr="00B3221C">
        <w:rPr>
          <w:rFonts w:ascii="Calibri" w:hAnsi="Calibri" w:cs="Calibri"/>
          <w:sz w:val="22"/>
          <w:szCs w:val="22"/>
        </w:rPr>
        <w:t xml:space="preserve"> fordíthatja. A 2023. évi támogatás összege a Savaria Karnevál rendezvény támogatására került biztosításra. </w:t>
      </w:r>
    </w:p>
    <w:p w14:paraId="49F3C503" w14:textId="77777777" w:rsidR="00475296" w:rsidRPr="00B3221C" w:rsidRDefault="00475296" w:rsidP="00895F31">
      <w:pPr>
        <w:numPr>
          <w:ilvl w:val="0"/>
          <w:numId w:val="4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B3221C">
        <w:rPr>
          <w:rFonts w:ascii="Calibri" w:hAnsi="Calibri" w:cs="Calibri"/>
          <w:sz w:val="22"/>
          <w:szCs w:val="22"/>
        </w:rPr>
        <w:t xml:space="preserve">A Szociális ágazat kiadásai – Szociális hét tételsorról 2.500 </w:t>
      </w:r>
      <w:proofErr w:type="spellStart"/>
      <w:r w:rsidRPr="00B3221C">
        <w:rPr>
          <w:rFonts w:ascii="Calibri" w:hAnsi="Calibri" w:cs="Calibri"/>
          <w:sz w:val="22"/>
          <w:szCs w:val="22"/>
        </w:rPr>
        <w:t>eFt</w:t>
      </w:r>
      <w:proofErr w:type="spellEnd"/>
      <w:r w:rsidRPr="00B3221C">
        <w:rPr>
          <w:rFonts w:ascii="Calibri" w:hAnsi="Calibri" w:cs="Calibri"/>
          <w:sz w:val="22"/>
          <w:szCs w:val="22"/>
        </w:rPr>
        <w:t xml:space="preserve"> összeg átcsoportosításra került a programot lebonyolító EBI intézményi költségvetésébe.</w:t>
      </w:r>
    </w:p>
    <w:p w14:paraId="27D9CF78" w14:textId="77777777" w:rsidR="00BD388C" w:rsidRPr="00E15586" w:rsidRDefault="00BD388C" w:rsidP="00895F31">
      <w:pPr>
        <w:numPr>
          <w:ilvl w:val="0"/>
          <w:numId w:val="4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B3221C">
        <w:rPr>
          <w:rFonts w:ascii="Calibri" w:hAnsi="Calibri" w:cs="Calibri"/>
          <w:sz w:val="22"/>
          <w:szCs w:val="22"/>
        </w:rPr>
        <w:t>A nagyobb projektek</w:t>
      </w:r>
      <w:r>
        <w:rPr>
          <w:rFonts w:ascii="Calibri" w:hAnsi="Calibri" w:cs="Calibri"/>
          <w:sz w:val="22"/>
          <w:szCs w:val="22"/>
        </w:rPr>
        <w:t xml:space="preserve"> fordított ÁFA-előirányzatai rendezését is tartalmazza a módosítás. </w:t>
      </w:r>
    </w:p>
    <w:p w14:paraId="69F8FE17" w14:textId="77777777" w:rsidR="00E15586" w:rsidRPr="00E15586" w:rsidRDefault="00E15586" w:rsidP="00E15586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038ADD9" w14:textId="77777777" w:rsidR="00500B0C" w:rsidRPr="00F14DC1" w:rsidRDefault="00295143" w:rsidP="00500B0C">
      <w:pPr>
        <w:tabs>
          <w:tab w:val="left" w:pos="840"/>
        </w:tabs>
        <w:ind w:left="360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5F445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</w:t>
      </w:r>
      <w:r w:rsidR="00500B0C" w:rsidRPr="00D2121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0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69720A1D" w14:textId="77777777" w:rsidR="00500B0C" w:rsidRPr="00F14DC1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56FAE1C9" w14:textId="77777777" w:rsidR="00500B0C" w:rsidRPr="00F14DC1" w:rsidRDefault="00500B0C" w:rsidP="000442EA">
      <w:pPr>
        <w:numPr>
          <w:ilvl w:val="0"/>
          <w:numId w:val="10"/>
        </w:num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Az utólagos tudomás</w:t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ul vételt jelentő tételek a) – g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  egyenlege</w:t>
      </w:r>
      <w:r w:rsidRPr="009723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: </w:t>
      </w:r>
      <w:r w:rsidR="003F6CA1" w:rsidRPr="009723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B41DA2" w:rsidRPr="009723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+</w:t>
      </w:r>
      <w:r w:rsidR="009723BC" w:rsidRPr="009723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194</w:t>
      </w:r>
      <w:r w:rsidR="00B41DA2" w:rsidRPr="009723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.</w:t>
      </w:r>
      <w:r w:rsidR="009723BC" w:rsidRPr="009723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174</w:t>
      </w:r>
      <w:r w:rsidR="007154D9" w:rsidRPr="009723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9723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71B4C165" w14:textId="77777777" w:rsidR="00487DD4" w:rsidRDefault="00487DD4" w:rsidP="00500B0C">
      <w:pPr>
        <w:rPr>
          <w:rFonts w:ascii="Calibri" w:hAnsi="Calibri" w:cs="Calibri"/>
          <w:b/>
          <w:sz w:val="22"/>
          <w:szCs w:val="22"/>
        </w:rPr>
      </w:pPr>
    </w:p>
    <w:p w14:paraId="3E6C36AE" w14:textId="77777777" w:rsidR="005E2762" w:rsidRPr="00F14DC1" w:rsidRDefault="005E2762" w:rsidP="00500B0C">
      <w:pPr>
        <w:rPr>
          <w:rFonts w:ascii="Calibri" w:hAnsi="Calibri" w:cs="Calibri"/>
          <w:b/>
          <w:sz w:val="22"/>
          <w:szCs w:val="22"/>
        </w:rPr>
      </w:pPr>
    </w:p>
    <w:p w14:paraId="587A75C5" w14:textId="77777777" w:rsidR="007D1411" w:rsidRDefault="00B911D2" w:rsidP="000442EA">
      <w:pPr>
        <w:numPr>
          <w:ilvl w:val="0"/>
          <w:numId w:val="10"/>
        </w:numPr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>Közgyűlési</w:t>
      </w:r>
      <w:r w:rsidR="00A26220" w:rsidRPr="00F14DC1">
        <w:rPr>
          <w:rFonts w:ascii="Calibri" w:hAnsi="Calibri" w:cs="Calibri"/>
          <w:b/>
          <w:sz w:val="22"/>
          <w:szCs w:val="22"/>
        </w:rPr>
        <w:t xml:space="preserve"> határozatok</w:t>
      </w:r>
      <w:r w:rsidR="00500B0C" w:rsidRPr="00F14DC1">
        <w:rPr>
          <w:rFonts w:ascii="Calibri" w:hAnsi="Calibri" w:cs="Calibri"/>
          <w:b/>
          <w:sz w:val="22"/>
          <w:szCs w:val="22"/>
        </w:rPr>
        <w:t xml:space="preserve"> alapján biztosított tételek</w:t>
      </w:r>
    </w:p>
    <w:p w14:paraId="6D04E81F" w14:textId="77777777" w:rsidR="0078425D" w:rsidRPr="00C223C4" w:rsidRDefault="0078425D" w:rsidP="0078425D">
      <w:pPr>
        <w:ind w:left="1080"/>
        <w:rPr>
          <w:rFonts w:ascii="Calibri" w:hAnsi="Calibri" w:cs="Calibri"/>
          <w:b/>
          <w:sz w:val="22"/>
          <w:szCs w:val="22"/>
        </w:rPr>
      </w:pPr>
    </w:p>
    <w:p w14:paraId="7049DA21" w14:textId="77777777" w:rsidR="0078425D" w:rsidRPr="00B51678" w:rsidRDefault="0078425D" w:rsidP="000442E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E95752">
        <w:rPr>
          <w:rFonts w:ascii="Calibri" w:hAnsi="Calibri" w:cs="Calibri"/>
          <w:sz w:val="22"/>
          <w:szCs w:val="22"/>
        </w:rPr>
        <w:t xml:space="preserve">Az </w:t>
      </w:r>
      <w:r>
        <w:rPr>
          <w:rFonts w:ascii="Calibri" w:hAnsi="Calibri" w:cs="Calibri"/>
          <w:b/>
          <w:i/>
          <w:sz w:val="22"/>
          <w:szCs w:val="22"/>
        </w:rPr>
        <w:t xml:space="preserve">54/2023. (II.23.) Kgy.sz. határozatban </w:t>
      </w:r>
      <w:r>
        <w:rPr>
          <w:rFonts w:ascii="Calibri" w:hAnsi="Calibri" w:cs="Calibri"/>
          <w:sz w:val="22"/>
          <w:szCs w:val="22"/>
        </w:rPr>
        <w:t xml:space="preserve">döntés született arról, hogy az egészségügyi alapellátás háziorvosai és fogorvosai részére 2023. január 1. napjától 2023. december 31. napjáig terjedő időre rezsitámogatás kerül biztosításra. A Szombathelyi Egészségügyi és Kulturális Intézmények Gazdasági Ellátó Szervezete kimutatása alapján az intézmény költségvetésében átcsoportosítással került biztosításra </w:t>
      </w:r>
      <w:r w:rsidR="00B41DA2" w:rsidRPr="00B41DA2">
        <w:rPr>
          <w:rFonts w:ascii="Calibri" w:hAnsi="Calibri" w:cs="Calibri"/>
          <w:sz w:val="22"/>
          <w:szCs w:val="22"/>
        </w:rPr>
        <w:t>9.033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 az „</w:t>
      </w:r>
      <w:r w:rsidRPr="00B51678">
        <w:rPr>
          <w:rFonts w:ascii="Calibri" w:hAnsi="Calibri" w:cs="Calibri"/>
          <w:bCs/>
          <w:sz w:val="22"/>
          <w:szCs w:val="22"/>
        </w:rPr>
        <w:t>Egészségügyi ágazat kiadásai</w:t>
      </w:r>
      <w:r>
        <w:rPr>
          <w:rFonts w:ascii="Calibri" w:hAnsi="Calibri" w:cs="Calibri"/>
          <w:bCs/>
          <w:sz w:val="22"/>
          <w:szCs w:val="22"/>
        </w:rPr>
        <w:t xml:space="preserve"> - </w:t>
      </w:r>
      <w:r w:rsidRPr="00B51678">
        <w:rPr>
          <w:rFonts w:ascii="Calibri" w:hAnsi="Calibri" w:cs="Calibri"/>
          <w:sz w:val="22"/>
          <w:szCs w:val="22"/>
        </w:rPr>
        <w:t>Háziorvosok rezsikompenzációja</w:t>
      </w:r>
      <w:r>
        <w:rPr>
          <w:rFonts w:ascii="Calibri" w:hAnsi="Calibri" w:cs="Calibri"/>
          <w:sz w:val="24"/>
          <w:szCs w:val="24"/>
        </w:rPr>
        <w:t xml:space="preserve">” </w:t>
      </w:r>
      <w:r w:rsidRPr="00B51678">
        <w:rPr>
          <w:rFonts w:ascii="Calibri" w:hAnsi="Calibri" w:cs="Calibri"/>
          <w:sz w:val="22"/>
          <w:szCs w:val="22"/>
        </w:rPr>
        <w:t>tételsor terhére.</w:t>
      </w:r>
    </w:p>
    <w:p w14:paraId="5C422158" w14:textId="77777777" w:rsidR="0078425D" w:rsidRDefault="0078425D" w:rsidP="0078425D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F5512B">
        <w:rPr>
          <w:rFonts w:ascii="Calibri" w:hAnsi="Calibri" w:cs="Calibri"/>
          <w:b/>
          <w:i/>
          <w:sz w:val="22"/>
          <w:szCs w:val="22"/>
        </w:rPr>
        <w:t xml:space="preserve">    (egyenleg: 0 </w:t>
      </w:r>
      <w:proofErr w:type="spellStart"/>
      <w:r w:rsidRPr="00F5512B">
        <w:rPr>
          <w:rFonts w:ascii="Calibri" w:hAnsi="Calibri" w:cs="Calibri"/>
          <w:b/>
          <w:i/>
          <w:sz w:val="22"/>
          <w:szCs w:val="22"/>
        </w:rPr>
        <w:t>eFt</w:t>
      </w:r>
      <w:proofErr w:type="spellEnd"/>
      <w:r w:rsidRPr="00F5512B">
        <w:rPr>
          <w:rFonts w:ascii="Calibri" w:hAnsi="Calibri" w:cs="Calibri"/>
          <w:b/>
          <w:i/>
          <w:sz w:val="22"/>
          <w:szCs w:val="22"/>
        </w:rPr>
        <w:t xml:space="preserve">) </w:t>
      </w:r>
    </w:p>
    <w:p w14:paraId="70060276" w14:textId="77777777" w:rsidR="00906218" w:rsidRDefault="00906218" w:rsidP="00C223C4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31994C60" w14:textId="77777777" w:rsidR="00C223C4" w:rsidRPr="00F5512B" w:rsidRDefault="007E6087" w:rsidP="000442EA">
      <w:pPr>
        <w:numPr>
          <w:ilvl w:val="0"/>
          <w:numId w:val="7"/>
        </w:numPr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b/>
          <w:i/>
          <w:sz w:val="22"/>
          <w:szCs w:val="22"/>
        </w:rPr>
        <w:t>220/2023. (VI.15</w:t>
      </w:r>
      <w:r w:rsidR="00906218">
        <w:rPr>
          <w:rFonts w:ascii="Calibri" w:hAnsi="Calibri" w:cs="Calibri"/>
          <w:b/>
          <w:i/>
          <w:sz w:val="22"/>
          <w:szCs w:val="22"/>
        </w:rPr>
        <w:t xml:space="preserve">.) Kgy.sz. </w:t>
      </w:r>
      <w:r w:rsidR="00906218" w:rsidRPr="007E6087">
        <w:rPr>
          <w:rFonts w:ascii="Calibri" w:hAnsi="Calibri" w:cs="Calibri"/>
          <w:b/>
          <w:i/>
          <w:sz w:val="22"/>
          <w:szCs w:val="22"/>
        </w:rPr>
        <w:t>határozatban</w:t>
      </w:r>
      <w:r w:rsidR="00906218" w:rsidRPr="007E6087">
        <w:rPr>
          <w:rFonts w:ascii="Calibri" w:hAnsi="Calibri" w:cs="Calibri"/>
          <w:sz w:val="22"/>
          <w:szCs w:val="22"/>
        </w:rPr>
        <w:t xml:space="preserve"> </w:t>
      </w:r>
      <w:r w:rsidRPr="007E608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helyi közösségi közlekedéssel összefüggően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906218">
        <w:rPr>
          <w:rFonts w:ascii="Calibri" w:hAnsi="Calibri" w:cs="Calibri"/>
          <w:sz w:val="22"/>
          <w:szCs w:val="22"/>
        </w:rPr>
        <w:t>döntés született arról, hogy</w:t>
      </w:r>
      <w:r w:rsidR="00C223C4">
        <w:rPr>
          <w:rFonts w:ascii="Calibri" w:hAnsi="Calibri" w:cs="Calibri"/>
          <w:sz w:val="22"/>
          <w:szCs w:val="22"/>
        </w:rPr>
        <w:t xml:space="preserve"> -</w:t>
      </w:r>
      <w:r w:rsidR="009062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figyelemmel a Szolgáltató</w:t>
      </w:r>
      <w:r w:rsidR="00C223C4">
        <w:rPr>
          <w:rFonts w:ascii="Calibri" w:hAnsi="Calibri" w:cs="Calibri"/>
          <w:sz w:val="22"/>
          <w:szCs w:val="22"/>
        </w:rPr>
        <w:t xml:space="preserve"> által vállalt fejlesztésekre é</w:t>
      </w:r>
      <w:r>
        <w:rPr>
          <w:rFonts w:ascii="Calibri" w:hAnsi="Calibri" w:cs="Calibri"/>
          <w:sz w:val="22"/>
          <w:szCs w:val="22"/>
        </w:rPr>
        <w:t>s</w:t>
      </w:r>
      <w:r w:rsidR="00C223C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rendkívüli kiadásaira</w:t>
      </w:r>
      <w:r w:rsidR="00C223C4">
        <w:rPr>
          <w:rFonts w:ascii="Calibri" w:hAnsi="Calibri" w:cs="Calibri"/>
          <w:sz w:val="22"/>
          <w:szCs w:val="22"/>
        </w:rPr>
        <w:t xml:space="preserve"> – 2023. január 1. és 2023. december 31. közötti időtartamra a Közgyűlés rendkívüli ellentételezést biztosít a Szolgáltató részére 85.000 </w:t>
      </w:r>
      <w:proofErr w:type="spellStart"/>
      <w:r w:rsidR="00C223C4">
        <w:rPr>
          <w:rFonts w:ascii="Calibri" w:hAnsi="Calibri" w:cs="Calibri"/>
          <w:sz w:val="22"/>
          <w:szCs w:val="22"/>
        </w:rPr>
        <w:t>eFt</w:t>
      </w:r>
      <w:proofErr w:type="spellEnd"/>
      <w:r w:rsidR="00C223C4">
        <w:rPr>
          <w:rFonts w:ascii="Calibri" w:hAnsi="Calibri" w:cs="Calibri"/>
          <w:sz w:val="22"/>
          <w:szCs w:val="22"/>
        </w:rPr>
        <w:t xml:space="preserve"> összegben. </w:t>
      </w:r>
      <w:r w:rsidR="00C223C4" w:rsidRPr="00F5512B">
        <w:rPr>
          <w:rFonts w:ascii="Calibri" w:hAnsi="Calibri" w:cs="Calibri"/>
          <w:sz w:val="22"/>
          <w:szCs w:val="22"/>
        </w:rPr>
        <w:t xml:space="preserve">Ezen összeggel a „Közszolgáltatási szerződés helyi közlekedés” kiadási előirányzat került megemelésre. </w:t>
      </w:r>
    </w:p>
    <w:p w14:paraId="6113BABE" w14:textId="77777777" w:rsidR="00C223C4" w:rsidRDefault="00C223C4" w:rsidP="006C0390">
      <w:pPr>
        <w:tabs>
          <w:tab w:val="left" w:pos="567"/>
        </w:tabs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F5512B">
        <w:rPr>
          <w:rFonts w:ascii="Calibri" w:hAnsi="Calibri" w:cs="Calibri"/>
          <w:b/>
          <w:i/>
          <w:sz w:val="22"/>
          <w:szCs w:val="22"/>
        </w:rPr>
        <w:t xml:space="preserve">  </w:t>
      </w:r>
      <w:r>
        <w:rPr>
          <w:rFonts w:ascii="Calibri" w:hAnsi="Calibri" w:cs="Calibri"/>
          <w:b/>
          <w:i/>
          <w:sz w:val="22"/>
          <w:szCs w:val="22"/>
        </w:rPr>
        <w:t>(egyenleg: -85.000</w:t>
      </w:r>
      <w:r w:rsidRPr="00F5512B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F5512B">
        <w:rPr>
          <w:rFonts w:ascii="Calibri" w:hAnsi="Calibri" w:cs="Calibri"/>
          <w:b/>
          <w:i/>
          <w:sz w:val="22"/>
          <w:szCs w:val="22"/>
        </w:rPr>
        <w:t>eFt</w:t>
      </w:r>
      <w:proofErr w:type="spellEnd"/>
      <w:r w:rsidRPr="00F5512B">
        <w:rPr>
          <w:rFonts w:ascii="Calibri" w:hAnsi="Calibri" w:cs="Calibri"/>
          <w:b/>
          <w:i/>
          <w:sz w:val="22"/>
          <w:szCs w:val="22"/>
        </w:rPr>
        <w:t xml:space="preserve">) </w:t>
      </w:r>
    </w:p>
    <w:p w14:paraId="4CEFE9E2" w14:textId="77777777" w:rsidR="0013036C" w:rsidRPr="0013036C" w:rsidRDefault="0013036C" w:rsidP="005E276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2AEC5B4B" w14:textId="77777777" w:rsidR="002F400F" w:rsidRPr="006C0390" w:rsidRDefault="007D1411" w:rsidP="000442E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E2762">
        <w:rPr>
          <w:rFonts w:ascii="Calibri" w:hAnsi="Calibri" w:cs="Calibri"/>
          <w:sz w:val="22"/>
          <w:szCs w:val="22"/>
        </w:rPr>
        <w:t>Végrehajtásra került a</w:t>
      </w:r>
      <w:r w:rsidR="00C223C4">
        <w:rPr>
          <w:rFonts w:ascii="Calibri" w:hAnsi="Calibri" w:cs="Calibri"/>
          <w:sz w:val="22"/>
          <w:szCs w:val="22"/>
        </w:rPr>
        <w:t xml:space="preserve"> </w:t>
      </w:r>
      <w:r w:rsidR="00C223C4" w:rsidRPr="00C223C4">
        <w:rPr>
          <w:rFonts w:ascii="Calibri" w:hAnsi="Calibri" w:cs="Calibri"/>
          <w:b/>
          <w:i/>
          <w:sz w:val="22"/>
          <w:szCs w:val="22"/>
        </w:rPr>
        <w:t>222</w:t>
      </w:r>
      <w:r w:rsidR="002F400F" w:rsidRPr="005E2762">
        <w:rPr>
          <w:rFonts w:ascii="Calibri" w:hAnsi="Calibri" w:cs="Calibri"/>
          <w:b/>
          <w:i/>
          <w:sz w:val="22"/>
          <w:szCs w:val="22"/>
        </w:rPr>
        <w:t>/2023</w:t>
      </w:r>
      <w:r w:rsidR="00C223C4">
        <w:rPr>
          <w:rFonts w:ascii="Calibri" w:hAnsi="Calibri" w:cs="Calibri"/>
          <w:b/>
          <w:i/>
          <w:sz w:val="22"/>
          <w:szCs w:val="22"/>
        </w:rPr>
        <w:t>. (VI.15</w:t>
      </w:r>
      <w:r w:rsidRPr="005E2762">
        <w:rPr>
          <w:rFonts w:ascii="Calibri" w:hAnsi="Calibri" w:cs="Calibri"/>
          <w:b/>
          <w:i/>
          <w:sz w:val="22"/>
          <w:szCs w:val="22"/>
        </w:rPr>
        <w:t>.) Kgy.sz. határozat</w:t>
      </w:r>
      <w:r w:rsidR="002F400F" w:rsidRPr="005E2762">
        <w:rPr>
          <w:rFonts w:ascii="Calibri" w:hAnsi="Calibri" w:cs="Calibri"/>
          <w:sz w:val="22"/>
          <w:szCs w:val="22"/>
        </w:rPr>
        <w:t>, amely alapján</w:t>
      </w:r>
      <w:r w:rsidR="00C223C4">
        <w:rPr>
          <w:rFonts w:ascii="Calibri" w:hAnsi="Calibri" w:cs="Calibri"/>
          <w:sz w:val="22"/>
          <w:szCs w:val="22"/>
        </w:rPr>
        <w:t xml:space="preserve"> </w:t>
      </w:r>
      <w:r w:rsidR="006B4F44">
        <w:rPr>
          <w:rFonts w:ascii="Calibri" w:hAnsi="Calibri" w:cs="Calibri"/>
          <w:sz w:val="22"/>
          <w:szCs w:val="22"/>
        </w:rPr>
        <w:t xml:space="preserve">a SZOVA Nonprofit Zrt. által </w:t>
      </w:r>
      <w:r w:rsidR="00C223C4">
        <w:rPr>
          <w:rFonts w:ascii="Calibri" w:hAnsi="Calibri" w:cs="Calibri"/>
          <w:sz w:val="22"/>
          <w:szCs w:val="22"/>
        </w:rPr>
        <w:t>a Vas Vármegyei Markusovszky Egyetemi Oktatókórház részére</w:t>
      </w:r>
      <w:r w:rsidR="006B4F44">
        <w:rPr>
          <w:rFonts w:ascii="Calibri" w:hAnsi="Calibri" w:cs="Calibri"/>
          <w:sz w:val="22"/>
          <w:szCs w:val="22"/>
        </w:rPr>
        <w:t xml:space="preserve"> bérbe adott parkoló bérleti díj összegével megegyező támogatás kerül biztosításra 2023. július 1. napjától 2033. június 30. napjáig a Kórház részére.</w:t>
      </w:r>
      <w:r w:rsidR="006C0390">
        <w:rPr>
          <w:rFonts w:ascii="Calibri" w:hAnsi="Calibri" w:cs="Calibri"/>
          <w:sz w:val="22"/>
          <w:szCs w:val="22"/>
        </w:rPr>
        <w:t xml:space="preserve"> A 2023. évre vonatkozó 1.905 </w:t>
      </w:r>
      <w:proofErr w:type="spellStart"/>
      <w:r w:rsidR="006C0390">
        <w:rPr>
          <w:rFonts w:ascii="Calibri" w:hAnsi="Calibri" w:cs="Calibri"/>
          <w:sz w:val="22"/>
          <w:szCs w:val="22"/>
        </w:rPr>
        <w:t>eFt</w:t>
      </w:r>
      <w:proofErr w:type="spellEnd"/>
      <w:r w:rsidR="006C0390">
        <w:rPr>
          <w:rFonts w:ascii="Calibri" w:hAnsi="Calibri" w:cs="Calibri"/>
          <w:sz w:val="22"/>
          <w:szCs w:val="22"/>
        </w:rPr>
        <w:t xml:space="preserve"> összegű fedezet a „</w:t>
      </w:r>
      <w:r w:rsidR="006C0390" w:rsidRPr="006C0390">
        <w:rPr>
          <w:rFonts w:ascii="Calibri" w:hAnsi="Calibri" w:cs="Calibri"/>
          <w:sz w:val="22"/>
          <w:szCs w:val="22"/>
        </w:rPr>
        <w:t>Vas Vármegyei Markusovszky Egyetemi Oktatókórház (parkoló bérleti díj támogatás 6 hónap)</w:t>
      </w:r>
      <w:r w:rsidR="006C0390">
        <w:rPr>
          <w:rFonts w:ascii="Calibri" w:hAnsi="Calibri" w:cs="Calibri"/>
          <w:sz w:val="22"/>
          <w:szCs w:val="22"/>
        </w:rPr>
        <w:t>” tételsoron került biztosításra.</w:t>
      </w:r>
    </w:p>
    <w:p w14:paraId="48771E11" w14:textId="77777777" w:rsidR="002F400F" w:rsidRDefault="006C0390" w:rsidP="002F400F">
      <w:pPr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        </w:t>
      </w:r>
      <w:r w:rsidR="002F400F" w:rsidRPr="005E2762">
        <w:rPr>
          <w:rFonts w:ascii="Calibri" w:hAnsi="Calibri" w:cs="Calibri"/>
          <w:b/>
          <w:i/>
          <w:sz w:val="22"/>
          <w:szCs w:val="22"/>
        </w:rPr>
        <w:t>(eg</w:t>
      </w:r>
      <w:r>
        <w:rPr>
          <w:rFonts w:ascii="Calibri" w:hAnsi="Calibri" w:cs="Calibri"/>
          <w:b/>
          <w:i/>
          <w:sz w:val="22"/>
          <w:szCs w:val="22"/>
        </w:rPr>
        <w:t>yenleg: -1.905</w:t>
      </w:r>
      <w:r w:rsidR="002F400F" w:rsidRPr="005E2762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="002F400F" w:rsidRPr="005E2762">
        <w:rPr>
          <w:rFonts w:ascii="Calibri" w:hAnsi="Calibri" w:cs="Calibri"/>
          <w:b/>
          <w:i/>
          <w:sz w:val="22"/>
          <w:szCs w:val="22"/>
        </w:rPr>
        <w:t>eFt</w:t>
      </w:r>
      <w:proofErr w:type="spellEnd"/>
      <w:r w:rsidR="002F400F" w:rsidRPr="005E2762">
        <w:rPr>
          <w:rFonts w:ascii="Calibri" w:hAnsi="Calibri" w:cs="Calibri"/>
          <w:b/>
          <w:i/>
          <w:sz w:val="22"/>
          <w:szCs w:val="22"/>
        </w:rPr>
        <w:t>)</w:t>
      </w:r>
    </w:p>
    <w:p w14:paraId="1CC95981" w14:textId="77777777" w:rsidR="00291D79" w:rsidRPr="005E2762" w:rsidRDefault="00291D79" w:rsidP="002F400F">
      <w:pPr>
        <w:jc w:val="both"/>
        <w:rPr>
          <w:rStyle w:val="contentpasted0"/>
          <w:rFonts w:ascii="Calibri" w:hAnsi="Calibri" w:cs="Calibri"/>
          <w:iCs/>
          <w:sz w:val="22"/>
          <w:szCs w:val="22"/>
        </w:rPr>
      </w:pPr>
    </w:p>
    <w:p w14:paraId="737B6FD8" w14:textId="77777777" w:rsidR="00D31C75" w:rsidRPr="00D31C75" w:rsidRDefault="00D31C75" w:rsidP="00D31C75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b/>
          <w:i/>
          <w:sz w:val="22"/>
          <w:szCs w:val="22"/>
        </w:rPr>
        <w:t>172/2023. (V.25.) Kgy.sz. határozat alapján</w:t>
      </w:r>
      <w:r w:rsidRPr="007E60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Margaréta Óvoda </w:t>
      </w:r>
      <w:r w:rsidR="00B13F1F">
        <w:rPr>
          <w:rFonts w:ascii="Calibri" w:hAnsi="Calibri" w:cs="Calibri"/>
          <w:sz w:val="22"/>
          <w:szCs w:val="22"/>
        </w:rPr>
        <w:t>részére</w:t>
      </w:r>
      <w:r>
        <w:rPr>
          <w:rFonts w:ascii="Calibri" w:hAnsi="Calibri" w:cs="Calibri"/>
          <w:sz w:val="22"/>
          <w:szCs w:val="22"/>
        </w:rPr>
        <w:t xml:space="preserve">, 1 fő óvodapedagógus bér és járulékköltségének 1.330 e Ft-os fedezete biztosításra </w:t>
      </w:r>
      <w:r w:rsidR="00C849B8">
        <w:rPr>
          <w:rFonts w:ascii="Calibri" w:hAnsi="Calibri" w:cs="Calibri"/>
          <w:sz w:val="22"/>
          <w:szCs w:val="22"/>
        </w:rPr>
        <w:t>került a költségvetési rendelet módosítása során</w:t>
      </w:r>
      <w:r>
        <w:rPr>
          <w:rFonts w:ascii="Calibri" w:hAnsi="Calibri" w:cs="Calibri"/>
          <w:sz w:val="22"/>
          <w:szCs w:val="22"/>
        </w:rPr>
        <w:t>.</w:t>
      </w:r>
      <w:r w:rsidRPr="00F5512B">
        <w:rPr>
          <w:rFonts w:ascii="Calibri" w:hAnsi="Calibri" w:cs="Calibri"/>
          <w:b/>
          <w:i/>
          <w:sz w:val="22"/>
          <w:szCs w:val="22"/>
        </w:rPr>
        <w:t xml:space="preserve">  </w:t>
      </w:r>
    </w:p>
    <w:p w14:paraId="617EA455" w14:textId="77777777" w:rsidR="002F400F" w:rsidRPr="005E2762" w:rsidRDefault="00D31C75" w:rsidP="00D31C75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(egyenleg: -1.330 e Ft) </w:t>
      </w:r>
    </w:p>
    <w:p w14:paraId="52733C40" w14:textId="77777777" w:rsidR="00D9244D" w:rsidRPr="00F14DC1" w:rsidRDefault="00D9244D" w:rsidP="005E2762">
      <w:pPr>
        <w:jc w:val="both"/>
        <w:rPr>
          <w:rFonts w:ascii="Calibri" w:hAnsi="Calibri" w:cs="Calibri"/>
          <w:b/>
          <w:sz w:val="22"/>
          <w:szCs w:val="22"/>
        </w:rPr>
      </w:pPr>
    </w:p>
    <w:p w14:paraId="29DB4841" w14:textId="77777777" w:rsidR="00500B0C" w:rsidRPr="00F14DC1" w:rsidRDefault="00500B0C" w:rsidP="000442EA">
      <w:pPr>
        <w:numPr>
          <w:ilvl w:val="0"/>
          <w:numId w:val="6"/>
        </w:num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A 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közgyűlési</w:t>
      </w:r>
      <w:r w:rsidR="00A26220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határozatok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alapján biztosított tételek összevont egyenlege: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6C0390">
        <w:rPr>
          <w:rFonts w:ascii="Calibri" w:hAnsi="Calibri" w:cs="Calibri"/>
          <w:b/>
          <w:i/>
          <w:sz w:val="22"/>
          <w:szCs w:val="22"/>
          <w:u w:val="single"/>
        </w:rPr>
        <w:t>-8</w:t>
      </w:r>
      <w:r w:rsidR="00E67A1F">
        <w:rPr>
          <w:rFonts w:ascii="Calibri" w:hAnsi="Calibri" w:cs="Calibri"/>
          <w:b/>
          <w:i/>
          <w:sz w:val="22"/>
          <w:szCs w:val="22"/>
          <w:u w:val="single"/>
        </w:rPr>
        <w:t>8</w:t>
      </w:r>
      <w:r w:rsidR="006C0390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="00E67A1F">
        <w:rPr>
          <w:rFonts w:ascii="Calibri" w:hAnsi="Calibri" w:cs="Calibri"/>
          <w:b/>
          <w:i/>
          <w:sz w:val="22"/>
          <w:szCs w:val="22"/>
          <w:u w:val="single"/>
        </w:rPr>
        <w:t>235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5C6FB9C2" w14:textId="77777777" w:rsidR="00500B0C" w:rsidRDefault="00500B0C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53620A4" w14:textId="77777777" w:rsidR="005E2762" w:rsidRDefault="005E2762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88F1343" w14:textId="77777777" w:rsidR="005E2762" w:rsidRPr="005E2762" w:rsidRDefault="005E2762" w:rsidP="000442EA">
      <w:pPr>
        <w:keepNext/>
        <w:numPr>
          <w:ilvl w:val="0"/>
          <w:numId w:val="6"/>
        </w:numPr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5E2762">
        <w:rPr>
          <w:rFonts w:ascii="Calibri" w:hAnsi="Calibri" w:cs="Calibri"/>
          <w:b/>
          <w:sz w:val="22"/>
          <w:szCs w:val="22"/>
        </w:rPr>
        <w:t>Közgyűlési döntés</w:t>
      </w:r>
      <w:r w:rsidR="00B24B6C">
        <w:rPr>
          <w:rFonts w:ascii="Calibri" w:hAnsi="Calibri" w:cs="Calibri"/>
          <w:b/>
          <w:sz w:val="22"/>
          <w:szCs w:val="22"/>
        </w:rPr>
        <w:t>t igénylő</w:t>
      </w:r>
      <w:r w:rsidRPr="005E2762">
        <w:rPr>
          <w:rFonts w:ascii="Calibri" w:hAnsi="Calibri" w:cs="Calibri"/>
          <w:b/>
          <w:sz w:val="22"/>
          <w:szCs w:val="22"/>
        </w:rPr>
        <w:t xml:space="preserve"> többletkiadások és források rendezése </w:t>
      </w:r>
    </w:p>
    <w:p w14:paraId="33E2C975" w14:textId="77777777" w:rsidR="006D1B8C" w:rsidRDefault="006D1B8C" w:rsidP="005E2762">
      <w:pPr>
        <w:keepNext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p w14:paraId="1E57585C" w14:textId="77777777" w:rsidR="006D1B8C" w:rsidRDefault="006D1B8C" w:rsidP="005E2762">
      <w:pPr>
        <w:keepNext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p w14:paraId="17E58682" w14:textId="77777777" w:rsidR="005E2762" w:rsidRDefault="005E2762" w:rsidP="005E2762">
      <w:pPr>
        <w:keepNext/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5E2762">
        <w:rPr>
          <w:rFonts w:ascii="Calibri" w:hAnsi="Calibri" w:cs="Calibri"/>
          <w:b/>
          <w:sz w:val="22"/>
          <w:szCs w:val="22"/>
        </w:rPr>
        <w:t xml:space="preserve"> Többletkiadások</w:t>
      </w:r>
      <w:r w:rsidR="00EB30C1">
        <w:rPr>
          <w:rFonts w:ascii="Calibri" w:hAnsi="Calibri" w:cs="Calibri"/>
          <w:b/>
          <w:sz w:val="22"/>
          <w:szCs w:val="22"/>
        </w:rPr>
        <w:t xml:space="preserve"> és források</w:t>
      </w:r>
    </w:p>
    <w:p w14:paraId="5B65EED5" w14:textId="77777777" w:rsidR="005E2762" w:rsidRPr="005E2762" w:rsidRDefault="005E2762" w:rsidP="005E2762">
      <w:pPr>
        <w:rPr>
          <w:rFonts w:ascii="Calibri" w:hAnsi="Calibri" w:cs="Calibri"/>
          <w:sz w:val="22"/>
          <w:szCs w:val="22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5858"/>
        <w:gridCol w:w="2394"/>
      </w:tblGrid>
      <w:tr w:rsidR="005E2762" w:rsidRPr="00F17BE7" w14:paraId="5285CB67" w14:textId="77777777" w:rsidTr="00C73FAA">
        <w:trPr>
          <w:trHeight w:val="270"/>
        </w:trPr>
        <w:tc>
          <w:tcPr>
            <w:tcW w:w="1240" w:type="dxa"/>
          </w:tcPr>
          <w:p w14:paraId="708857C3" w14:textId="77777777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Sorszám</w:t>
            </w:r>
          </w:p>
        </w:tc>
        <w:tc>
          <w:tcPr>
            <w:tcW w:w="5858" w:type="dxa"/>
            <w:shd w:val="clear" w:color="auto" w:fill="auto"/>
          </w:tcPr>
          <w:p w14:paraId="399BD3BE" w14:textId="77777777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2394" w:type="dxa"/>
            <w:shd w:val="clear" w:color="auto" w:fill="auto"/>
          </w:tcPr>
          <w:p w14:paraId="2A16FC43" w14:textId="77777777" w:rsidR="00AE2DC6" w:rsidRPr="00AE2DC6" w:rsidRDefault="00AE2DC6" w:rsidP="00AE2D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E2DC6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4ED860D1" w14:textId="77777777" w:rsidR="00AE2DC6" w:rsidRPr="00AE2DC6" w:rsidRDefault="00AE2DC6" w:rsidP="00AE2D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E2DC6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5E0720E5" w14:textId="77777777" w:rsidR="005E2762" w:rsidRPr="005E2762" w:rsidRDefault="00AE2DC6" w:rsidP="00AE2D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E2DC6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5E2762" w:rsidRPr="00F17BE7" w14:paraId="39215C6B" w14:textId="77777777" w:rsidTr="00C73FAA">
        <w:trPr>
          <w:trHeight w:val="1072"/>
        </w:trPr>
        <w:tc>
          <w:tcPr>
            <w:tcW w:w="1240" w:type="dxa"/>
          </w:tcPr>
          <w:p w14:paraId="71D922EE" w14:textId="77777777" w:rsidR="005E2762" w:rsidRPr="005E2762" w:rsidRDefault="005E2762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321DEF9C" w14:textId="77777777" w:rsidR="005E2762" w:rsidRPr="005E2762" w:rsidRDefault="004961A7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Egészségügyi ágazat kiadásai - </w:t>
            </w:r>
            <w:r w:rsidRPr="004961A7">
              <w:rPr>
                <w:rFonts w:ascii="Calibri" w:hAnsi="Calibri" w:cs="Calibri"/>
                <w:sz w:val="22"/>
                <w:szCs w:val="22"/>
              </w:rPr>
              <w:t>Szombathelyi Egészségügyi és Kulturális Intézmények GESZ önkormányzati támogatásból fedezett kiadás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Központi háziorvosi ügyelet m</w:t>
            </w:r>
            <w:r w:rsidR="00BA5467">
              <w:rPr>
                <w:rFonts w:ascii="Calibri" w:hAnsi="Calibri" w:cs="Calibri"/>
                <w:sz w:val="22"/>
                <w:szCs w:val="22"/>
              </w:rPr>
              <w:t>űködésének biztosítása 2023. november 30</w:t>
            </w:r>
            <w:r>
              <w:rPr>
                <w:rFonts w:ascii="Calibri" w:hAnsi="Calibri" w:cs="Calibri"/>
                <w:sz w:val="22"/>
                <w:szCs w:val="22"/>
              </w:rPr>
              <w:t>. napjáig</w:t>
            </w:r>
            <w:r w:rsidR="00CB4062">
              <w:rPr>
                <w:rFonts w:ascii="Calibri" w:hAnsi="Calibri" w:cs="Calibri"/>
                <w:sz w:val="22"/>
                <w:szCs w:val="22"/>
              </w:rPr>
              <w:t xml:space="preserve"> számolva</w:t>
            </w:r>
          </w:p>
        </w:tc>
        <w:tc>
          <w:tcPr>
            <w:tcW w:w="2394" w:type="dxa"/>
            <w:shd w:val="clear" w:color="auto" w:fill="auto"/>
          </w:tcPr>
          <w:p w14:paraId="417E03EC" w14:textId="77777777" w:rsidR="005E2762" w:rsidRDefault="005E2762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A693CD1" w14:textId="77777777" w:rsidR="004961A7" w:rsidRDefault="004961A7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24EEDB9" w14:textId="77777777" w:rsidR="004961A7" w:rsidRDefault="004961A7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902BD35" w14:textId="77777777" w:rsidR="004961A7" w:rsidRPr="005E2762" w:rsidRDefault="00AE2DC6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4961A7">
              <w:rPr>
                <w:rFonts w:ascii="Calibri" w:hAnsi="Calibri" w:cs="Calibri"/>
                <w:sz w:val="22"/>
                <w:szCs w:val="22"/>
              </w:rPr>
              <w:t>30.000</w:t>
            </w:r>
          </w:p>
        </w:tc>
      </w:tr>
      <w:tr w:rsidR="005E2762" w:rsidRPr="00F17BE7" w14:paraId="7145ADC7" w14:textId="77777777" w:rsidTr="00C73FAA">
        <w:trPr>
          <w:trHeight w:val="81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3742" w14:textId="77777777" w:rsidR="005E2762" w:rsidRPr="005E2762" w:rsidRDefault="005E2762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5E276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B644" w14:textId="77777777" w:rsidR="005E2762" w:rsidRPr="005E2762" w:rsidRDefault="00BA5467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Sport ágazat kiadásai - </w:t>
            </w:r>
            <w:r w:rsidRPr="00BA5467">
              <w:rPr>
                <w:rFonts w:ascii="Calibri" w:hAnsi="Calibri" w:cs="Calibri"/>
                <w:sz w:val="22"/>
                <w:szCs w:val="22"/>
              </w:rPr>
              <w:t>Szombathelyi Szabadidősport Szövetség támogatása - Városi Kispályás Labdarúgó Bajnokság, Városi Tekebajn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okság </w:t>
            </w:r>
            <w:r w:rsidRPr="00783791">
              <w:rPr>
                <w:rFonts w:ascii="Calibri" w:hAnsi="Calibri" w:cs="Calibri"/>
                <w:sz w:val="22"/>
                <w:szCs w:val="22"/>
              </w:rPr>
              <w:t>őszi és téli lebonyolítása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3FFE" w14:textId="77777777" w:rsidR="005E2762" w:rsidRDefault="005E2762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ACFE5B0" w14:textId="77777777" w:rsidR="004961A7" w:rsidRDefault="004961A7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4AB78C9" w14:textId="77777777" w:rsidR="00BA5467" w:rsidRPr="005E2762" w:rsidRDefault="00AE2DC6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BA5467">
              <w:rPr>
                <w:rFonts w:ascii="Calibri" w:hAnsi="Calibri" w:cs="Calibri"/>
                <w:sz w:val="22"/>
                <w:szCs w:val="22"/>
              </w:rPr>
              <w:t>6.121</w:t>
            </w:r>
          </w:p>
        </w:tc>
      </w:tr>
      <w:tr w:rsidR="005E2762" w:rsidRPr="00F17BE7" w14:paraId="30FF8CD6" w14:textId="77777777" w:rsidTr="00C73FAA">
        <w:trPr>
          <w:trHeight w:val="270"/>
        </w:trPr>
        <w:tc>
          <w:tcPr>
            <w:tcW w:w="1240" w:type="dxa"/>
          </w:tcPr>
          <w:p w14:paraId="1928A7C0" w14:textId="77777777" w:rsidR="005E2762" w:rsidRPr="005E2762" w:rsidRDefault="00B41DA2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5E2762" w:rsidRPr="005E276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47B83F5A" w14:textId="77777777" w:rsidR="00192EB5" w:rsidRPr="005E2762" w:rsidRDefault="00192EB5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Erdei iskola Építő Közösség</w:t>
            </w:r>
            <w:r w:rsidR="00783791">
              <w:rPr>
                <w:rFonts w:ascii="Calibri" w:hAnsi="Calibri" w:cs="Calibri"/>
                <w:sz w:val="22"/>
                <w:szCs w:val="22"/>
              </w:rPr>
              <w:t xml:space="preserve"> támogatása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6327EE" w14:textId="77777777" w:rsidR="005E2762" w:rsidRPr="005E2762" w:rsidRDefault="00192EB5" w:rsidP="00192EB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2DC6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8.775</w:t>
            </w:r>
          </w:p>
        </w:tc>
      </w:tr>
      <w:tr w:rsidR="006D1B8C" w:rsidRPr="00F17BE7" w14:paraId="0EE7C094" w14:textId="77777777" w:rsidTr="00C73FAA">
        <w:trPr>
          <w:trHeight w:val="567"/>
        </w:trPr>
        <w:tc>
          <w:tcPr>
            <w:tcW w:w="1240" w:type="dxa"/>
          </w:tcPr>
          <w:p w14:paraId="56CAAA23" w14:textId="77777777" w:rsidR="006D1B8C" w:rsidRPr="005E2762" w:rsidRDefault="00B41DA2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6D1B8C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37EDDAA1" w14:textId="77777777" w:rsidR="000D746A" w:rsidRDefault="00C54E5D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24A9">
              <w:rPr>
                <w:rFonts w:ascii="Calibri" w:hAnsi="Calibri" w:cs="Calibri"/>
                <w:sz w:val="22"/>
                <w:szCs w:val="22"/>
              </w:rPr>
              <w:t>Oktatás</w:t>
            </w:r>
            <w:r>
              <w:rPr>
                <w:rFonts w:ascii="Calibri" w:hAnsi="Calibri" w:cs="Calibri"/>
                <w:sz w:val="22"/>
                <w:szCs w:val="22"/>
              </w:rPr>
              <w:t>i ágazat kiadásai</w:t>
            </w:r>
            <w:r w:rsidRPr="004A24A9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192EB5">
              <w:rPr>
                <w:rFonts w:ascii="Calibri" w:hAnsi="Calibri" w:cs="Calibri"/>
                <w:sz w:val="22"/>
                <w:szCs w:val="22"/>
              </w:rPr>
              <w:t xml:space="preserve">Óvodák - </w:t>
            </w:r>
            <w:r w:rsidR="00192EB5" w:rsidRPr="00192EB5">
              <w:rPr>
                <w:rFonts w:ascii="Calibri" w:hAnsi="Calibri" w:cs="Calibri"/>
                <w:sz w:val="22"/>
                <w:szCs w:val="22"/>
              </w:rPr>
              <w:t>Gazdag Erzsi és Barátság Óvoda idegennyelv-tudási pótlék</w:t>
            </w:r>
            <w:r w:rsidR="00CB769A">
              <w:rPr>
                <w:rFonts w:ascii="Calibri" w:hAnsi="Calibri" w:cs="Calibri"/>
                <w:sz w:val="22"/>
                <w:szCs w:val="22"/>
              </w:rPr>
              <w:t xml:space="preserve"> fedezeténék biztosítása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E92B21" w14:textId="77777777" w:rsidR="006D5F25" w:rsidRDefault="006D5F25" w:rsidP="000D74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286642" w14:textId="77777777" w:rsidR="000D746A" w:rsidRPr="005E2762" w:rsidRDefault="00AE2DC6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192EB5">
              <w:rPr>
                <w:rFonts w:ascii="Calibri" w:hAnsi="Calibri" w:cs="Calibri"/>
                <w:sz w:val="22"/>
                <w:szCs w:val="22"/>
              </w:rPr>
              <w:t>1.858</w:t>
            </w:r>
          </w:p>
        </w:tc>
      </w:tr>
      <w:tr w:rsidR="006D1B8C" w:rsidRPr="00F17BE7" w14:paraId="26F779DA" w14:textId="77777777" w:rsidTr="00C73FAA">
        <w:trPr>
          <w:trHeight w:val="338"/>
        </w:trPr>
        <w:tc>
          <w:tcPr>
            <w:tcW w:w="1240" w:type="dxa"/>
          </w:tcPr>
          <w:p w14:paraId="6BD3B5FF" w14:textId="77777777" w:rsidR="006D1B8C" w:rsidRPr="005E2762" w:rsidRDefault="00B41DA2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33F9D560" w14:textId="77777777" w:rsidR="00192EB5" w:rsidRDefault="00694BA0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Vásár</w:t>
            </w:r>
            <w:r w:rsidR="00192EB5">
              <w:rPr>
                <w:rFonts w:ascii="Calibri" w:hAnsi="Calibri" w:cs="Calibri"/>
                <w:sz w:val="22"/>
                <w:szCs w:val="22"/>
              </w:rPr>
              <w:t>csarnok</w:t>
            </w:r>
            <w:r w:rsidR="006D1B8C">
              <w:rPr>
                <w:rFonts w:ascii="Calibri" w:hAnsi="Calibri" w:cs="Calibri"/>
                <w:sz w:val="22"/>
                <w:szCs w:val="22"/>
              </w:rPr>
              <w:t>– bérfejlesztés 2</w:t>
            </w:r>
            <w:r w:rsidR="00192EB5">
              <w:rPr>
                <w:rFonts w:ascii="Calibri" w:hAnsi="Calibri" w:cs="Calibri"/>
                <w:sz w:val="22"/>
                <w:szCs w:val="22"/>
              </w:rPr>
              <w:t>023. szeptember</w:t>
            </w:r>
            <w:r w:rsidR="006D1B8C">
              <w:rPr>
                <w:rFonts w:ascii="Calibri" w:hAnsi="Calibri" w:cs="Calibri"/>
                <w:sz w:val="22"/>
                <w:szCs w:val="22"/>
              </w:rPr>
              <w:t xml:space="preserve"> 1. napjátó</w:t>
            </w:r>
            <w:r w:rsidR="000D746A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7B8058" w14:textId="77777777" w:rsidR="006D1B8C" w:rsidRPr="005E2762" w:rsidRDefault="00AE2DC6" w:rsidP="00192EB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192EB5">
              <w:rPr>
                <w:rFonts w:ascii="Calibri" w:hAnsi="Calibri" w:cs="Calibri"/>
                <w:sz w:val="22"/>
                <w:szCs w:val="22"/>
              </w:rPr>
              <w:t>2.458</w:t>
            </w:r>
          </w:p>
        </w:tc>
      </w:tr>
      <w:tr w:rsidR="00CA324F" w:rsidRPr="00F17BE7" w14:paraId="0A3A7BC5" w14:textId="77777777" w:rsidTr="001B6340">
        <w:trPr>
          <w:trHeight w:val="316"/>
        </w:trPr>
        <w:tc>
          <w:tcPr>
            <w:tcW w:w="1240" w:type="dxa"/>
          </w:tcPr>
          <w:p w14:paraId="7F0A576A" w14:textId="77777777" w:rsidR="00CA324F" w:rsidRPr="00694BA0" w:rsidRDefault="00CA324F" w:rsidP="001B634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4BA0">
              <w:rPr>
                <w:rFonts w:ascii="Calibri" w:hAnsi="Calibri" w:cs="Calibri"/>
                <w:sz w:val="22"/>
                <w:szCs w:val="22"/>
              </w:rPr>
              <w:t>6.</w:t>
            </w:r>
          </w:p>
          <w:p w14:paraId="4AC878B1" w14:textId="77777777" w:rsidR="00CA324F" w:rsidRPr="00694BA0" w:rsidRDefault="00CA324F" w:rsidP="006D1B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14:paraId="07CAE975" w14:textId="77777777" w:rsidR="001B6340" w:rsidRDefault="00694BA0" w:rsidP="009153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Vásár</w:t>
            </w:r>
            <w:r w:rsidR="00CA324F" w:rsidRPr="00694BA0">
              <w:rPr>
                <w:rFonts w:ascii="Calibri" w:hAnsi="Calibri" w:cs="Calibri"/>
                <w:sz w:val="22"/>
                <w:szCs w:val="22"/>
              </w:rPr>
              <w:t>csarnok– bérlők rezsitámogatása</w:t>
            </w:r>
            <w:r w:rsidR="009153C4" w:rsidRPr="00694BA0">
              <w:rPr>
                <w:rFonts w:ascii="Calibri" w:hAnsi="Calibri" w:cs="Calibri"/>
                <w:sz w:val="22"/>
                <w:szCs w:val="22"/>
              </w:rPr>
              <w:t xml:space="preserve"> 2023. </w:t>
            </w:r>
            <w:r w:rsidR="00CA324F" w:rsidRPr="00694BA0">
              <w:rPr>
                <w:rFonts w:ascii="Calibri" w:hAnsi="Calibri" w:cs="Calibri"/>
                <w:sz w:val="22"/>
                <w:szCs w:val="22"/>
              </w:rPr>
              <w:t>június 1-tő</w:t>
            </w:r>
            <w:r w:rsidR="001B634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0E6AE81A" w14:textId="77777777" w:rsidR="001B6340" w:rsidRPr="00694BA0" w:rsidRDefault="001B6340" w:rsidP="009153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656E292" w14:textId="77777777" w:rsidR="001B6340" w:rsidRDefault="00AE2DC6" w:rsidP="001B634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CA324F" w:rsidRPr="00694BA0">
              <w:rPr>
                <w:rFonts w:ascii="Calibri" w:hAnsi="Calibri" w:cs="Calibri"/>
                <w:sz w:val="22"/>
                <w:szCs w:val="22"/>
              </w:rPr>
              <w:t>14.000</w:t>
            </w:r>
          </w:p>
          <w:p w14:paraId="3E3ECC90" w14:textId="77777777" w:rsidR="00CA324F" w:rsidRPr="00694BA0" w:rsidRDefault="00CA324F" w:rsidP="001B634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4BA0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</w:p>
        </w:tc>
      </w:tr>
      <w:tr w:rsidR="006D1B8C" w:rsidRPr="00F17BE7" w14:paraId="558A1D49" w14:textId="77777777" w:rsidTr="00C73FAA">
        <w:trPr>
          <w:trHeight w:val="531"/>
        </w:trPr>
        <w:tc>
          <w:tcPr>
            <w:tcW w:w="1240" w:type="dxa"/>
          </w:tcPr>
          <w:p w14:paraId="00AAE4AD" w14:textId="77777777" w:rsidR="006D1B8C" w:rsidRPr="005E2762" w:rsidRDefault="00CA324F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B41DA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3713657D" w14:textId="77777777" w:rsidR="006D1B8C" w:rsidRDefault="00192EB5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Sport ágazat kiadásai - </w:t>
            </w:r>
            <w:r w:rsidRPr="00192EB5">
              <w:rPr>
                <w:rFonts w:ascii="Calibri" w:hAnsi="Calibri" w:cs="Calibri"/>
                <w:sz w:val="22"/>
                <w:szCs w:val="22"/>
              </w:rPr>
              <w:t>Szombathelyi Sportközpont és Sportiskola Nonprofit Kft. támogatása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769A">
              <w:rPr>
                <w:rFonts w:ascii="Calibri" w:hAnsi="Calibri" w:cs="Calibri"/>
                <w:sz w:val="22"/>
                <w:szCs w:val="22"/>
              </w:rPr>
              <w:t>–</w:t>
            </w:r>
            <w:r w:rsidRPr="00783791">
              <w:rPr>
                <w:rFonts w:ascii="Calibri" w:hAnsi="Calibri" w:cs="Calibri"/>
                <w:sz w:val="22"/>
                <w:szCs w:val="22"/>
              </w:rPr>
              <w:t xml:space="preserve"> kiscsarnok</w:t>
            </w:r>
            <w:r w:rsidR="00CB769A">
              <w:rPr>
                <w:rFonts w:ascii="Calibri" w:hAnsi="Calibri" w:cs="Calibri"/>
                <w:sz w:val="22"/>
                <w:szCs w:val="22"/>
              </w:rPr>
              <w:t xml:space="preserve"> felújítása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293F6E" w14:textId="77777777" w:rsidR="00192EB5" w:rsidRDefault="00192EB5" w:rsidP="00192EB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F734E28" w14:textId="77777777" w:rsidR="006D1B8C" w:rsidRPr="005E2762" w:rsidRDefault="00AE2DC6" w:rsidP="00192EB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192EB5">
              <w:rPr>
                <w:rFonts w:ascii="Calibri" w:hAnsi="Calibri" w:cs="Calibri"/>
                <w:sz w:val="22"/>
                <w:szCs w:val="22"/>
              </w:rPr>
              <w:t>17.000</w:t>
            </w:r>
          </w:p>
        </w:tc>
      </w:tr>
      <w:tr w:rsidR="00B41DA2" w:rsidRPr="00F17BE7" w14:paraId="30D51049" w14:textId="77777777" w:rsidTr="00C73FAA">
        <w:trPr>
          <w:trHeight w:val="541"/>
        </w:trPr>
        <w:tc>
          <w:tcPr>
            <w:tcW w:w="1240" w:type="dxa"/>
          </w:tcPr>
          <w:p w14:paraId="2E9261AC" w14:textId="77777777" w:rsidR="00B41DA2" w:rsidRDefault="00CA324F" w:rsidP="00B41DA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B41DA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40B9C965" w14:textId="77777777" w:rsidR="00B41DA2" w:rsidRDefault="00B41DA2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5F25">
              <w:rPr>
                <w:rFonts w:ascii="Calibri" w:hAnsi="Calibri" w:cs="Calibri"/>
                <w:sz w:val="22"/>
                <w:szCs w:val="22"/>
              </w:rPr>
              <w:t xml:space="preserve">Tartalék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053825">
              <w:rPr>
                <w:rFonts w:ascii="Calibri" w:hAnsi="Calibri" w:cs="Calibri"/>
                <w:sz w:val="22"/>
                <w:szCs w:val="22"/>
              </w:rPr>
              <w:t xml:space="preserve">energia árak növekedése miatt képzett tartalék </w:t>
            </w:r>
            <w:r w:rsidR="00CB769A">
              <w:rPr>
                <w:rFonts w:ascii="Calibri" w:hAnsi="Calibri" w:cs="Calibri"/>
                <w:sz w:val="22"/>
                <w:szCs w:val="22"/>
              </w:rPr>
              <w:t xml:space="preserve">polgármesteri rendelkezésekkel csökkentett összegének </w:t>
            </w:r>
            <w:r w:rsidRPr="00053825">
              <w:rPr>
                <w:rFonts w:ascii="Calibri" w:hAnsi="Calibri" w:cs="Calibri"/>
                <w:sz w:val="22"/>
                <w:szCs w:val="22"/>
              </w:rPr>
              <w:lastRenderedPageBreak/>
              <w:t>visszapótlása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6FED3A" w14:textId="77777777" w:rsidR="00B41DA2" w:rsidRDefault="00B41DA2" w:rsidP="00B41D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AEC9321" w14:textId="77777777" w:rsidR="00B41DA2" w:rsidRDefault="00AE2DC6" w:rsidP="00B41D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B41DA2" w:rsidRPr="00783791">
              <w:rPr>
                <w:rFonts w:ascii="Calibri" w:hAnsi="Calibri" w:cs="Calibri"/>
                <w:sz w:val="22"/>
                <w:szCs w:val="22"/>
              </w:rPr>
              <w:t>165.247</w:t>
            </w:r>
          </w:p>
        </w:tc>
      </w:tr>
      <w:tr w:rsidR="00B41DA2" w:rsidRPr="00F17BE7" w14:paraId="7AB244AA" w14:textId="77777777" w:rsidTr="00C73FAA">
        <w:trPr>
          <w:trHeight w:val="270"/>
        </w:trPr>
        <w:tc>
          <w:tcPr>
            <w:tcW w:w="1240" w:type="dxa"/>
          </w:tcPr>
          <w:p w14:paraId="78DE9C4E" w14:textId="77777777" w:rsidR="00B41DA2" w:rsidRPr="005E2762" w:rsidRDefault="00CA324F" w:rsidP="00B41DA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B41DA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0F1F49BC" w14:textId="77777777" w:rsidR="00B41DA2" w:rsidRDefault="00C54E5D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>Kulturális ágazat, média kiadásai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0AC0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1DA2">
              <w:rPr>
                <w:rFonts w:ascii="Calibri" w:hAnsi="Calibri" w:cs="Calibri"/>
                <w:sz w:val="22"/>
                <w:szCs w:val="22"/>
              </w:rPr>
              <w:t>Könyvkiadás</w:t>
            </w:r>
            <w:r w:rsidR="003C0AC0">
              <w:rPr>
                <w:rFonts w:ascii="Calibri" w:hAnsi="Calibri" w:cs="Calibri"/>
                <w:sz w:val="22"/>
                <w:szCs w:val="22"/>
              </w:rPr>
              <w:t xml:space="preserve"> (Szombathelyi Zsidóság Története) 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5C6C44" w14:textId="77777777" w:rsidR="00B41DA2" w:rsidRPr="005E2762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B41DA2">
              <w:rPr>
                <w:rFonts w:ascii="Calibri" w:hAnsi="Calibri" w:cs="Calibri"/>
                <w:sz w:val="22"/>
                <w:szCs w:val="22"/>
              </w:rPr>
              <w:t>2.000</w:t>
            </w:r>
          </w:p>
        </w:tc>
      </w:tr>
      <w:tr w:rsidR="00B41DA2" w:rsidRPr="00F17BE7" w14:paraId="0EFF1F3C" w14:textId="77777777" w:rsidTr="00C73FAA">
        <w:trPr>
          <w:trHeight w:val="541"/>
        </w:trPr>
        <w:tc>
          <w:tcPr>
            <w:tcW w:w="1240" w:type="dxa"/>
          </w:tcPr>
          <w:p w14:paraId="24013767" w14:textId="77777777" w:rsidR="00B41DA2" w:rsidRPr="005E2762" w:rsidRDefault="00CA324F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B41DA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5DB737D1" w14:textId="77777777" w:rsidR="00B41DA2" w:rsidRDefault="00B41DA2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24A9">
              <w:rPr>
                <w:rFonts w:ascii="Calibri" w:hAnsi="Calibri" w:cs="Calibri"/>
                <w:sz w:val="22"/>
                <w:szCs w:val="22"/>
              </w:rPr>
              <w:t>Oktatás</w:t>
            </w:r>
            <w:r>
              <w:rPr>
                <w:rFonts w:ascii="Calibri" w:hAnsi="Calibri" w:cs="Calibri"/>
                <w:sz w:val="22"/>
                <w:szCs w:val="22"/>
              </w:rPr>
              <w:t>i ágazat kiadásai</w:t>
            </w:r>
            <w:r w:rsidRPr="004A24A9">
              <w:rPr>
                <w:rFonts w:ascii="Calibri" w:hAnsi="Calibri" w:cs="Calibri"/>
                <w:sz w:val="22"/>
                <w:szCs w:val="22"/>
              </w:rPr>
              <w:t xml:space="preserve"> - Országos tanulmányi versenyeken eredményesen szereplő diákok és tanáraik jutalmazása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E53F1E" w14:textId="77777777" w:rsidR="00B41DA2" w:rsidRDefault="00B41DA2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DB334D7" w14:textId="77777777" w:rsidR="00B41DA2" w:rsidRPr="005E2762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B41DA2">
              <w:rPr>
                <w:rFonts w:ascii="Calibri" w:hAnsi="Calibri" w:cs="Calibri"/>
                <w:sz w:val="22"/>
                <w:szCs w:val="22"/>
              </w:rPr>
              <w:t>296</w:t>
            </w:r>
          </w:p>
        </w:tc>
      </w:tr>
      <w:tr w:rsidR="00B41DA2" w:rsidRPr="00F17BE7" w14:paraId="5667E203" w14:textId="77777777" w:rsidTr="00C73FAA">
        <w:trPr>
          <w:trHeight w:val="531"/>
        </w:trPr>
        <w:tc>
          <w:tcPr>
            <w:tcW w:w="1240" w:type="dxa"/>
          </w:tcPr>
          <w:p w14:paraId="6C5DEF7A" w14:textId="77777777" w:rsidR="00B41DA2" w:rsidRPr="005E2762" w:rsidRDefault="00B41DA2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A324F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6AB8FB60" w14:textId="77777777" w:rsidR="00B41DA2" w:rsidRDefault="00B41DA2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24A9">
              <w:rPr>
                <w:rFonts w:ascii="Calibri" w:hAnsi="Calibri" w:cs="Calibri"/>
                <w:sz w:val="22"/>
                <w:szCs w:val="22"/>
              </w:rPr>
              <w:t>TOP-6.1.4-16-SH1-2017-00001 Képtár turisztikai célú felújítása visszafizetés</w:t>
            </w:r>
            <w:r w:rsidR="003C0AC0">
              <w:rPr>
                <w:rFonts w:ascii="Calibri" w:hAnsi="Calibri" w:cs="Calibri"/>
                <w:sz w:val="22"/>
                <w:szCs w:val="22"/>
              </w:rPr>
              <w:t>i kötelezettségre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908CFB" w14:textId="77777777" w:rsidR="00B41DA2" w:rsidRDefault="00B41DA2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57D63BC" w14:textId="77777777" w:rsidR="00B41DA2" w:rsidRPr="005E2762" w:rsidRDefault="00E25988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B41DA2">
              <w:rPr>
                <w:rFonts w:ascii="Calibri" w:hAnsi="Calibri" w:cs="Calibri"/>
                <w:sz w:val="22"/>
                <w:szCs w:val="22"/>
              </w:rPr>
              <w:t>5.819</w:t>
            </w:r>
          </w:p>
        </w:tc>
      </w:tr>
      <w:tr w:rsidR="00B41DA2" w:rsidRPr="00F17BE7" w14:paraId="0FEB381E" w14:textId="77777777" w:rsidTr="00C73FAA">
        <w:trPr>
          <w:trHeight w:val="541"/>
        </w:trPr>
        <w:tc>
          <w:tcPr>
            <w:tcW w:w="1240" w:type="dxa"/>
          </w:tcPr>
          <w:p w14:paraId="6A566833" w14:textId="77777777" w:rsidR="00B41DA2" w:rsidRPr="005E2762" w:rsidRDefault="00B41DA2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A324F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0FE867F0" w14:textId="77777777" w:rsidR="00B41DA2" w:rsidRPr="002B1831" w:rsidRDefault="00C54E5D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1831">
              <w:rPr>
                <w:rFonts w:ascii="Calibri" w:hAnsi="Calibri" w:cs="Calibri"/>
                <w:sz w:val="22"/>
                <w:szCs w:val="22"/>
              </w:rPr>
              <w:t xml:space="preserve">Önkormányzati felhalmozási kiadások - </w:t>
            </w:r>
            <w:proofErr w:type="spellStart"/>
            <w:r w:rsidR="00B41DA2" w:rsidRPr="002B1831">
              <w:rPr>
                <w:rFonts w:ascii="Calibri" w:hAnsi="Calibri" w:cs="Calibri"/>
                <w:sz w:val="22"/>
                <w:szCs w:val="22"/>
              </w:rPr>
              <w:t>Trafiboxok</w:t>
            </w:r>
            <w:proofErr w:type="spellEnd"/>
            <w:r w:rsidR="00B41DA2" w:rsidRPr="002B1831">
              <w:rPr>
                <w:rFonts w:ascii="Calibri" w:hAnsi="Calibri" w:cs="Calibri"/>
                <w:sz w:val="22"/>
                <w:szCs w:val="22"/>
              </w:rPr>
              <w:t xml:space="preserve"> beszerzése, telepítése </w:t>
            </w:r>
            <w:r w:rsidR="00C73FAA" w:rsidRPr="002B1831">
              <w:rPr>
                <w:rFonts w:ascii="Calibri" w:hAnsi="Calibri" w:cs="Calibri"/>
                <w:sz w:val="22"/>
                <w:szCs w:val="22"/>
              </w:rPr>
              <w:t>–</w:t>
            </w:r>
            <w:r w:rsidR="00B41DA2" w:rsidRPr="002B183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0AC0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="00B41DA2" w:rsidRPr="002B1831">
              <w:rPr>
                <w:rFonts w:ascii="Calibri" w:hAnsi="Calibri" w:cs="Calibri"/>
                <w:sz w:val="22"/>
                <w:szCs w:val="22"/>
              </w:rPr>
              <w:t>Zanat</w:t>
            </w:r>
            <w:r w:rsidR="003C0AC0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="003C0A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35DC">
              <w:rPr>
                <w:rFonts w:ascii="Calibri" w:hAnsi="Calibri" w:cs="Calibri"/>
                <w:sz w:val="22"/>
                <w:szCs w:val="22"/>
              </w:rPr>
              <w:t>trafibox</w:t>
            </w:r>
            <w:proofErr w:type="spellEnd"/>
            <w:r w:rsidR="00C73FAA" w:rsidRPr="002B1831">
              <w:rPr>
                <w:rFonts w:ascii="Calibri" w:hAnsi="Calibri" w:cs="Calibri"/>
                <w:sz w:val="22"/>
                <w:szCs w:val="22"/>
              </w:rPr>
              <w:t xml:space="preserve"> 6.000 e Ft </w:t>
            </w:r>
            <w:r w:rsidR="006F35DC">
              <w:rPr>
                <w:rFonts w:ascii="Calibri" w:hAnsi="Calibri" w:cs="Calibri"/>
                <w:sz w:val="22"/>
                <w:szCs w:val="22"/>
              </w:rPr>
              <w:t xml:space="preserve">összegű </w:t>
            </w:r>
            <w:r w:rsidR="00C73FAA" w:rsidRPr="002B1831">
              <w:rPr>
                <w:rFonts w:ascii="Calibri" w:hAnsi="Calibri" w:cs="Calibri"/>
                <w:sz w:val="22"/>
                <w:szCs w:val="22"/>
              </w:rPr>
              <w:t xml:space="preserve">költségéhez </w:t>
            </w:r>
            <w:r w:rsidR="006F35DC">
              <w:rPr>
                <w:rFonts w:ascii="Calibri" w:hAnsi="Calibri" w:cs="Calibri"/>
                <w:sz w:val="22"/>
                <w:szCs w:val="22"/>
              </w:rPr>
              <w:t>az előző beszerzés maradványát is beleszámítva</w:t>
            </w:r>
            <w:r w:rsidR="00C73FAA" w:rsidRPr="002B1831">
              <w:rPr>
                <w:rFonts w:ascii="Calibri" w:hAnsi="Calibri" w:cs="Calibri"/>
                <w:sz w:val="22"/>
                <w:szCs w:val="22"/>
              </w:rPr>
              <w:t xml:space="preserve"> 1.500 e Ft</w:t>
            </w:r>
            <w:r w:rsidR="006F35DC">
              <w:rPr>
                <w:rFonts w:ascii="Calibri" w:hAnsi="Calibri" w:cs="Calibri"/>
                <w:sz w:val="22"/>
                <w:szCs w:val="22"/>
              </w:rPr>
              <w:t>-ot</w:t>
            </w:r>
            <w:r w:rsidR="00C73FAA" w:rsidRPr="002B183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35DC">
              <w:rPr>
                <w:rFonts w:ascii="Calibri" w:hAnsi="Calibri" w:cs="Calibri"/>
                <w:sz w:val="22"/>
                <w:szCs w:val="22"/>
              </w:rPr>
              <w:t>kell biztosítani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1E81BE1" w14:textId="77777777" w:rsidR="00C54E5D" w:rsidRPr="002B1831" w:rsidRDefault="00C54E5D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08281B3" w14:textId="77777777" w:rsidR="001B6340" w:rsidRDefault="001B6340" w:rsidP="00FC1ADB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9B66646" w14:textId="77777777" w:rsidR="001B6340" w:rsidRDefault="001B6340" w:rsidP="00FC1ADB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57E78BF" w14:textId="77777777" w:rsidR="00B41DA2" w:rsidRPr="002B1831" w:rsidRDefault="00AE2DC6" w:rsidP="00FC1ADB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FC1ADB" w:rsidRPr="002B1831">
              <w:rPr>
                <w:rFonts w:ascii="Calibri" w:hAnsi="Calibri" w:cs="Calibri"/>
                <w:sz w:val="22"/>
                <w:szCs w:val="22"/>
              </w:rPr>
              <w:t>1</w:t>
            </w:r>
            <w:r w:rsidR="00B41DA2" w:rsidRPr="002B1831">
              <w:rPr>
                <w:rFonts w:ascii="Calibri" w:hAnsi="Calibri" w:cs="Calibri"/>
                <w:sz w:val="22"/>
                <w:szCs w:val="22"/>
              </w:rPr>
              <w:t>.</w:t>
            </w:r>
            <w:r w:rsidR="00FC1ADB" w:rsidRPr="002B1831">
              <w:rPr>
                <w:rFonts w:ascii="Calibri" w:hAnsi="Calibri" w:cs="Calibri"/>
                <w:sz w:val="22"/>
                <w:szCs w:val="22"/>
              </w:rPr>
              <w:t>5</w:t>
            </w:r>
            <w:r w:rsidR="00B41DA2" w:rsidRPr="002B1831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B41DA2" w:rsidRPr="00F17BE7" w14:paraId="7EA3B2BF" w14:textId="77777777" w:rsidTr="00C73FAA">
        <w:trPr>
          <w:trHeight w:val="541"/>
        </w:trPr>
        <w:tc>
          <w:tcPr>
            <w:tcW w:w="1240" w:type="dxa"/>
          </w:tcPr>
          <w:p w14:paraId="4DD48CC5" w14:textId="77777777" w:rsidR="00B41DA2" w:rsidRPr="005E2762" w:rsidRDefault="00B41DA2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A324F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6E295268" w14:textId="77777777" w:rsidR="00B41DA2" w:rsidRDefault="00C54E5D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B41DA2">
              <w:rPr>
                <w:rFonts w:ascii="Calibri" w:hAnsi="Calibri" w:cs="Calibri"/>
                <w:sz w:val="22"/>
                <w:szCs w:val="22"/>
              </w:rPr>
              <w:t>Adventi vásár</w:t>
            </w:r>
            <w:r w:rsidR="00F06B27">
              <w:rPr>
                <w:rFonts w:ascii="Calibri" w:hAnsi="Calibri" w:cs="Calibri"/>
                <w:sz w:val="22"/>
                <w:szCs w:val="22"/>
              </w:rPr>
              <w:t xml:space="preserve"> beszerzéseihez szükséges források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4B4EC0" w14:textId="77777777" w:rsidR="00C54E5D" w:rsidRDefault="00C54E5D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E18F609" w14:textId="77777777" w:rsidR="00B41DA2" w:rsidRPr="005E2762" w:rsidRDefault="00AE2DC6" w:rsidP="00CA324F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B41DA2" w:rsidRPr="002B1831">
              <w:rPr>
                <w:rFonts w:ascii="Calibri" w:hAnsi="Calibri" w:cs="Calibri"/>
                <w:sz w:val="22"/>
                <w:szCs w:val="22"/>
              </w:rPr>
              <w:t>1</w:t>
            </w:r>
            <w:r w:rsidR="00CA324F" w:rsidRPr="002B1831">
              <w:rPr>
                <w:rFonts w:ascii="Calibri" w:hAnsi="Calibri" w:cs="Calibri"/>
                <w:sz w:val="22"/>
                <w:szCs w:val="22"/>
              </w:rPr>
              <w:t>6</w:t>
            </w:r>
            <w:r w:rsidR="00B41DA2" w:rsidRPr="002B1831">
              <w:rPr>
                <w:rFonts w:ascii="Calibri" w:hAnsi="Calibri" w:cs="Calibri"/>
                <w:sz w:val="22"/>
                <w:szCs w:val="22"/>
              </w:rPr>
              <w:t>.</w:t>
            </w:r>
            <w:r w:rsidR="00CA324F" w:rsidRPr="002B1831">
              <w:rPr>
                <w:rFonts w:ascii="Calibri" w:hAnsi="Calibri" w:cs="Calibri"/>
                <w:sz w:val="22"/>
                <w:szCs w:val="22"/>
              </w:rPr>
              <w:t>5</w:t>
            </w:r>
            <w:r w:rsidR="00B41DA2" w:rsidRPr="002B1831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B41DA2" w:rsidRPr="00F17BE7" w14:paraId="0944D0B4" w14:textId="77777777" w:rsidTr="00C73FAA">
        <w:trPr>
          <w:trHeight w:val="802"/>
        </w:trPr>
        <w:tc>
          <w:tcPr>
            <w:tcW w:w="1240" w:type="dxa"/>
          </w:tcPr>
          <w:p w14:paraId="690D56C6" w14:textId="77777777" w:rsidR="00B41DA2" w:rsidRDefault="00B41DA2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A324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3FC6E0D7" w14:textId="77777777" w:rsidR="00B41DA2" w:rsidRDefault="00C54E5D" w:rsidP="002B18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24A9">
              <w:rPr>
                <w:rFonts w:ascii="Calibri" w:hAnsi="Calibri" w:cs="Calibri"/>
                <w:sz w:val="22"/>
                <w:szCs w:val="22"/>
              </w:rPr>
              <w:t>Oktatás</w:t>
            </w:r>
            <w:r>
              <w:rPr>
                <w:rFonts w:ascii="Calibri" w:hAnsi="Calibri" w:cs="Calibri"/>
                <w:sz w:val="22"/>
                <w:szCs w:val="22"/>
              </w:rPr>
              <w:t>i ágazat kiadásai</w:t>
            </w:r>
            <w:r w:rsidRPr="004A24A9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B41DA2" w:rsidRPr="00053825">
              <w:rPr>
                <w:rFonts w:ascii="Calibri" w:hAnsi="Calibri" w:cs="Calibri"/>
                <w:sz w:val="22"/>
                <w:szCs w:val="22"/>
              </w:rPr>
              <w:t>Kalandváros óvodai és iskolai csoportok által történő szervezett látogatásának támogatása 2023. év. II. félév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BAC7C0F" w14:textId="77777777" w:rsidR="00B41DA2" w:rsidRDefault="00B41DA2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3203121" w14:textId="77777777" w:rsidR="00C54E5D" w:rsidRDefault="00C54E5D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509851E" w14:textId="77777777" w:rsidR="00B41DA2" w:rsidRPr="00EB30C1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B41DA2">
              <w:rPr>
                <w:rFonts w:ascii="Calibri" w:hAnsi="Calibri" w:cs="Calibri"/>
                <w:sz w:val="22"/>
                <w:szCs w:val="22"/>
              </w:rPr>
              <w:t>2.000</w:t>
            </w:r>
          </w:p>
        </w:tc>
      </w:tr>
      <w:tr w:rsidR="00B41DA2" w:rsidRPr="00B41DA2" w14:paraId="5062A3B2" w14:textId="77777777" w:rsidTr="00C73FAA">
        <w:trPr>
          <w:trHeight w:val="541"/>
        </w:trPr>
        <w:tc>
          <w:tcPr>
            <w:tcW w:w="1240" w:type="dxa"/>
          </w:tcPr>
          <w:p w14:paraId="30074629" w14:textId="77777777" w:rsidR="00B41DA2" w:rsidRDefault="00B41DA2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A32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221B5249" w14:textId="77777777" w:rsidR="00B41DA2" w:rsidRDefault="00B41DA2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Városüzemeltetés - Egyéb kiadások - </w:t>
            </w:r>
            <w:r w:rsidRPr="00053825">
              <w:rPr>
                <w:rFonts w:ascii="Calibri" w:hAnsi="Calibri" w:cs="Calibri"/>
                <w:sz w:val="22"/>
                <w:szCs w:val="22"/>
              </w:rPr>
              <w:t>gázvezeték rekonstrukciót követő burkolat helyreállítás Fürdő u.,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3825">
              <w:rPr>
                <w:rFonts w:ascii="Calibri" w:hAnsi="Calibri" w:cs="Calibri"/>
                <w:sz w:val="22"/>
                <w:szCs w:val="22"/>
              </w:rPr>
              <w:t>Bem J. u.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D3087A0" w14:textId="77777777" w:rsidR="00B41DA2" w:rsidRDefault="00B41DA2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9CFB515" w14:textId="77777777" w:rsidR="00B41DA2" w:rsidRPr="00EB30C1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B41DA2">
              <w:rPr>
                <w:rFonts w:ascii="Calibri" w:hAnsi="Calibri" w:cs="Calibri"/>
                <w:sz w:val="22"/>
                <w:szCs w:val="22"/>
              </w:rPr>
              <w:t>12.440</w:t>
            </w:r>
          </w:p>
        </w:tc>
      </w:tr>
      <w:tr w:rsidR="00B41DA2" w:rsidRPr="00F17BE7" w14:paraId="445D68DB" w14:textId="77777777" w:rsidTr="00C73FAA">
        <w:trPr>
          <w:trHeight w:val="812"/>
        </w:trPr>
        <w:tc>
          <w:tcPr>
            <w:tcW w:w="1240" w:type="dxa"/>
          </w:tcPr>
          <w:p w14:paraId="732EBEED" w14:textId="77777777" w:rsidR="00B41DA2" w:rsidRDefault="00B41DA2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A324F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635F6D13" w14:textId="77777777" w:rsidR="00B41DA2" w:rsidRDefault="00B41DA2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Városüzemeltetés - Egyéb kiadások - </w:t>
            </w:r>
            <w:r w:rsidRPr="00053825">
              <w:rPr>
                <w:rFonts w:ascii="Calibri" w:hAnsi="Calibri" w:cs="Calibri"/>
                <w:sz w:val="22"/>
                <w:szCs w:val="22"/>
              </w:rPr>
              <w:t>TÁVHŐ vezeték rekonstrukció kap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csán felmerült burkolatjavítás </w:t>
            </w:r>
            <w:r w:rsidRPr="00053825">
              <w:rPr>
                <w:rFonts w:ascii="Calibri" w:hAnsi="Calibri" w:cs="Calibri"/>
                <w:sz w:val="22"/>
                <w:szCs w:val="22"/>
              </w:rPr>
              <w:t>Károly R. u. 14/A-B-C.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EE87028" w14:textId="77777777" w:rsidR="00B41DA2" w:rsidRDefault="00B41DA2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6238AD9" w14:textId="77777777" w:rsidR="00B41DA2" w:rsidRDefault="00B41DA2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C9251EA" w14:textId="77777777" w:rsidR="00B41DA2" w:rsidRPr="00D21214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B41DA2">
              <w:rPr>
                <w:rFonts w:ascii="Calibri" w:hAnsi="Calibri" w:cs="Calibri"/>
                <w:sz w:val="22"/>
                <w:szCs w:val="22"/>
              </w:rPr>
              <w:t>8.899</w:t>
            </w:r>
          </w:p>
        </w:tc>
      </w:tr>
      <w:tr w:rsidR="00B41DA2" w:rsidRPr="00F17BE7" w14:paraId="42B98758" w14:textId="77777777" w:rsidTr="00C73FAA">
        <w:trPr>
          <w:trHeight w:val="531"/>
        </w:trPr>
        <w:tc>
          <w:tcPr>
            <w:tcW w:w="1240" w:type="dxa"/>
          </w:tcPr>
          <w:p w14:paraId="4E8C744C" w14:textId="77777777" w:rsidR="00B41DA2" w:rsidRDefault="00B41DA2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A324F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7D56602C" w14:textId="77777777" w:rsidR="00B41DA2" w:rsidRDefault="00C54E5D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D021D">
              <w:rPr>
                <w:rFonts w:ascii="Calibri" w:hAnsi="Calibri" w:cs="Calibri"/>
                <w:sz w:val="22"/>
                <w:szCs w:val="22"/>
              </w:rPr>
              <w:t xml:space="preserve">Egyéb, más ágazathoz nem sorolható intézmények és feladatok kiadásai </w:t>
            </w:r>
            <w:r w:rsidR="00B41DA2">
              <w:rPr>
                <w:rFonts w:ascii="Calibri" w:hAnsi="Calibri" w:cs="Calibri"/>
                <w:sz w:val="22"/>
                <w:szCs w:val="22"/>
              </w:rPr>
              <w:t>– Sport nagyrendezvények</w:t>
            </w:r>
            <w:r w:rsidR="00F06B27">
              <w:rPr>
                <w:rFonts w:ascii="Calibri" w:hAnsi="Calibri" w:cs="Calibri"/>
                <w:sz w:val="22"/>
                <w:szCs w:val="22"/>
              </w:rPr>
              <w:t xml:space="preserve"> többlet kiadásai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B46CA5" w14:textId="77777777" w:rsidR="00C54E5D" w:rsidRDefault="00C54E5D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5B8EF1A" w14:textId="77777777" w:rsidR="00B41DA2" w:rsidRPr="008B4E6E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B41DA2" w:rsidRPr="00B41DA2">
              <w:rPr>
                <w:rFonts w:ascii="Calibri" w:hAnsi="Calibri" w:cs="Calibri"/>
                <w:sz w:val="22"/>
                <w:szCs w:val="22"/>
              </w:rPr>
              <w:t>30.000</w:t>
            </w:r>
          </w:p>
        </w:tc>
      </w:tr>
      <w:tr w:rsidR="00251A0C" w:rsidRPr="00F17BE7" w14:paraId="16E1D640" w14:textId="77777777" w:rsidTr="00C73FAA">
        <w:trPr>
          <w:trHeight w:val="270"/>
        </w:trPr>
        <w:tc>
          <w:tcPr>
            <w:tcW w:w="1240" w:type="dxa"/>
          </w:tcPr>
          <w:p w14:paraId="628A1F12" w14:textId="77777777" w:rsidR="00251A0C" w:rsidRDefault="00251A0C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A324F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67D6E927" w14:textId="77777777" w:rsidR="00251A0C" w:rsidRDefault="00251A0C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1A0C">
              <w:rPr>
                <w:rFonts w:ascii="Calibri" w:hAnsi="Calibri" w:cs="Calibri"/>
                <w:sz w:val="22"/>
                <w:szCs w:val="22"/>
              </w:rPr>
              <w:t>G</w:t>
            </w:r>
            <w:r w:rsidR="00B82D89">
              <w:rPr>
                <w:rFonts w:ascii="Calibri" w:hAnsi="Calibri" w:cs="Calibri"/>
                <w:sz w:val="22"/>
                <w:szCs w:val="22"/>
              </w:rPr>
              <w:t>y</w:t>
            </w:r>
            <w:r w:rsidRPr="00251A0C">
              <w:rPr>
                <w:rFonts w:ascii="Calibri" w:hAnsi="Calibri" w:cs="Calibri"/>
                <w:sz w:val="22"/>
                <w:szCs w:val="22"/>
              </w:rPr>
              <w:t>öngyöspatak hídrekonstrukció</w:t>
            </w:r>
            <w:r w:rsidR="00F06B27">
              <w:rPr>
                <w:rFonts w:ascii="Calibri" w:hAnsi="Calibri" w:cs="Calibri"/>
                <w:sz w:val="22"/>
                <w:szCs w:val="22"/>
              </w:rPr>
              <w:t>val kapcsolatos</w:t>
            </w:r>
            <w:r w:rsidR="00CB769A">
              <w:rPr>
                <w:rFonts w:ascii="Calibri" w:hAnsi="Calibri" w:cs="Calibri"/>
                <w:sz w:val="22"/>
                <w:szCs w:val="22"/>
              </w:rPr>
              <w:t xml:space="preserve"> meder</w:t>
            </w:r>
            <w:r w:rsidR="00F06B27">
              <w:rPr>
                <w:rFonts w:ascii="Calibri" w:hAnsi="Calibri" w:cs="Calibri"/>
                <w:sz w:val="22"/>
                <w:szCs w:val="22"/>
              </w:rPr>
              <w:t>kotrás költségei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BB616C" w14:textId="77777777" w:rsidR="001B6340" w:rsidRDefault="001B6340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195476C" w14:textId="77777777" w:rsidR="00251A0C" w:rsidRPr="008B4E6E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251A0C" w:rsidRPr="00251A0C">
              <w:rPr>
                <w:rFonts w:ascii="Calibri" w:hAnsi="Calibri" w:cs="Calibri"/>
                <w:sz w:val="22"/>
                <w:szCs w:val="22"/>
              </w:rPr>
              <w:t>6.900</w:t>
            </w:r>
          </w:p>
        </w:tc>
      </w:tr>
      <w:tr w:rsidR="00FC1ADB" w:rsidRPr="00F17BE7" w14:paraId="6C37A6A9" w14:textId="77777777" w:rsidTr="00C73FAA">
        <w:trPr>
          <w:trHeight w:val="541"/>
        </w:trPr>
        <w:tc>
          <w:tcPr>
            <w:tcW w:w="1240" w:type="dxa"/>
          </w:tcPr>
          <w:p w14:paraId="70E50AD2" w14:textId="77777777" w:rsidR="00FC1ADB" w:rsidRDefault="00810D57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1DDD15A0" w14:textId="77777777" w:rsidR="00FC1ADB" w:rsidRDefault="008D55E3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Északi iparterület-közművesítések finanszírozása, fejlesztések finanszírozása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934E00" w14:textId="77777777" w:rsidR="001B6340" w:rsidRDefault="001B6340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F243CA7" w14:textId="77777777" w:rsidR="00FC1ADB" w:rsidRPr="00810D57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FC1ADB" w:rsidRPr="00810D57">
              <w:rPr>
                <w:rFonts w:ascii="Calibri" w:hAnsi="Calibri" w:cs="Calibri"/>
                <w:sz w:val="22"/>
                <w:szCs w:val="22"/>
              </w:rPr>
              <w:t>4.572</w:t>
            </w:r>
          </w:p>
        </w:tc>
      </w:tr>
      <w:tr w:rsidR="00FC1ADB" w:rsidRPr="00F17BE7" w14:paraId="5C6ED40C" w14:textId="77777777" w:rsidTr="00C73FAA">
        <w:trPr>
          <w:trHeight w:val="270"/>
        </w:trPr>
        <w:tc>
          <w:tcPr>
            <w:tcW w:w="1240" w:type="dxa"/>
          </w:tcPr>
          <w:p w14:paraId="2E0192FD" w14:textId="77777777" w:rsidR="00FC1ADB" w:rsidRDefault="00810D57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0D70B57A" w14:textId="77777777" w:rsidR="00FC1ADB" w:rsidRDefault="008D55E3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Uszoda újranyitása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EEBA53" w14:textId="77777777" w:rsidR="00FC1ADB" w:rsidRPr="00810D57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FC1ADB" w:rsidRPr="00810D57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FC1ADB" w:rsidRPr="00F17BE7" w14:paraId="417FEDF4" w14:textId="77777777" w:rsidTr="00C73FAA">
        <w:trPr>
          <w:trHeight w:val="270"/>
        </w:trPr>
        <w:tc>
          <w:tcPr>
            <w:tcW w:w="1240" w:type="dxa"/>
          </w:tcPr>
          <w:p w14:paraId="22C9BEA8" w14:textId="77777777" w:rsidR="00FC1ADB" w:rsidRDefault="00810D57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30A3F4E5" w14:textId="77777777" w:rsidR="00FC1ADB" w:rsidRDefault="008D55E3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Egyéb sportcélú kiadások, támogatások </w:t>
            </w:r>
            <w:r w:rsidR="008948F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Vívók</w:t>
            </w:r>
            <w:r w:rsidR="008948FE">
              <w:rPr>
                <w:rFonts w:ascii="Calibri" w:hAnsi="Calibri" w:cs="Calibri"/>
                <w:sz w:val="22"/>
                <w:szCs w:val="22"/>
              </w:rPr>
              <w:t xml:space="preserve"> támogatása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CF6C212" w14:textId="77777777" w:rsidR="00FC1ADB" w:rsidRPr="00810D57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FC1ADB" w:rsidRPr="00810D57">
              <w:rPr>
                <w:rFonts w:ascii="Calibri" w:hAnsi="Calibri" w:cs="Calibri"/>
                <w:sz w:val="22"/>
                <w:szCs w:val="22"/>
              </w:rPr>
              <w:t>1.500</w:t>
            </w:r>
          </w:p>
        </w:tc>
      </w:tr>
      <w:tr w:rsidR="00FC1ADB" w:rsidRPr="00F17BE7" w14:paraId="4A45FC4F" w14:textId="77777777" w:rsidTr="00C73FAA">
        <w:trPr>
          <w:trHeight w:val="531"/>
        </w:trPr>
        <w:tc>
          <w:tcPr>
            <w:tcW w:w="1240" w:type="dxa"/>
          </w:tcPr>
          <w:p w14:paraId="63D87312" w14:textId="77777777" w:rsidR="00FC1ADB" w:rsidRDefault="00810D57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22.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01C353AF" w14:textId="77777777" w:rsidR="00FC1ADB" w:rsidRDefault="008D55E3" w:rsidP="008D55E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Pedagógusok új életpályamodelljének többletköltsége a 2023. évi LII. törvény alapján - Óvodák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D6E0165" w14:textId="77777777" w:rsidR="001B6340" w:rsidRDefault="001B6340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0384899" w14:textId="77777777" w:rsidR="00FC1ADB" w:rsidRPr="00810D57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FC1ADB" w:rsidRPr="00810D57">
              <w:rPr>
                <w:rFonts w:ascii="Calibri" w:hAnsi="Calibri" w:cs="Calibri"/>
                <w:sz w:val="22"/>
                <w:szCs w:val="22"/>
              </w:rPr>
              <w:t>12.711</w:t>
            </w:r>
          </w:p>
        </w:tc>
      </w:tr>
      <w:tr w:rsidR="00FC1ADB" w:rsidRPr="00F17BE7" w14:paraId="6788948F" w14:textId="77777777" w:rsidTr="00C73FAA">
        <w:trPr>
          <w:trHeight w:val="812"/>
        </w:trPr>
        <w:tc>
          <w:tcPr>
            <w:tcW w:w="1240" w:type="dxa"/>
          </w:tcPr>
          <w:p w14:paraId="79ED3DA9" w14:textId="77777777" w:rsidR="00FC1ADB" w:rsidRDefault="00810D57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23.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1D6369DE" w14:textId="77777777" w:rsidR="00FC1ADB" w:rsidRDefault="008D55E3" w:rsidP="008D55E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Pedagógusok új életpályamodelljének többletköltsége a 2023. évi LII. törvény alapján - Szombathelyi Egyesített Bölcsődei Intézmény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9E12BAA" w14:textId="77777777" w:rsidR="001B6340" w:rsidRDefault="001B6340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E54CD36" w14:textId="77777777" w:rsidR="001B6340" w:rsidRDefault="001B6340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65149CA" w14:textId="77777777" w:rsidR="00FC1ADB" w:rsidRPr="00810D57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FC1ADB" w:rsidRPr="00810D57">
              <w:rPr>
                <w:rFonts w:ascii="Calibri" w:hAnsi="Calibri" w:cs="Calibri"/>
                <w:sz w:val="22"/>
                <w:szCs w:val="22"/>
              </w:rPr>
              <w:t>6.211</w:t>
            </w:r>
          </w:p>
        </w:tc>
      </w:tr>
      <w:tr w:rsidR="00FC1ADB" w:rsidRPr="00F17BE7" w14:paraId="33457C1D" w14:textId="77777777" w:rsidTr="00C73FAA">
        <w:trPr>
          <w:trHeight w:val="270"/>
        </w:trPr>
        <w:tc>
          <w:tcPr>
            <w:tcW w:w="1240" w:type="dxa"/>
          </w:tcPr>
          <w:p w14:paraId="7DB82B68" w14:textId="77777777" w:rsidR="00FC1ADB" w:rsidRDefault="00810D57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24.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1D661F7B" w14:textId="77777777" w:rsidR="00FC1ADB" w:rsidRDefault="008D55E3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Szünidei gyermekétkeztetés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1D27E55" w14:textId="77777777" w:rsidR="00FC1ADB" w:rsidRPr="00810D57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FC1ADB" w:rsidRPr="00810D57"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</w:tr>
      <w:tr w:rsidR="0015178F" w:rsidRPr="00F17BE7" w14:paraId="771C28EE" w14:textId="77777777" w:rsidTr="00C73FAA">
        <w:trPr>
          <w:trHeight w:val="270"/>
        </w:trPr>
        <w:tc>
          <w:tcPr>
            <w:tcW w:w="1240" w:type="dxa"/>
          </w:tcPr>
          <w:p w14:paraId="0BB73A7B" w14:textId="77777777" w:rsidR="0015178F" w:rsidRDefault="0015178F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0F4B4146" w14:textId="77777777" w:rsidR="0015178F" w:rsidRDefault="0015178F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SZKKA támogatása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13E3EF" w14:textId="77777777" w:rsidR="0015178F" w:rsidRDefault="0015178F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-5.000</w:t>
            </w:r>
          </w:p>
        </w:tc>
      </w:tr>
      <w:tr w:rsidR="00A77735" w:rsidRPr="00F17BE7" w14:paraId="1B4F352C" w14:textId="77777777" w:rsidTr="00C73FAA">
        <w:trPr>
          <w:trHeight w:val="270"/>
        </w:trPr>
        <w:tc>
          <w:tcPr>
            <w:tcW w:w="1240" w:type="dxa"/>
          </w:tcPr>
          <w:p w14:paraId="0E5B1BE3" w14:textId="77777777" w:rsidR="00A77735" w:rsidRDefault="00810D57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5178F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58499CD2" w14:textId="77777777" w:rsidR="00A77735" w:rsidRDefault="00A77735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Tartalék-energia árak növekedése miatt képzett tartalék</w:t>
            </w:r>
            <w:r w:rsidR="00B82D89">
              <w:rPr>
                <w:rFonts w:ascii="Calibri" w:hAnsi="Calibri" w:cs="Calibri"/>
                <w:sz w:val="22"/>
                <w:szCs w:val="22"/>
              </w:rPr>
              <w:t xml:space="preserve"> (a </w:t>
            </w:r>
            <w:proofErr w:type="spellStart"/>
            <w:r w:rsidR="00B82D89">
              <w:rPr>
                <w:rFonts w:ascii="Calibri" w:hAnsi="Calibri" w:cs="Calibri"/>
                <w:sz w:val="22"/>
                <w:szCs w:val="22"/>
              </w:rPr>
              <w:t>IV.fejezetben</w:t>
            </w:r>
            <w:proofErr w:type="spellEnd"/>
            <w:r w:rsidR="00B82D89">
              <w:rPr>
                <w:rFonts w:ascii="Calibri" w:hAnsi="Calibri" w:cs="Calibri"/>
                <w:sz w:val="22"/>
                <w:szCs w:val="22"/>
              </w:rPr>
              <w:t xml:space="preserve"> szereplő teljes pozitív egyenle</w:t>
            </w:r>
            <w:r w:rsidR="00BA4ECE">
              <w:rPr>
                <w:rFonts w:ascii="Calibri" w:hAnsi="Calibri" w:cs="Calibri"/>
                <w:sz w:val="22"/>
                <w:szCs w:val="22"/>
              </w:rPr>
              <w:t>g</w:t>
            </w:r>
            <w:r w:rsidR="00B82D89">
              <w:rPr>
                <w:rFonts w:ascii="Calibri" w:hAnsi="Calibri" w:cs="Calibri"/>
                <w:sz w:val="22"/>
                <w:szCs w:val="22"/>
              </w:rPr>
              <w:t xml:space="preserve"> ezen tartalékba került) 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1F776" w14:textId="77777777" w:rsidR="00A77735" w:rsidRPr="00810D57" w:rsidRDefault="00AE2DC6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A77735" w:rsidRPr="00810D57">
              <w:rPr>
                <w:rFonts w:ascii="Calibri" w:hAnsi="Calibri" w:cs="Calibri"/>
                <w:sz w:val="22"/>
                <w:szCs w:val="22"/>
              </w:rPr>
              <w:t>2</w:t>
            </w:r>
            <w:r w:rsidR="0015178F">
              <w:rPr>
                <w:rFonts w:ascii="Calibri" w:hAnsi="Calibri" w:cs="Calibri"/>
                <w:sz w:val="22"/>
                <w:szCs w:val="22"/>
              </w:rPr>
              <w:t>17</w:t>
            </w:r>
            <w:r w:rsidR="00A77735" w:rsidRPr="00810D57">
              <w:rPr>
                <w:rFonts w:ascii="Calibri" w:hAnsi="Calibri" w:cs="Calibri"/>
                <w:sz w:val="22"/>
                <w:szCs w:val="22"/>
              </w:rPr>
              <w:t>.532</w:t>
            </w:r>
          </w:p>
        </w:tc>
      </w:tr>
      <w:tr w:rsidR="00A77735" w:rsidRPr="00F17BE7" w14:paraId="138532E3" w14:textId="77777777" w:rsidTr="00C73FAA">
        <w:trPr>
          <w:trHeight w:val="270"/>
        </w:trPr>
        <w:tc>
          <w:tcPr>
            <w:tcW w:w="1240" w:type="dxa"/>
          </w:tcPr>
          <w:p w14:paraId="48B7A184" w14:textId="77777777" w:rsidR="00A77735" w:rsidRDefault="00810D57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5178F"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47BC1833" w14:textId="77777777" w:rsidR="00A77735" w:rsidRDefault="00A77735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Kamatbevétel várható többlete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92ECD" w14:textId="77777777" w:rsidR="00A77735" w:rsidRPr="00AE2DC6" w:rsidRDefault="00A77735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E2DC6">
              <w:rPr>
                <w:rFonts w:ascii="Calibri" w:hAnsi="Calibri" w:cs="Calibri"/>
                <w:sz w:val="22"/>
                <w:szCs w:val="22"/>
              </w:rPr>
              <w:t>300.000</w:t>
            </w:r>
          </w:p>
        </w:tc>
      </w:tr>
      <w:tr w:rsidR="00A77735" w:rsidRPr="00F17BE7" w14:paraId="7A8ECC58" w14:textId="77777777" w:rsidTr="00C73FAA">
        <w:trPr>
          <w:trHeight w:val="260"/>
        </w:trPr>
        <w:tc>
          <w:tcPr>
            <w:tcW w:w="1240" w:type="dxa"/>
          </w:tcPr>
          <w:p w14:paraId="77FDDBB8" w14:textId="77777777" w:rsidR="00A77735" w:rsidRPr="00B41DA2" w:rsidRDefault="00810D57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5178F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A77735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60E316F4" w14:textId="77777777" w:rsidR="00A77735" w:rsidRDefault="00A77735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Vagyongazdálkodásból származó többletbevétel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F48B40" w14:textId="77777777" w:rsidR="00A77735" w:rsidRPr="00AE2DC6" w:rsidRDefault="00A77735" w:rsidP="00B41DA2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E2DC6">
              <w:rPr>
                <w:rFonts w:ascii="Calibri" w:hAnsi="Calibri" w:cs="Calibri"/>
                <w:sz w:val="22"/>
                <w:szCs w:val="22"/>
              </w:rPr>
              <w:t>274.000</w:t>
            </w:r>
          </w:p>
        </w:tc>
      </w:tr>
      <w:tr w:rsidR="00A77735" w:rsidRPr="00F17BE7" w14:paraId="4CBF43E6" w14:textId="77777777" w:rsidTr="00C73FAA">
        <w:trPr>
          <w:trHeight w:val="270"/>
        </w:trPr>
        <w:tc>
          <w:tcPr>
            <w:tcW w:w="1240" w:type="dxa"/>
          </w:tcPr>
          <w:p w14:paraId="534251B8" w14:textId="77777777" w:rsidR="00A77735" w:rsidRPr="00B41DA2" w:rsidRDefault="00A77735" w:rsidP="00CA32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58" w:type="dxa"/>
            <w:shd w:val="clear" w:color="auto" w:fill="auto"/>
          </w:tcPr>
          <w:p w14:paraId="3245D317" w14:textId="77777777" w:rsidR="00A77735" w:rsidRDefault="00A77735" w:rsidP="00B41D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394" w:type="dxa"/>
            <w:shd w:val="clear" w:color="auto" w:fill="auto"/>
          </w:tcPr>
          <w:p w14:paraId="3BBFEBA1" w14:textId="77777777" w:rsidR="00A77735" w:rsidRPr="00AE2DC6" w:rsidRDefault="00AE2DC6" w:rsidP="009153C4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9153C4" w:rsidRPr="00AE2DC6">
              <w:rPr>
                <w:rFonts w:ascii="Calibri" w:hAnsi="Calibri" w:cs="Calibri"/>
                <w:b/>
                <w:sz w:val="22"/>
                <w:szCs w:val="22"/>
              </w:rPr>
              <w:t>105.939</w:t>
            </w:r>
          </w:p>
        </w:tc>
      </w:tr>
    </w:tbl>
    <w:p w14:paraId="609CA22C" w14:textId="77777777" w:rsidR="005E2762" w:rsidRDefault="005E2762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4066718" w14:textId="77777777" w:rsidR="00FE633B" w:rsidRDefault="00FE633B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34AE0040" w14:textId="77777777" w:rsidR="00FE633B" w:rsidRDefault="00FE633B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24C6CE5" w14:textId="77777777" w:rsidR="00FE633B" w:rsidRDefault="00FE633B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8FA5846" w14:textId="77777777" w:rsidR="00FE633B" w:rsidRDefault="00FE633B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5719290E" w14:textId="77777777" w:rsidR="00FE633B" w:rsidRDefault="00FE633B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B48DDB1" w14:textId="77777777" w:rsidR="00947D5F" w:rsidRPr="00947D5F" w:rsidRDefault="006C4443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</w:rPr>
        <w:lastRenderedPageBreak/>
        <w:t>III</w:t>
      </w:r>
      <w:r w:rsidR="00947D5F" w:rsidRPr="00947D5F">
        <w:rPr>
          <w:rFonts w:ascii="Calibri" w:hAnsi="Calibri" w:cs="Calibri"/>
          <w:b/>
          <w:i/>
          <w:sz w:val="22"/>
          <w:szCs w:val="22"/>
        </w:rPr>
        <w:t>.</w:t>
      </w:r>
      <w:r w:rsidR="00CA57CE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947D5F" w:rsidRPr="00947D5F">
        <w:rPr>
          <w:rFonts w:ascii="Calibri" w:hAnsi="Calibri" w:cs="Calibri"/>
          <w:b/>
          <w:i/>
          <w:sz w:val="22"/>
          <w:szCs w:val="22"/>
          <w:u w:val="single"/>
        </w:rPr>
        <w:t>Közgyűlési döntés</w:t>
      </w:r>
      <w:r w:rsidR="00B24B6C">
        <w:rPr>
          <w:rFonts w:ascii="Calibri" w:hAnsi="Calibri" w:cs="Calibri"/>
          <w:b/>
          <w:i/>
          <w:sz w:val="22"/>
          <w:szCs w:val="22"/>
          <w:u w:val="single"/>
        </w:rPr>
        <w:t>t igénylő</w:t>
      </w:r>
      <w:r w:rsidR="00947D5F"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 többletki</w:t>
      </w:r>
      <w:r w:rsid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adások és források rendezésének </w:t>
      </w:r>
      <w:r w:rsidR="00947D5F" w:rsidRPr="00947D5F">
        <w:rPr>
          <w:rFonts w:ascii="Calibri" w:hAnsi="Calibri" w:cs="Calibri"/>
          <w:b/>
          <w:i/>
          <w:sz w:val="22"/>
          <w:szCs w:val="22"/>
          <w:u w:val="single"/>
        </w:rPr>
        <w:t>összevont egyenlege</w:t>
      </w:r>
      <w:r w:rsidR="00947D5F">
        <w:rPr>
          <w:rFonts w:ascii="Calibri" w:hAnsi="Calibri" w:cs="Calibri"/>
          <w:b/>
          <w:i/>
          <w:sz w:val="22"/>
          <w:szCs w:val="22"/>
          <w:u w:val="single"/>
        </w:rPr>
        <w:t>:</w:t>
      </w:r>
      <w:r w:rsidR="008B4E6E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8B4E6E" w:rsidRPr="00422B71">
        <w:rPr>
          <w:rFonts w:ascii="Calibri" w:hAnsi="Calibri" w:cs="Calibri"/>
          <w:b/>
          <w:i/>
          <w:sz w:val="22"/>
          <w:szCs w:val="22"/>
          <w:u w:val="single"/>
        </w:rPr>
        <w:t>-</w:t>
      </w:r>
      <w:r w:rsidR="00422B71" w:rsidRPr="00422B71">
        <w:rPr>
          <w:rFonts w:ascii="Calibri" w:hAnsi="Calibri" w:cs="Calibri"/>
          <w:b/>
          <w:i/>
          <w:sz w:val="22"/>
          <w:szCs w:val="22"/>
          <w:u w:val="single"/>
        </w:rPr>
        <w:t>105</w:t>
      </w:r>
      <w:r w:rsidR="00251A0C" w:rsidRPr="00422B71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="00422B71" w:rsidRPr="00422B71">
        <w:rPr>
          <w:rFonts w:ascii="Calibri" w:hAnsi="Calibri" w:cs="Calibri"/>
          <w:b/>
          <w:i/>
          <w:sz w:val="22"/>
          <w:szCs w:val="22"/>
          <w:u w:val="single"/>
        </w:rPr>
        <w:t>939</w:t>
      </w:r>
      <w:r w:rsidR="00947D5F" w:rsidRPr="00422B7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="00947D5F" w:rsidRPr="00422B71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356DC6D0" w14:textId="77777777" w:rsidR="005E2762" w:rsidRDefault="005E2762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F70E89C" w14:textId="77777777" w:rsidR="00500B0C" w:rsidRPr="00422B71" w:rsidRDefault="00500B0C" w:rsidP="000442EA">
      <w:pPr>
        <w:keepNext/>
        <w:numPr>
          <w:ilvl w:val="0"/>
          <w:numId w:val="6"/>
        </w:numPr>
        <w:ind w:hanging="349"/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D479BC">
        <w:rPr>
          <w:rFonts w:ascii="Calibri" w:hAnsi="Calibri" w:cs="Calibri"/>
          <w:b/>
          <w:sz w:val="22"/>
          <w:szCs w:val="22"/>
        </w:rPr>
        <w:t xml:space="preserve"> </w:t>
      </w:r>
      <w:r w:rsidR="000F512B" w:rsidRPr="00422B71">
        <w:rPr>
          <w:rFonts w:ascii="Calibri" w:hAnsi="Calibri" w:cs="Calibri"/>
          <w:b/>
          <w:sz w:val="22"/>
          <w:szCs w:val="22"/>
        </w:rPr>
        <w:t>Pénzügyi egyensúly</w:t>
      </w:r>
    </w:p>
    <w:p w14:paraId="39989AB7" w14:textId="77777777" w:rsidR="00B23F31" w:rsidRPr="00F14DC1" w:rsidRDefault="00B23F31" w:rsidP="00B23F31">
      <w:pPr>
        <w:ind w:left="720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D6642" w:rsidRPr="00F14DC1" w14:paraId="7B6051A6" w14:textId="77777777" w:rsidTr="001A1991">
        <w:tc>
          <w:tcPr>
            <w:tcW w:w="4606" w:type="dxa"/>
            <w:shd w:val="clear" w:color="auto" w:fill="auto"/>
          </w:tcPr>
          <w:p w14:paraId="2E74237E" w14:textId="77777777" w:rsidR="002D6642" w:rsidRPr="00F14DC1" w:rsidRDefault="002D6642" w:rsidP="001A19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606" w:type="dxa"/>
            <w:shd w:val="clear" w:color="auto" w:fill="auto"/>
          </w:tcPr>
          <w:p w14:paraId="3882576A" w14:textId="77777777" w:rsidR="002D6642" w:rsidRPr="00F14DC1" w:rsidRDefault="002D6642" w:rsidP="00B23F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  <w:r w:rsidR="00747F5D" w:rsidRPr="00F14D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2162D" w:rsidRPr="00F14DC1" w14:paraId="718D5118" w14:textId="77777777" w:rsidTr="001A1991">
        <w:tc>
          <w:tcPr>
            <w:tcW w:w="4606" w:type="dxa"/>
            <w:shd w:val="clear" w:color="auto" w:fill="auto"/>
          </w:tcPr>
          <w:p w14:paraId="39294CD5" w14:textId="77777777" w:rsidR="0072162D" w:rsidRPr="00F14DC1" w:rsidRDefault="0072162D" w:rsidP="007216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14DC1">
              <w:rPr>
                <w:rFonts w:ascii="Calibri" w:hAnsi="Calibri" w:cs="Calibri"/>
                <w:sz w:val="22"/>
                <w:szCs w:val="22"/>
              </w:rPr>
              <w:t>I.</w:t>
            </w:r>
            <w:r w:rsidRPr="00F14DC1">
              <w:rPr>
                <w:rFonts w:ascii="Calibri" w:hAnsi="Calibri" w:cs="Calibri"/>
                <w:sz w:val="22"/>
                <w:szCs w:val="22"/>
              </w:rPr>
              <w:tab/>
              <w:t>Az utólagos tudomásul vételt jelentő tételek</w:t>
            </w:r>
          </w:p>
        </w:tc>
        <w:tc>
          <w:tcPr>
            <w:tcW w:w="4606" w:type="dxa"/>
            <w:shd w:val="clear" w:color="auto" w:fill="auto"/>
          </w:tcPr>
          <w:p w14:paraId="00756737" w14:textId="77777777" w:rsidR="002E798C" w:rsidRDefault="002E798C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30568AC" w14:textId="77777777" w:rsidR="0072162D" w:rsidRPr="00F14DC1" w:rsidRDefault="00E20D9E" w:rsidP="00422B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</w:t>
            </w:r>
            <w:r w:rsidR="00422B71">
              <w:rPr>
                <w:rFonts w:ascii="Calibri" w:hAnsi="Calibri" w:cs="Calibri"/>
                <w:sz w:val="22"/>
                <w:szCs w:val="22"/>
              </w:rPr>
              <w:t>194.174</w:t>
            </w:r>
          </w:p>
        </w:tc>
      </w:tr>
      <w:tr w:rsidR="002D6642" w:rsidRPr="00F14DC1" w14:paraId="20405F25" w14:textId="77777777" w:rsidTr="001A1991">
        <w:tc>
          <w:tcPr>
            <w:tcW w:w="4606" w:type="dxa"/>
            <w:shd w:val="clear" w:color="auto" w:fill="auto"/>
          </w:tcPr>
          <w:p w14:paraId="556CFD6A" w14:textId="77777777" w:rsidR="002D6642" w:rsidRPr="00F14DC1" w:rsidRDefault="00D479BC" w:rsidP="007216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</w:t>
            </w:r>
            <w:r w:rsidR="0072162D" w:rsidRPr="00F14DC1">
              <w:rPr>
                <w:rFonts w:ascii="Calibri" w:hAnsi="Calibri" w:cs="Calibri"/>
                <w:sz w:val="22"/>
                <w:szCs w:val="22"/>
              </w:rPr>
              <w:t>.</w:t>
            </w:r>
            <w:r w:rsidR="0072162D" w:rsidRPr="00F14DC1">
              <w:rPr>
                <w:rFonts w:ascii="Calibri" w:hAnsi="Calibri" w:cs="Calibri"/>
                <w:sz w:val="22"/>
                <w:szCs w:val="22"/>
              </w:rPr>
              <w:tab/>
              <w:t xml:space="preserve">A közgyűlési határozatok alapján biztosított tételek </w:t>
            </w:r>
          </w:p>
        </w:tc>
        <w:tc>
          <w:tcPr>
            <w:tcW w:w="4606" w:type="dxa"/>
            <w:shd w:val="clear" w:color="auto" w:fill="auto"/>
          </w:tcPr>
          <w:p w14:paraId="5142BF1F" w14:textId="77777777" w:rsidR="007154D9" w:rsidRDefault="007154D9" w:rsidP="00A45D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8AAEC85" w14:textId="77777777" w:rsidR="000D746A" w:rsidRPr="00F14DC1" w:rsidRDefault="000D746A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D479BC">
              <w:rPr>
                <w:rFonts w:ascii="Calibri" w:hAnsi="Calibri" w:cs="Calibri"/>
                <w:sz w:val="22"/>
                <w:szCs w:val="22"/>
              </w:rPr>
              <w:t>8</w:t>
            </w:r>
            <w:r w:rsidR="00422B71">
              <w:rPr>
                <w:rFonts w:ascii="Calibri" w:hAnsi="Calibri" w:cs="Calibri"/>
                <w:sz w:val="22"/>
                <w:szCs w:val="22"/>
              </w:rPr>
              <w:t>8</w:t>
            </w:r>
            <w:r w:rsidR="00D479BC">
              <w:rPr>
                <w:rFonts w:ascii="Calibri" w:hAnsi="Calibri" w:cs="Calibri"/>
                <w:sz w:val="22"/>
                <w:szCs w:val="22"/>
              </w:rPr>
              <w:t>.</w:t>
            </w:r>
            <w:r w:rsidR="00422B71">
              <w:rPr>
                <w:rFonts w:ascii="Calibri" w:hAnsi="Calibri" w:cs="Calibri"/>
                <w:sz w:val="22"/>
                <w:szCs w:val="22"/>
              </w:rPr>
              <w:t>235</w:t>
            </w:r>
          </w:p>
        </w:tc>
      </w:tr>
      <w:tr w:rsidR="004961A7" w:rsidRPr="00F14DC1" w14:paraId="4E644C37" w14:textId="77777777" w:rsidTr="001A1991">
        <w:tc>
          <w:tcPr>
            <w:tcW w:w="4606" w:type="dxa"/>
            <w:shd w:val="clear" w:color="auto" w:fill="auto"/>
          </w:tcPr>
          <w:p w14:paraId="608EC417" w14:textId="77777777" w:rsidR="004961A7" w:rsidRPr="00F14DC1" w:rsidRDefault="00D479BC" w:rsidP="007216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</w:t>
            </w:r>
            <w:r w:rsidR="004961A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4961A7" w:rsidRPr="004961A7">
              <w:rPr>
                <w:rFonts w:ascii="Calibri" w:hAnsi="Calibri" w:cs="Calibri"/>
                <w:sz w:val="22"/>
                <w:szCs w:val="22"/>
              </w:rPr>
              <w:t>Közgyűlési döntés</w:t>
            </w:r>
            <w:r w:rsidR="00B24B6C">
              <w:rPr>
                <w:rFonts w:ascii="Calibri" w:hAnsi="Calibri" w:cs="Calibri"/>
                <w:sz w:val="22"/>
                <w:szCs w:val="22"/>
              </w:rPr>
              <w:t>t igénylő</w:t>
            </w:r>
            <w:r w:rsidR="004961A7" w:rsidRPr="004961A7">
              <w:rPr>
                <w:rFonts w:ascii="Calibri" w:hAnsi="Calibri" w:cs="Calibri"/>
                <w:sz w:val="22"/>
                <w:szCs w:val="22"/>
              </w:rPr>
              <w:t xml:space="preserve"> tételek</w:t>
            </w:r>
          </w:p>
        </w:tc>
        <w:tc>
          <w:tcPr>
            <w:tcW w:w="4606" w:type="dxa"/>
            <w:shd w:val="clear" w:color="auto" w:fill="auto"/>
          </w:tcPr>
          <w:p w14:paraId="6005824A" w14:textId="77777777" w:rsidR="000D746A" w:rsidRPr="00F14DC1" w:rsidRDefault="00251A0C" w:rsidP="00D479B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422B71">
              <w:rPr>
                <w:rFonts w:ascii="Calibri" w:hAnsi="Calibri" w:cs="Calibri"/>
                <w:sz w:val="22"/>
                <w:szCs w:val="22"/>
              </w:rPr>
              <w:t>105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422B71">
              <w:rPr>
                <w:rFonts w:ascii="Calibri" w:hAnsi="Calibri" w:cs="Calibri"/>
                <w:sz w:val="22"/>
                <w:szCs w:val="22"/>
              </w:rPr>
              <w:t>939</w:t>
            </w:r>
          </w:p>
        </w:tc>
      </w:tr>
      <w:tr w:rsidR="002D6642" w:rsidRPr="00F14DC1" w14:paraId="443DA3DA" w14:textId="77777777" w:rsidTr="001A1991">
        <w:tc>
          <w:tcPr>
            <w:tcW w:w="4606" w:type="dxa"/>
            <w:shd w:val="clear" w:color="auto" w:fill="auto"/>
          </w:tcPr>
          <w:p w14:paraId="78CCB311" w14:textId="77777777" w:rsidR="002D6642" w:rsidRPr="00F14DC1" w:rsidRDefault="002D6642" w:rsidP="001A19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</w:p>
        </w:tc>
        <w:tc>
          <w:tcPr>
            <w:tcW w:w="4606" w:type="dxa"/>
            <w:shd w:val="clear" w:color="auto" w:fill="auto"/>
          </w:tcPr>
          <w:p w14:paraId="5FFE9241" w14:textId="77777777" w:rsidR="002D6642" w:rsidRPr="00F14DC1" w:rsidRDefault="00947D5F" w:rsidP="00A45D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14289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</w:tbl>
    <w:p w14:paraId="0BC3ACAD" w14:textId="77777777" w:rsidR="003A10E9" w:rsidRPr="0040087B" w:rsidRDefault="003A10E9" w:rsidP="002D6642">
      <w:pPr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6CC43173" w14:textId="77777777" w:rsidR="00B73E5E" w:rsidRPr="0040087B" w:rsidRDefault="00B73E5E" w:rsidP="00B73E5E">
      <w:pPr>
        <w:rPr>
          <w:rFonts w:ascii="Calibri" w:hAnsi="Calibri" w:cs="Calibri"/>
          <w:b/>
          <w:color w:val="000000"/>
          <w:sz w:val="22"/>
          <w:szCs w:val="22"/>
          <w:highlight w:val="yellow"/>
        </w:rPr>
      </w:pPr>
    </w:p>
    <w:p w14:paraId="3DAA095B" w14:textId="77777777" w:rsidR="00B73E5E" w:rsidRPr="0040087B" w:rsidRDefault="00B73E5E" w:rsidP="002D6642">
      <w:pPr>
        <w:ind w:left="720"/>
        <w:rPr>
          <w:rFonts w:ascii="Calibri" w:hAnsi="Calibri" w:cs="Calibri"/>
          <w:b/>
          <w:color w:val="000000"/>
          <w:sz w:val="22"/>
          <w:szCs w:val="22"/>
        </w:rPr>
      </w:pPr>
    </w:p>
    <w:p w14:paraId="3F35B636" w14:textId="77777777" w:rsidR="00500B0C" w:rsidRPr="00A9408A" w:rsidRDefault="00500B0C" w:rsidP="000442EA">
      <w:pPr>
        <w:numPr>
          <w:ilvl w:val="0"/>
          <w:numId w:val="6"/>
        </w:numPr>
        <w:rPr>
          <w:rFonts w:ascii="Calibri" w:hAnsi="Calibri" w:cs="Calibri"/>
          <w:b/>
          <w:sz w:val="22"/>
          <w:szCs w:val="22"/>
        </w:rPr>
      </w:pPr>
      <w:r w:rsidRPr="00A9408A">
        <w:rPr>
          <w:rFonts w:ascii="Calibri" w:hAnsi="Calibri" w:cs="Calibri"/>
          <w:b/>
          <w:sz w:val="22"/>
          <w:szCs w:val="22"/>
        </w:rPr>
        <w:t>Létszám előirányzat</w:t>
      </w:r>
    </w:p>
    <w:p w14:paraId="0A9BFA68" w14:textId="77777777" w:rsidR="00500B0C" w:rsidRPr="00A9408A" w:rsidRDefault="00500B0C" w:rsidP="00500B0C">
      <w:pPr>
        <w:rPr>
          <w:rFonts w:ascii="Calibri" w:hAnsi="Calibri" w:cs="Calibri"/>
          <w:b/>
          <w:sz w:val="22"/>
          <w:szCs w:val="22"/>
        </w:rPr>
      </w:pPr>
    </w:p>
    <w:p w14:paraId="1CE21185" w14:textId="77777777" w:rsidR="004B0559" w:rsidRDefault="00CA378C" w:rsidP="004D1C09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A9408A">
        <w:rPr>
          <w:rFonts w:ascii="Calibri" w:hAnsi="Calibri" w:cs="Calibri"/>
          <w:sz w:val="22"/>
          <w:szCs w:val="22"/>
        </w:rPr>
        <w:t>Végrehajtásra került a</w:t>
      </w:r>
      <w:r w:rsidR="004B0559">
        <w:rPr>
          <w:rFonts w:ascii="Calibri" w:hAnsi="Calibri" w:cs="Calibri"/>
          <w:sz w:val="22"/>
          <w:szCs w:val="22"/>
        </w:rPr>
        <w:t>z 172</w:t>
      </w:r>
      <w:r w:rsidR="00210658" w:rsidRPr="00A9408A">
        <w:rPr>
          <w:rFonts w:ascii="Calibri" w:hAnsi="Calibri" w:cs="Calibri"/>
          <w:sz w:val="22"/>
          <w:szCs w:val="22"/>
        </w:rPr>
        <w:t>/2023</w:t>
      </w:r>
      <w:r w:rsidR="004B0559">
        <w:rPr>
          <w:rFonts w:ascii="Calibri" w:hAnsi="Calibri" w:cs="Calibri"/>
          <w:sz w:val="22"/>
          <w:szCs w:val="22"/>
        </w:rPr>
        <w:t>. (V.25</w:t>
      </w:r>
      <w:r w:rsidR="00CF3FA5">
        <w:rPr>
          <w:rFonts w:ascii="Calibri" w:hAnsi="Calibri" w:cs="Calibri"/>
          <w:sz w:val="22"/>
          <w:szCs w:val="22"/>
        </w:rPr>
        <w:t xml:space="preserve">.) Kgy. számú </w:t>
      </w:r>
      <w:r w:rsidR="005C1FAD" w:rsidRPr="00A9408A">
        <w:rPr>
          <w:rFonts w:ascii="Calibri" w:hAnsi="Calibri" w:cs="Calibri"/>
          <w:sz w:val="22"/>
          <w:szCs w:val="22"/>
        </w:rPr>
        <w:t>határozat, mely</w:t>
      </w:r>
      <w:r w:rsidR="00A9408A" w:rsidRPr="00A9408A">
        <w:rPr>
          <w:rFonts w:ascii="Calibri" w:hAnsi="Calibri" w:cs="Calibri"/>
          <w:sz w:val="22"/>
          <w:szCs w:val="22"/>
        </w:rPr>
        <w:t xml:space="preserve"> döntött</w:t>
      </w:r>
      <w:r w:rsidR="005C1FAD" w:rsidRPr="00A9408A">
        <w:rPr>
          <w:rFonts w:ascii="Calibri" w:hAnsi="Calibri" w:cs="Calibri"/>
          <w:sz w:val="22"/>
          <w:szCs w:val="22"/>
        </w:rPr>
        <w:t xml:space="preserve"> a </w:t>
      </w:r>
      <w:r w:rsidR="004B0559">
        <w:rPr>
          <w:rFonts w:ascii="Calibri" w:hAnsi="Calibri" w:cs="Calibri"/>
          <w:sz w:val="22"/>
          <w:szCs w:val="22"/>
        </w:rPr>
        <w:t xml:space="preserve">Szombathelyi Margaréta Óvoda határozott időre vonatkozó 1 fővel </w:t>
      </w:r>
      <w:r w:rsidR="004B0559" w:rsidRPr="00A9408A">
        <w:rPr>
          <w:rFonts w:ascii="Calibri" w:hAnsi="Calibri" w:cs="Calibri"/>
          <w:sz w:val="22"/>
          <w:szCs w:val="22"/>
        </w:rPr>
        <w:t>történő létszámfejlesztéséről</w:t>
      </w:r>
      <w:r w:rsidR="004B0559">
        <w:rPr>
          <w:rFonts w:ascii="Calibri" w:hAnsi="Calibri" w:cs="Calibri"/>
          <w:sz w:val="22"/>
          <w:szCs w:val="22"/>
        </w:rPr>
        <w:t>.</w:t>
      </w:r>
    </w:p>
    <w:p w14:paraId="27C6D576" w14:textId="77777777" w:rsidR="004B0559" w:rsidRDefault="004B0559" w:rsidP="00374E5E">
      <w:pPr>
        <w:jc w:val="both"/>
        <w:rPr>
          <w:rFonts w:ascii="Calibri" w:hAnsi="Calibri" w:cs="Calibri"/>
          <w:sz w:val="22"/>
          <w:szCs w:val="22"/>
        </w:rPr>
      </w:pPr>
    </w:p>
    <w:p w14:paraId="11F7E7E9" w14:textId="77777777" w:rsidR="004B0559" w:rsidRDefault="004B0559" w:rsidP="004D1C09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A9408A">
        <w:rPr>
          <w:rFonts w:ascii="Calibri" w:hAnsi="Calibri" w:cs="Calibri"/>
          <w:sz w:val="22"/>
          <w:szCs w:val="22"/>
        </w:rPr>
        <w:t>Végrehajtásra került a</w:t>
      </w:r>
      <w:r>
        <w:rPr>
          <w:rFonts w:ascii="Calibri" w:hAnsi="Calibri" w:cs="Calibri"/>
          <w:sz w:val="22"/>
          <w:szCs w:val="22"/>
        </w:rPr>
        <w:t>z 223</w:t>
      </w:r>
      <w:r w:rsidRPr="00A9408A">
        <w:rPr>
          <w:rFonts w:ascii="Calibri" w:hAnsi="Calibri" w:cs="Calibri"/>
          <w:sz w:val="22"/>
          <w:szCs w:val="22"/>
        </w:rPr>
        <w:t>/2023</w:t>
      </w:r>
      <w:r>
        <w:rPr>
          <w:rFonts w:ascii="Calibri" w:hAnsi="Calibri" w:cs="Calibri"/>
          <w:sz w:val="22"/>
          <w:szCs w:val="22"/>
        </w:rPr>
        <w:t>. (VI.15</w:t>
      </w:r>
      <w:r w:rsidR="00CF3FA5">
        <w:rPr>
          <w:rFonts w:ascii="Calibri" w:hAnsi="Calibri" w:cs="Calibri"/>
          <w:sz w:val="22"/>
          <w:szCs w:val="22"/>
        </w:rPr>
        <w:t>.) Kgy. számú</w:t>
      </w:r>
      <w:r w:rsidRPr="00A9408A">
        <w:rPr>
          <w:rFonts w:ascii="Calibri" w:hAnsi="Calibri" w:cs="Calibri"/>
          <w:sz w:val="22"/>
          <w:szCs w:val="22"/>
        </w:rPr>
        <w:t xml:space="preserve"> határozat,</w:t>
      </w:r>
      <w:r>
        <w:rPr>
          <w:rFonts w:ascii="Calibri" w:hAnsi="Calibri" w:cs="Calibri"/>
          <w:sz w:val="22"/>
          <w:szCs w:val="22"/>
        </w:rPr>
        <w:t xml:space="preserve"> mely szerint </w:t>
      </w:r>
      <w:r w:rsidR="00FB6906">
        <w:rPr>
          <w:rFonts w:ascii="Calibri" w:hAnsi="Calibri" w:cs="Calibri"/>
          <w:sz w:val="22"/>
          <w:szCs w:val="22"/>
        </w:rPr>
        <w:t xml:space="preserve">az egészségügyi alapellátásról szóló törvény alapján </w:t>
      </w:r>
      <w:r>
        <w:rPr>
          <w:rFonts w:ascii="Calibri" w:hAnsi="Calibri" w:cs="Calibri"/>
          <w:sz w:val="22"/>
          <w:szCs w:val="22"/>
        </w:rPr>
        <w:t xml:space="preserve">2023. július 1. napjától a Vas Vármegyei Markusovszky Egyetemi Oktatókórház gyakorolja a munkáltatói jogokat 24 fő szombathelyi védőnő tekintetében. Erre tekintettel </w:t>
      </w:r>
      <w:r w:rsidR="00FB6906">
        <w:rPr>
          <w:rFonts w:ascii="Calibri" w:hAnsi="Calibri" w:cs="Calibri"/>
          <w:sz w:val="22"/>
          <w:szCs w:val="22"/>
        </w:rPr>
        <w:t>a Szombathelyi Egészségügyi és Kulturális Intézmények Gazdasági Ellátó Szervezetének létszám-előirányzata 24 fővel csökkent.</w:t>
      </w:r>
    </w:p>
    <w:p w14:paraId="6E889987" w14:textId="77777777" w:rsidR="004B0559" w:rsidRDefault="004B0559" w:rsidP="00374E5E">
      <w:pPr>
        <w:jc w:val="both"/>
        <w:rPr>
          <w:rFonts w:ascii="Calibri" w:hAnsi="Calibri" w:cs="Calibri"/>
          <w:sz w:val="22"/>
          <w:szCs w:val="22"/>
        </w:rPr>
      </w:pPr>
    </w:p>
    <w:sectPr w:rsidR="004B0559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377D" w14:textId="77777777" w:rsidR="0033130C" w:rsidRDefault="0033130C">
      <w:r>
        <w:separator/>
      </w:r>
    </w:p>
  </w:endnote>
  <w:endnote w:type="continuationSeparator" w:id="0">
    <w:p w14:paraId="0109AFFD" w14:textId="77777777" w:rsidR="0033130C" w:rsidRDefault="0033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4730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6C4ADE97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BF9D" w14:textId="77777777" w:rsidR="0033130C" w:rsidRDefault="0033130C">
      <w:r>
        <w:separator/>
      </w:r>
    </w:p>
  </w:footnote>
  <w:footnote w:type="continuationSeparator" w:id="0">
    <w:p w14:paraId="74D09D7B" w14:textId="77777777" w:rsidR="0033130C" w:rsidRDefault="0033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878C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1B4CCAB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6CF6807"/>
    <w:multiLevelType w:val="hybridMultilevel"/>
    <w:tmpl w:val="51B62802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C75FD"/>
    <w:multiLevelType w:val="hybridMultilevel"/>
    <w:tmpl w:val="9C502E36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9A530D"/>
    <w:multiLevelType w:val="hybridMultilevel"/>
    <w:tmpl w:val="CB46C986"/>
    <w:lvl w:ilvl="0" w:tplc="53CE6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44907"/>
    <w:multiLevelType w:val="hybridMultilevel"/>
    <w:tmpl w:val="986607DE"/>
    <w:lvl w:ilvl="0" w:tplc="040E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11A062DF"/>
    <w:multiLevelType w:val="hybridMultilevel"/>
    <w:tmpl w:val="A07EB3B4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EE0769"/>
    <w:multiLevelType w:val="hybridMultilevel"/>
    <w:tmpl w:val="E5301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D2A58"/>
    <w:multiLevelType w:val="hybridMultilevel"/>
    <w:tmpl w:val="75689CE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67F80"/>
    <w:multiLevelType w:val="hybridMultilevel"/>
    <w:tmpl w:val="A39C157E"/>
    <w:lvl w:ilvl="0" w:tplc="CDB885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A41"/>
    <w:multiLevelType w:val="hybridMultilevel"/>
    <w:tmpl w:val="1B084C72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FE5769"/>
    <w:multiLevelType w:val="hybridMultilevel"/>
    <w:tmpl w:val="1E7A7C50"/>
    <w:lvl w:ilvl="0" w:tplc="040E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562FAC"/>
    <w:multiLevelType w:val="hybridMultilevel"/>
    <w:tmpl w:val="264A5B5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A50AF"/>
    <w:multiLevelType w:val="hybridMultilevel"/>
    <w:tmpl w:val="3CB8DFAC"/>
    <w:lvl w:ilvl="0" w:tplc="040E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3114A"/>
    <w:multiLevelType w:val="hybridMultilevel"/>
    <w:tmpl w:val="20466C4E"/>
    <w:lvl w:ilvl="0" w:tplc="4EF6B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6A29"/>
    <w:multiLevelType w:val="hybridMultilevel"/>
    <w:tmpl w:val="01BCC8C6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3F4527"/>
    <w:multiLevelType w:val="hybridMultilevel"/>
    <w:tmpl w:val="4C7C8FB0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4003256"/>
    <w:multiLevelType w:val="hybridMultilevel"/>
    <w:tmpl w:val="5778F5EA"/>
    <w:lvl w:ilvl="0" w:tplc="B4B06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E637A"/>
    <w:multiLevelType w:val="hybridMultilevel"/>
    <w:tmpl w:val="91FE65D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B2881"/>
    <w:multiLevelType w:val="hybridMultilevel"/>
    <w:tmpl w:val="301E70DC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8D4FFF"/>
    <w:multiLevelType w:val="hybridMultilevel"/>
    <w:tmpl w:val="46440746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633675">
    <w:abstractNumId w:val="17"/>
  </w:num>
  <w:num w:numId="2" w16cid:durableId="1036005714">
    <w:abstractNumId w:val="20"/>
  </w:num>
  <w:num w:numId="3" w16cid:durableId="1321034273">
    <w:abstractNumId w:val="8"/>
  </w:num>
  <w:num w:numId="4" w16cid:durableId="1189681465">
    <w:abstractNumId w:val="15"/>
  </w:num>
  <w:num w:numId="5" w16cid:durableId="1486823584">
    <w:abstractNumId w:val="13"/>
  </w:num>
  <w:num w:numId="6" w16cid:durableId="1392537279">
    <w:abstractNumId w:val="16"/>
  </w:num>
  <w:num w:numId="7" w16cid:durableId="1699165137">
    <w:abstractNumId w:val="6"/>
  </w:num>
  <w:num w:numId="8" w16cid:durableId="130562223">
    <w:abstractNumId w:val="11"/>
  </w:num>
  <w:num w:numId="9" w16cid:durableId="1567763259">
    <w:abstractNumId w:val="0"/>
  </w:num>
  <w:num w:numId="10" w16cid:durableId="1103764110">
    <w:abstractNumId w:val="19"/>
  </w:num>
  <w:num w:numId="11" w16cid:durableId="1915161798">
    <w:abstractNumId w:val="3"/>
  </w:num>
  <w:num w:numId="12" w16cid:durableId="1055159732">
    <w:abstractNumId w:val="21"/>
  </w:num>
  <w:num w:numId="13" w16cid:durableId="999770417">
    <w:abstractNumId w:val="14"/>
  </w:num>
  <w:num w:numId="14" w16cid:durableId="783697722">
    <w:abstractNumId w:val="2"/>
  </w:num>
  <w:num w:numId="15" w16cid:durableId="997609037">
    <w:abstractNumId w:val="1"/>
  </w:num>
  <w:num w:numId="16" w16cid:durableId="457988517">
    <w:abstractNumId w:val="9"/>
  </w:num>
  <w:num w:numId="17" w16cid:durableId="1203441490">
    <w:abstractNumId w:val="10"/>
  </w:num>
  <w:num w:numId="18" w16cid:durableId="1889216432">
    <w:abstractNumId w:val="18"/>
  </w:num>
  <w:num w:numId="19" w16cid:durableId="1044716920">
    <w:abstractNumId w:val="5"/>
  </w:num>
  <w:num w:numId="20" w16cid:durableId="1268005235">
    <w:abstractNumId w:val="4"/>
  </w:num>
  <w:num w:numId="21" w16cid:durableId="752167177">
    <w:abstractNumId w:val="12"/>
  </w:num>
  <w:num w:numId="22" w16cid:durableId="1782677414">
    <w:abstractNumId w:val="22"/>
  </w:num>
  <w:num w:numId="23" w16cid:durableId="115869109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9D"/>
    <w:rsid w:val="00000B77"/>
    <w:rsid w:val="00000DEF"/>
    <w:rsid w:val="00001804"/>
    <w:rsid w:val="00001831"/>
    <w:rsid w:val="000021CD"/>
    <w:rsid w:val="0000296A"/>
    <w:rsid w:val="000042E9"/>
    <w:rsid w:val="00005FB8"/>
    <w:rsid w:val="000106AB"/>
    <w:rsid w:val="000120C1"/>
    <w:rsid w:val="00012952"/>
    <w:rsid w:val="00012B7D"/>
    <w:rsid w:val="00012C1C"/>
    <w:rsid w:val="00012F6B"/>
    <w:rsid w:val="000136DB"/>
    <w:rsid w:val="00020713"/>
    <w:rsid w:val="000214A5"/>
    <w:rsid w:val="000217AA"/>
    <w:rsid w:val="00021F4A"/>
    <w:rsid w:val="00023130"/>
    <w:rsid w:val="00023BA7"/>
    <w:rsid w:val="000243E3"/>
    <w:rsid w:val="00024A6E"/>
    <w:rsid w:val="00026F2E"/>
    <w:rsid w:val="0003036E"/>
    <w:rsid w:val="00030838"/>
    <w:rsid w:val="00030A2A"/>
    <w:rsid w:val="0003167D"/>
    <w:rsid w:val="000326DE"/>
    <w:rsid w:val="000348E6"/>
    <w:rsid w:val="00034DA9"/>
    <w:rsid w:val="000358D5"/>
    <w:rsid w:val="0003671F"/>
    <w:rsid w:val="000367C6"/>
    <w:rsid w:val="0003725D"/>
    <w:rsid w:val="000411CF"/>
    <w:rsid w:val="000418B7"/>
    <w:rsid w:val="000422E8"/>
    <w:rsid w:val="000423E2"/>
    <w:rsid w:val="0004270E"/>
    <w:rsid w:val="000437DF"/>
    <w:rsid w:val="000442EA"/>
    <w:rsid w:val="00044376"/>
    <w:rsid w:val="00045096"/>
    <w:rsid w:val="00045664"/>
    <w:rsid w:val="000459DF"/>
    <w:rsid w:val="00046628"/>
    <w:rsid w:val="00046AC1"/>
    <w:rsid w:val="00050944"/>
    <w:rsid w:val="00051199"/>
    <w:rsid w:val="0005220E"/>
    <w:rsid w:val="000534E9"/>
    <w:rsid w:val="00053825"/>
    <w:rsid w:val="000542EF"/>
    <w:rsid w:val="00054694"/>
    <w:rsid w:val="0005645C"/>
    <w:rsid w:val="00056530"/>
    <w:rsid w:val="00057C30"/>
    <w:rsid w:val="00062904"/>
    <w:rsid w:val="00062B59"/>
    <w:rsid w:val="00063435"/>
    <w:rsid w:val="000638B7"/>
    <w:rsid w:val="00065EEC"/>
    <w:rsid w:val="0006609B"/>
    <w:rsid w:val="00066A34"/>
    <w:rsid w:val="000709BE"/>
    <w:rsid w:val="00074C9C"/>
    <w:rsid w:val="00075584"/>
    <w:rsid w:val="00075FEE"/>
    <w:rsid w:val="000767C3"/>
    <w:rsid w:val="00081466"/>
    <w:rsid w:val="0008273B"/>
    <w:rsid w:val="000836AE"/>
    <w:rsid w:val="00084B07"/>
    <w:rsid w:val="00085F06"/>
    <w:rsid w:val="00086D6E"/>
    <w:rsid w:val="000876B2"/>
    <w:rsid w:val="00090289"/>
    <w:rsid w:val="00091ABA"/>
    <w:rsid w:val="0009295E"/>
    <w:rsid w:val="000940EA"/>
    <w:rsid w:val="00094C59"/>
    <w:rsid w:val="000951DF"/>
    <w:rsid w:val="00095B4F"/>
    <w:rsid w:val="00095DB7"/>
    <w:rsid w:val="000962CF"/>
    <w:rsid w:val="00096998"/>
    <w:rsid w:val="00096AC0"/>
    <w:rsid w:val="00096D27"/>
    <w:rsid w:val="00097767"/>
    <w:rsid w:val="00097B84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E4C"/>
    <w:rsid w:val="000C0501"/>
    <w:rsid w:val="000C0597"/>
    <w:rsid w:val="000C16F1"/>
    <w:rsid w:val="000C19D4"/>
    <w:rsid w:val="000C294F"/>
    <w:rsid w:val="000C430D"/>
    <w:rsid w:val="000C6E9E"/>
    <w:rsid w:val="000C7E03"/>
    <w:rsid w:val="000D0D42"/>
    <w:rsid w:val="000D178B"/>
    <w:rsid w:val="000D2364"/>
    <w:rsid w:val="000D2585"/>
    <w:rsid w:val="000D3842"/>
    <w:rsid w:val="000D3ACC"/>
    <w:rsid w:val="000D56AB"/>
    <w:rsid w:val="000D5C35"/>
    <w:rsid w:val="000D6908"/>
    <w:rsid w:val="000D6D20"/>
    <w:rsid w:val="000D746A"/>
    <w:rsid w:val="000E19CA"/>
    <w:rsid w:val="000E6478"/>
    <w:rsid w:val="000E6DBC"/>
    <w:rsid w:val="000E77D0"/>
    <w:rsid w:val="000F0DDA"/>
    <w:rsid w:val="000F364A"/>
    <w:rsid w:val="000F434F"/>
    <w:rsid w:val="000F512B"/>
    <w:rsid w:val="000F542C"/>
    <w:rsid w:val="000F5C01"/>
    <w:rsid w:val="000F5E21"/>
    <w:rsid w:val="000F623C"/>
    <w:rsid w:val="000F62BE"/>
    <w:rsid w:val="000F7E3D"/>
    <w:rsid w:val="0010002A"/>
    <w:rsid w:val="001016C9"/>
    <w:rsid w:val="00102C78"/>
    <w:rsid w:val="00107C5D"/>
    <w:rsid w:val="00110235"/>
    <w:rsid w:val="001124D2"/>
    <w:rsid w:val="00112C87"/>
    <w:rsid w:val="0011398C"/>
    <w:rsid w:val="0011509E"/>
    <w:rsid w:val="00116226"/>
    <w:rsid w:val="00117DA5"/>
    <w:rsid w:val="0012062C"/>
    <w:rsid w:val="001208A8"/>
    <w:rsid w:val="001222F2"/>
    <w:rsid w:val="00122914"/>
    <w:rsid w:val="001236B3"/>
    <w:rsid w:val="001236F9"/>
    <w:rsid w:val="00124D83"/>
    <w:rsid w:val="001271DC"/>
    <w:rsid w:val="001302D4"/>
    <w:rsid w:val="0013036C"/>
    <w:rsid w:val="00130E11"/>
    <w:rsid w:val="001318A2"/>
    <w:rsid w:val="00133AF9"/>
    <w:rsid w:val="00133F35"/>
    <w:rsid w:val="00134403"/>
    <w:rsid w:val="00135A87"/>
    <w:rsid w:val="00135DD1"/>
    <w:rsid w:val="00136209"/>
    <w:rsid w:val="00142378"/>
    <w:rsid w:val="00142CE7"/>
    <w:rsid w:val="001437FF"/>
    <w:rsid w:val="00143E29"/>
    <w:rsid w:val="0014403E"/>
    <w:rsid w:val="00144257"/>
    <w:rsid w:val="00144FE6"/>
    <w:rsid w:val="001454A6"/>
    <w:rsid w:val="0014561B"/>
    <w:rsid w:val="00145C1B"/>
    <w:rsid w:val="0014600C"/>
    <w:rsid w:val="00147089"/>
    <w:rsid w:val="00147AD9"/>
    <w:rsid w:val="00147C70"/>
    <w:rsid w:val="001509F0"/>
    <w:rsid w:val="0015111E"/>
    <w:rsid w:val="0015178F"/>
    <w:rsid w:val="00151E1D"/>
    <w:rsid w:val="001524FA"/>
    <w:rsid w:val="00154DBB"/>
    <w:rsid w:val="00157EBA"/>
    <w:rsid w:val="001609A0"/>
    <w:rsid w:val="00161EA5"/>
    <w:rsid w:val="0016317E"/>
    <w:rsid w:val="00165439"/>
    <w:rsid w:val="00165AB1"/>
    <w:rsid w:val="00167151"/>
    <w:rsid w:val="00167949"/>
    <w:rsid w:val="001714F6"/>
    <w:rsid w:val="0017242E"/>
    <w:rsid w:val="0017272E"/>
    <w:rsid w:val="00173F0B"/>
    <w:rsid w:val="0017476C"/>
    <w:rsid w:val="00175FE5"/>
    <w:rsid w:val="00176140"/>
    <w:rsid w:val="00182138"/>
    <w:rsid w:val="00182240"/>
    <w:rsid w:val="001827B7"/>
    <w:rsid w:val="00182962"/>
    <w:rsid w:val="00183FB1"/>
    <w:rsid w:val="00187ACE"/>
    <w:rsid w:val="00187B80"/>
    <w:rsid w:val="00190C08"/>
    <w:rsid w:val="00190F75"/>
    <w:rsid w:val="001914A0"/>
    <w:rsid w:val="0019292E"/>
    <w:rsid w:val="00192EB5"/>
    <w:rsid w:val="001933AF"/>
    <w:rsid w:val="00195982"/>
    <w:rsid w:val="00195E08"/>
    <w:rsid w:val="00195E31"/>
    <w:rsid w:val="00196463"/>
    <w:rsid w:val="0019775C"/>
    <w:rsid w:val="001978F8"/>
    <w:rsid w:val="00197E4C"/>
    <w:rsid w:val="001A0D55"/>
    <w:rsid w:val="001A17BD"/>
    <w:rsid w:val="001A1991"/>
    <w:rsid w:val="001A1C8E"/>
    <w:rsid w:val="001A2DFC"/>
    <w:rsid w:val="001A39C9"/>
    <w:rsid w:val="001A474C"/>
    <w:rsid w:val="001A5886"/>
    <w:rsid w:val="001A5A46"/>
    <w:rsid w:val="001A5BE8"/>
    <w:rsid w:val="001A6A7E"/>
    <w:rsid w:val="001A7968"/>
    <w:rsid w:val="001B0595"/>
    <w:rsid w:val="001B102F"/>
    <w:rsid w:val="001B11CB"/>
    <w:rsid w:val="001B3DE2"/>
    <w:rsid w:val="001B6340"/>
    <w:rsid w:val="001B7598"/>
    <w:rsid w:val="001C0441"/>
    <w:rsid w:val="001C262B"/>
    <w:rsid w:val="001C2A3A"/>
    <w:rsid w:val="001C2C97"/>
    <w:rsid w:val="001C4268"/>
    <w:rsid w:val="001C4E1A"/>
    <w:rsid w:val="001C54F2"/>
    <w:rsid w:val="001C5685"/>
    <w:rsid w:val="001C6C28"/>
    <w:rsid w:val="001D082E"/>
    <w:rsid w:val="001D1257"/>
    <w:rsid w:val="001D1450"/>
    <w:rsid w:val="001D21B8"/>
    <w:rsid w:val="001D4ED2"/>
    <w:rsid w:val="001D620B"/>
    <w:rsid w:val="001D69D9"/>
    <w:rsid w:val="001D6AF1"/>
    <w:rsid w:val="001E1059"/>
    <w:rsid w:val="001E3C4B"/>
    <w:rsid w:val="001E484B"/>
    <w:rsid w:val="001E4D0D"/>
    <w:rsid w:val="001E4FBF"/>
    <w:rsid w:val="001E63DB"/>
    <w:rsid w:val="001E657C"/>
    <w:rsid w:val="001E6858"/>
    <w:rsid w:val="001F2386"/>
    <w:rsid w:val="001F3E40"/>
    <w:rsid w:val="001F4B5E"/>
    <w:rsid w:val="001F5100"/>
    <w:rsid w:val="001F530E"/>
    <w:rsid w:val="001F5B45"/>
    <w:rsid w:val="001F6B3C"/>
    <w:rsid w:val="002008F3"/>
    <w:rsid w:val="00200A19"/>
    <w:rsid w:val="0020287B"/>
    <w:rsid w:val="00202BB6"/>
    <w:rsid w:val="00203695"/>
    <w:rsid w:val="00203ECD"/>
    <w:rsid w:val="00204183"/>
    <w:rsid w:val="00204621"/>
    <w:rsid w:val="002051B6"/>
    <w:rsid w:val="00205FAC"/>
    <w:rsid w:val="00206140"/>
    <w:rsid w:val="00210408"/>
    <w:rsid w:val="00210658"/>
    <w:rsid w:val="00214BD2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5AD2"/>
    <w:rsid w:val="00227FCB"/>
    <w:rsid w:val="00231412"/>
    <w:rsid w:val="002314B9"/>
    <w:rsid w:val="002322D6"/>
    <w:rsid w:val="00232F3E"/>
    <w:rsid w:val="00236B31"/>
    <w:rsid w:val="002376F6"/>
    <w:rsid w:val="00237F02"/>
    <w:rsid w:val="00241880"/>
    <w:rsid w:val="002418ED"/>
    <w:rsid w:val="0024201A"/>
    <w:rsid w:val="00243AC4"/>
    <w:rsid w:val="002442E2"/>
    <w:rsid w:val="00244F65"/>
    <w:rsid w:val="00246589"/>
    <w:rsid w:val="002478A5"/>
    <w:rsid w:val="00251A0C"/>
    <w:rsid w:val="002531E3"/>
    <w:rsid w:val="0025411C"/>
    <w:rsid w:val="00255E85"/>
    <w:rsid w:val="00256144"/>
    <w:rsid w:val="00257B08"/>
    <w:rsid w:val="00257CCF"/>
    <w:rsid w:val="00261015"/>
    <w:rsid w:val="00261427"/>
    <w:rsid w:val="00262A4A"/>
    <w:rsid w:val="0026339F"/>
    <w:rsid w:val="0026373F"/>
    <w:rsid w:val="00264E6E"/>
    <w:rsid w:val="0027016C"/>
    <w:rsid w:val="002709F5"/>
    <w:rsid w:val="00272F93"/>
    <w:rsid w:val="00274955"/>
    <w:rsid w:val="00274D7A"/>
    <w:rsid w:val="00280131"/>
    <w:rsid w:val="002812BF"/>
    <w:rsid w:val="002814E8"/>
    <w:rsid w:val="00281803"/>
    <w:rsid w:val="00281824"/>
    <w:rsid w:val="00281A66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D79"/>
    <w:rsid w:val="00291EB9"/>
    <w:rsid w:val="00293327"/>
    <w:rsid w:val="00294E9E"/>
    <w:rsid w:val="00295143"/>
    <w:rsid w:val="00295462"/>
    <w:rsid w:val="0029626F"/>
    <w:rsid w:val="0029723A"/>
    <w:rsid w:val="00297C92"/>
    <w:rsid w:val="00297D4A"/>
    <w:rsid w:val="00297D9B"/>
    <w:rsid w:val="002A28A3"/>
    <w:rsid w:val="002A346F"/>
    <w:rsid w:val="002A3CA7"/>
    <w:rsid w:val="002A4AF9"/>
    <w:rsid w:val="002A5146"/>
    <w:rsid w:val="002A54FC"/>
    <w:rsid w:val="002A5A4A"/>
    <w:rsid w:val="002A6CB0"/>
    <w:rsid w:val="002A70C7"/>
    <w:rsid w:val="002A750D"/>
    <w:rsid w:val="002B1831"/>
    <w:rsid w:val="002B34D5"/>
    <w:rsid w:val="002B3768"/>
    <w:rsid w:val="002B4977"/>
    <w:rsid w:val="002B4CC8"/>
    <w:rsid w:val="002B6B83"/>
    <w:rsid w:val="002B753A"/>
    <w:rsid w:val="002B7D3C"/>
    <w:rsid w:val="002C07AB"/>
    <w:rsid w:val="002C46B8"/>
    <w:rsid w:val="002C4A69"/>
    <w:rsid w:val="002C594F"/>
    <w:rsid w:val="002C6532"/>
    <w:rsid w:val="002C6C9E"/>
    <w:rsid w:val="002C70E3"/>
    <w:rsid w:val="002C7B78"/>
    <w:rsid w:val="002D44FF"/>
    <w:rsid w:val="002D627A"/>
    <w:rsid w:val="002D6642"/>
    <w:rsid w:val="002D67E2"/>
    <w:rsid w:val="002D758A"/>
    <w:rsid w:val="002E18AA"/>
    <w:rsid w:val="002E1A75"/>
    <w:rsid w:val="002E1C5F"/>
    <w:rsid w:val="002E2459"/>
    <w:rsid w:val="002E2CED"/>
    <w:rsid w:val="002E2FD5"/>
    <w:rsid w:val="002E438E"/>
    <w:rsid w:val="002E450E"/>
    <w:rsid w:val="002E5EAB"/>
    <w:rsid w:val="002E662D"/>
    <w:rsid w:val="002E6754"/>
    <w:rsid w:val="002E70DF"/>
    <w:rsid w:val="002E73A3"/>
    <w:rsid w:val="002E798C"/>
    <w:rsid w:val="002F1A43"/>
    <w:rsid w:val="002F2826"/>
    <w:rsid w:val="002F28C1"/>
    <w:rsid w:val="002F334B"/>
    <w:rsid w:val="002F391E"/>
    <w:rsid w:val="002F3BBF"/>
    <w:rsid w:val="002F400F"/>
    <w:rsid w:val="002F6726"/>
    <w:rsid w:val="002F74E8"/>
    <w:rsid w:val="002F7878"/>
    <w:rsid w:val="00300B8B"/>
    <w:rsid w:val="00300E34"/>
    <w:rsid w:val="00301251"/>
    <w:rsid w:val="00302C2E"/>
    <w:rsid w:val="00303A4C"/>
    <w:rsid w:val="003050F3"/>
    <w:rsid w:val="0030534A"/>
    <w:rsid w:val="00306622"/>
    <w:rsid w:val="003108E3"/>
    <w:rsid w:val="00312D47"/>
    <w:rsid w:val="003130A1"/>
    <w:rsid w:val="003146B7"/>
    <w:rsid w:val="0031480F"/>
    <w:rsid w:val="003154A0"/>
    <w:rsid w:val="0031590D"/>
    <w:rsid w:val="003200D7"/>
    <w:rsid w:val="003208F4"/>
    <w:rsid w:val="00321467"/>
    <w:rsid w:val="00321484"/>
    <w:rsid w:val="00322AD9"/>
    <w:rsid w:val="00323290"/>
    <w:rsid w:val="00323A93"/>
    <w:rsid w:val="00323BB4"/>
    <w:rsid w:val="00324AEC"/>
    <w:rsid w:val="003259B3"/>
    <w:rsid w:val="00327A0A"/>
    <w:rsid w:val="0033130C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23B1"/>
    <w:rsid w:val="0034273A"/>
    <w:rsid w:val="00342921"/>
    <w:rsid w:val="00342ECC"/>
    <w:rsid w:val="00344BA7"/>
    <w:rsid w:val="00345538"/>
    <w:rsid w:val="0034735C"/>
    <w:rsid w:val="0035040A"/>
    <w:rsid w:val="0035078A"/>
    <w:rsid w:val="0035339B"/>
    <w:rsid w:val="00354F8F"/>
    <w:rsid w:val="00355DF9"/>
    <w:rsid w:val="0035613B"/>
    <w:rsid w:val="00356F57"/>
    <w:rsid w:val="003573B2"/>
    <w:rsid w:val="0035797D"/>
    <w:rsid w:val="00360AC0"/>
    <w:rsid w:val="00361411"/>
    <w:rsid w:val="00361C88"/>
    <w:rsid w:val="003622DB"/>
    <w:rsid w:val="003703CE"/>
    <w:rsid w:val="0037042D"/>
    <w:rsid w:val="00370ABA"/>
    <w:rsid w:val="00371E79"/>
    <w:rsid w:val="00372CB4"/>
    <w:rsid w:val="00373104"/>
    <w:rsid w:val="0037468A"/>
    <w:rsid w:val="00374E5E"/>
    <w:rsid w:val="003753ED"/>
    <w:rsid w:val="00375BF2"/>
    <w:rsid w:val="00376A58"/>
    <w:rsid w:val="00376D4B"/>
    <w:rsid w:val="003774A1"/>
    <w:rsid w:val="00377C0A"/>
    <w:rsid w:val="00380F01"/>
    <w:rsid w:val="00381252"/>
    <w:rsid w:val="003817BB"/>
    <w:rsid w:val="00385792"/>
    <w:rsid w:val="00386FEB"/>
    <w:rsid w:val="00390097"/>
    <w:rsid w:val="003902A9"/>
    <w:rsid w:val="0039110C"/>
    <w:rsid w:val="003928BD"/>
    <w:rsid w:val="003933CB"/>
    <w:rsid w:val="003935C1"/>
    <w:rsid w:val="0039371C"/>
    <w:rsid w:val="00394B88"/>
    <w:rsid w:val="00395F85"/>
    <w:rsid w:val="00396681"/>
    <w:rsid w:val="003967E3"/>
    <w:rsid w:val="00396A19"/>
    <w:rsid w:val="00397E3D"/>
    <w:rsid w:val="003A08ED"/>
    <w:rsid w:val="003A10E9"/>
    <w:rsid w:val="003A14A2"/>
    <w:rsid w:val="003A44DB"/>
    <w:rsid w:val="003A528A"/>
    <w:rsid w:val="003B0307"/>
    <w:rsid w:val="003B0B97"/>
    <w:rsid w:val="003B1A05"/>
    <w:rsid w:val="003B1C46"/>
    <w:rsid w:val="003B225A"/>
    <w:rsid w:val="003B374D"/>
    <w:rsid w:val="003B49B5"/>
    <w:rsid w:val="003B527D"/>
    <w:rsid w:val="003B6263"/>
    <w:rsid w:val="003B6BF4"/>
    <w:rsid w:val="003C0AC0"/>
    <w:rsid w:val="003C1556"/>
    <w:rsid w:val="003C4418"/>
    <w:rsid w:val="003C5227"/>
    <w:rsid w:val="003C6195"/>
    <w:rsid w:val="003C6394"/>
    <w:rsid w:val="003C68F8"/>
    <w:rsid w:val="003D07E6"/>
    <w:rsid w:val="003D13AF"/>
    <w:rsid w:val="003D3F2B"/>
    <w:rsid w:val="003D4246"/>
    <w:rsid w:val="003D4CCA"/>
    <w:rsid w:val="003D65CC"/>
    <w:rsid w:val="003D6C53"/>
    <w:rsid w:val="003D7B69"/>
    <w:rsid w:val="003E019D"/>
    <w:rsid w:val="003E0669"/>
    <w:rsid w:val="003E40D3"/>
    <w:rsid w:val="003E47D2"/>
    <w:rsid w:val="003E4A21"/>
    <w:rsid w:val="003E5D91"/>
    <w:rsid w:val="003E67F6"/>
    <w:rsid w:val="003E6AC2"/>
    <w:rsid w:val="003E700B"/>
    <w:rsid w:val="003E70C6"/>
    <w:rsid w:val="003F04A3"/>
    <w:rsid w:val="003F1167"/>
    <w:rsid w:val="003F1811"/>
    <w:rsid w:val="003F25A1"/>
    <w:rsid w:val="003F351B"/>
    <w:rsid w:val="003F6CA1"/>
    <w:rsid w:val="003F76FA"/>
    <w:rsid w:val="0040087B"/>
    <w:rsid w:val="004012BC"/>
    <w:rsid w:val="0040560D"/>
    <w:rsid w:val="00406892"/>
    <w:rsid w:val="004077B9"/>
    <w:rsid w:val="0041164B"/>
    <w:rsid w:val="004122AE"/>
    <w:rsid w:val="004137CD"/>
    <w:rsid w:val="00414671"/>
    <w:rsid w:val="004151E9"/>
    <w:rsid w:val="00416B9E"/>
    <w:rsid w:val="00417440"/>
    <w:rsid w:val="00417733"/>
    <w:rsid w:val="00417E61"/>
    <w:rsid w:val="00420D18"/>
    <w:rsid w:val="00421ADC"/>
    <w:rsid w:val="00422B71"/>
    <w:rsid w:val="00422F90"/>
    <w:rsid w:val="004248B8"/>
    <w:rsid w:val="00424983"/>
    <w:rsid w:val="0042592F"/>
    <w:rsid w:val="00427F60"/>
    <w:rsid w:val="004302A9"/>
    <w:rsid w:val="00432D02"/>
    <w:rsid w:val="004333DF"/>
    <w:rsid w:val="0043778B"/>
    <w:rsid w:val="004379A2"/>
    <w:rsid w:val="00440871"/>
    <w:rsid w:val="00440DDF"/>
    <w:rsid w:val="004422E0"/>
    <w:rsid w:val="00442593"/>
    <w:rsid w:val="004436E7"/>
    <w:rsid w:val="0044444D"/>
    <w:rsid w:val="00444E28"/>
    <w:rsid w:val="00445CED"/>
    <w:rsid w:val="004460E4"/>
    <w:rsid w:val="004465DA"/>
    <w:rsid w:val="0044751D"/>
    <w:rsid w:val="00452205"/>
    <w:rsid w:val="00453452"/>
    <w:rsid w:val="0045452C"/>
    <w:rsid w:val="0045589C"/>
    <w:rsid w:val="00456165"/>
    <w:rsid w:val="00457355"/>
    <w:rsid w:val="00457E2C"/>
    <w:rsid w:val="00460169"/>
    <w:rsid w:val="00460367"/>
    <w:rsid w:val="004603DF"/>
    <w:rsid w:val="00460839"/>
    <w:rsid w:val="004617F0"/>
    <w:rsid w:val="00462A26"/>
    <w:rsid w:val="00462D43"/>
    <w:rsid w:val="00462FF1"/>
    <w:rsid w:val="0046343E"/>
    <w:rsid w:val="004663F4"/>
    <w:rsid w:val="0046660E"/>
    <w:rsid w:val="00467960"/>
    <w:rsid w:val="004709AC"/>
    <w:rsid w:val="004717BD"/>
    <w:rsid w:val="00472DE0"/>
    <w:rsid w:val="00472E66"/>
    <w:rsid w:val="004733F7"/>
    <w:rsid w:val="004736EE"/>
    <w:rsid w:val="00473864"/>
    <w:rsid w:val="00473B0A"/>
    <w:rsid w:val="00474316"/>
    <w:rsid w:val="0047529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15F6"/>
    <w:rsid w:val="00481DB5"/>
    <w:rsid w:val="00482F41"/>
    <w:rsid w:val="0048328F"/>
    <w:rsid w:val="00484299"/>
    <w:rsid w:val="004842F0"/>
    <w:rsid w:val="00487DD4"/>
    <w:rsid w:val="004905C7"/>
    <w:rsid w:val="004914E3"/>
    <w:rsid w:val="00491F45"/>
    <w:rsid w:val="00491F66"/>
    <w:rsid w:val="004927D0"/>
    <w:rsid w:val="00492F1A"/>
    <w:rsid w:val="004961A7"/>
    <w:rsid w:val="0049641E"/>
    <w:rsid w:val="004966C0"/>
    <w:rsid w:val="004A0090"/>
    <w:rsid w:val="004A071B"/>
    <w:rsid w:val="004A24A9"/>
    <w:rsid w:val="004A3A57"/>
    <w:rsid w:val="004A4134"/>
    <w:rsid w:val="004A5353"/>
    <w:rsid w:val="004A5755"/>
    <w:rsid w:val="004A62C5"/>
    <w:rsid w:val="004A760C"/>
    <w:rsid w:val="004A7BD0"/>
    <w:rsid w:val="004B0559"/>
    <w:rsid w:val="004B2B29"/>
    <w:rsid w:val="004B3356"/>
    <w:rsid w:val="004B5A74"/>
    <w:rsid w:val="004C0F12"/>
    <w:rsid w:val="004C3F25"/>
    <w:rsid w:val="004C4B73"/>
    <w:rsid w:val="004C649A"/>
    <w:rsid w:val="004C7714"/>
    <w:rsid w:val="004C7E8D"/>
    <w:rsid w:val="004D137E"/>
    <w:rsid w:val="004D1BAB"/>
    <w:rsid w:val="004D1C09"/>
    <w:rsid w:val="004D2E0C"/>
    <w:rsid w:val="004D2FB2"/>
    <w:rsid w:val="004D3535"/>
    <w:rsid w:val="004D3ADB"/>
    <w:rsid w:val="004D729D"/>
    <w:rsid w:val="004E140C"/>
    <w:rsid w:val="004E1987"/>
    <w:rsid w:val="004E1D63"/>
    <w:rsid w:val="004E27F0"/>
    <w:rsid w:val="004E2E09"/>
    <w:rsid w:val="004E4C19"/>
    <w:rsid w:val="004E4CDF"/>
    <w:rsid w:val="004E4FAD"/>
    <w:rsid w:val="004E5B4F"/>
    <w:rsid w:val="004E7AA7"/>
    <w:rsid w:val="004F505C"/>
    <w:rsid w:val="004F5AC6"/>
    <w:rsid w:val="004F6308"/>
    <w:rsid w:val="004F638C"/>
    <w:rsid w:val="00500B0C"/>
    <w:rsid w:val="00501838"/>
    <w:rsid w:val="0050190D"/>
    <w:rsid w:val="0050239A"/>
    <w:rsid w:val="005023DA"/>
    <w:rsid w:val="00504746"/>
    <w:rsid w:val="00504F87"/>
    <w:rsid w:val="0050708F"/>
    <w:rsid w:val="00507519"/>
    <w:rsid w:val="00514289"/>
    <w:rsid w:val="00514FA6"/>
    <w:rsid w:val="00515524"/>
    <w:rsid w:val="00516D60"/>
    <w:rsid w:val="00517854"/>
    <w:rsid w:val="005218F0"/>
    <w:rsid w:val="00523020"/>
    <w:rsid w:val="00523621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40E9A"/>
    <w:rsid w:val="005414BA"/>
    <w:rsid w:val="0054194D"/>
    <w:rsid w:val="00541C8E"/>
    <w:rsid w:val="005446C8"/>
    <w:rsid w:val="005449D5"/>
    <w:rsid w:val="00545696"/>
    <w:rsid w:val="00545823"/>
    <w:rsid w:val="0054601F"/>
    <w:rsid w:val="00546878"/>
    <w:rsid w:val="00552927"/>
    <w:rsid w:val="00553BE5"/>
    <w:rsid w:val="00554D2E"/>
    <w:rsid w:val="005550CA"/>
    <w:rsid w:val="0055556F"/>
    <w:rsid w:val="00555953"/>
    <w:rsid w:val="00556062"/>
    <w:rsid w:val="005561FD"/>
    <w:rsid w:val="005576F2"/>
    <w:rsid w:val="005578D5"/>
    <w:rsid w:val="005601AD"/>
    <w:rsid w:val="0056126E"/>
    <w:rsid w:val="0056350E"/>
    <w:rsid w:val="005639AE"/>
    <w:rsid w:val="005640D1"/>
    <w:rsid w:val="00564DD7"/>
    <w:rsid w:val="00565A31"/>
    <w:rsid w:val="00565CA4"/>
    <w:rsid w:val="00566331"/>
    <w:rsid w:val="0056667E"/>
    <w:rsid w:val="00566787"/>
    <w:rsid w:val="005713E2"/>
    <w:rsid w:val="00572CE3"/>
    <w:rsid w:val="00572EA6"/>
    <w:rsid w:val="00573313"/>
    <w:rsid w:val="0057342C"/>
    <w:rsid w:val="00573817"/>
    <w:rsid w:val="00574C71"/>
    <w:rsid w:val="00574D7A"/>
    <w:rsid w:val="00574FF8"/>
    <w:rsid w:val="005762E3"/>
    <w:rsid w:val="00576AEE"/>
    <w:rsid w:val="00577FA1"/>
    <w:rsid w:val="00580AED"/>
    <w:rsid w:val="00580E82"/>
    <w:rsid w:val="00581DCC"/>
    <w:rsid w:val="00582594"/>
    <w:rsid w:val="00582E25"/>
    <w:rsid w:val="00583290"/>
    <w:rsid w:val="00583BF6"/>
    <w:rsid w:val="00583E64"/>
    <w:rsid w:val="0058432A"/>
    <w:rsid w:val="005851D0"/>
    <w:rsid w:val="00585C49"/>
    <w:rsid w:val="00585FE3"/>
    <w:rsid w:val="00590BA6"/>
    <w:rsid w:val="00590EDE"/>
    <w:rsid w:val="00591C32"/>
    <w:rsid w:val="00592B6E"/>
    <w:rsid w:val="0059443D"/>
    <w:rsid w:val="0059445F"/>
    <w:rsid w:val="0059638E"/>
    <w:rsid w:val="00596D2B"/>
    <w:rsid w:val="00597A45"/>
    <w:rsid w:val="00597AE1"/>
    <w:rsid w:val="005A0759"/>
    <w:rsid w:val="005A0833"/>
    <w:rsid w:val="005A08AD"/>
    <w:rsid w:val="005A14F3"/>
    <w:rsid w:val="005A38E5"/>
    <w:rsid w:val="005A61E9"/>
    <w:rsid w:val="005A6922"/>
    <w:rsid w:val="005A6F7F"/>
    <w:rsid w:val="005B153C"/>
    <w:rsid w:val="005B1D28"/>
    <w:rsid w:val="005B34F2"/>
    <w:rsid w:val="005B47EE"/>
    <w:rsid w:val="005B5141"/>
    <w:rsid w:val="005B583E"/>
    <w:rsid w:val="005B64E4"/>
    <w:rsid w:val="005B6839"/>
    <w:rsid w:val="005B6B99"/>
    <w:rsid w:val="005B7F3C"/>
    <w:rsid w:val="005C1BF4"/>
    <w:rsid w:val="005C1FAD"/>
    <w:rsid w:val="005C2C67"/>
    <w:rsid w:val="005C3A2C"/>
    <w:rsid w:val="005C482C"/>
    <w:rsid w:val="005C51AB"/>
    <w:rsid w:val="005C6ACF"/>
    <w:rsid w:val="005C6CA0"/>
    <w:rsid w:val="005C6F94"/>
    <w:rsid w:val="005D0ADD"/>
    <w:rsid w:val="005D0D00"/>
    <w:rsid w:val="005D15A1"/>
    <w:rsid w:val="005D2668"/>
    <w:rsid w:val="005D2FC0"/>
    <w:rsid w:val="005D3069"/>
    <w:rsid w:val="005D31CC"/>
    <w:rsid w:val="005D37C1"/>
    <w:rsid w:val="005D3B49"/>
    <w:rsid w:val="005D7867"/>
    <w:rsid w:val="005D7A5D"/>
    <w:rsid w:val="005E06D7"/>
    <w:rsid w:val="005E0CE3"/>
    <w:rsid w:val="005E0DCE"/>
    <w:rsid w:val="005E2762"/>
    <w:rsid w:val="005E362C"/>
    <w:rsid w:val="005E49EB"/>
    <w:rsid w:val="005E54B3"/>
    <w:rsid w:val="005E627D"/>
    <w:rsid w:val="005E7AD2"/>
    <w:rsid w:val="005F1073"/>
    <w:rsid w:val="005F11FE"/>
    <w:rsid w:val="005F158B"/>
    <w:rsid w:val="005F1796"/>
    <w:rsid w:val="005F1865"/>
    <w:rsid w:val="005F260E"/>
    <w:rsid w:val="005F2CEB"/>
    <w:rsid w:val="005F3F75"/>
    <w:rsid w:val="005F4118"/>
    <w:rsid w:val="005F41F1"/>
    <w:rsid w:val="005F445C"/>
    <w:rsid w:val="005F5072"/>
    <w:rsid w:val="005F54EB"/>
    <w:rsid w:val="005F6FA0"/>
    <w:rsid w:val="006006F0"/>
    <w:rsid w:val="00603F61"/>
    <w:rsid w:val="00604A11"/>
    <w:rsid w:val="00604E04"/>
    <w:rsid w:val="006055B3"/>
    <w:rsid w:val="006062E8"/>
    <w:rsid w:val="0060684C"/>
    <w:rsid w:val="006068AE"/>
    <w:rsid w:val="0060690C"/>
    <w:rsid w:val="00606A5D"/>
    <w:rsid w:val="00607A73"/>
    <w:rsid w:val="00610BAE"/>
    <w:rsid w:val="00611960"/>
    <w:rsid w:val="00611CC5"/>
    <w:rsid w:val="00612F45"/>
    <w:rsid w:val="0061389A"/>
    <w:rsid w:val="0061525F"/>
    <w:rsid w:val="006153C6"/>
    <w:rsid w:val="00616E5B"/>
    <w:rsid w:val="006176FB"/>
    <w:rsid w:val="00617803"/>
    <w:rsid w:val="00620720"/>
    <w:rsid w:val="0062097C"/>
    <w:rsid w:val="00620DCA"/>
    <w:rsid w:val="00621451"/>
    <w:rsid w:val="00625E51"/>
    <w:rsid w:val="00626222"/>
    <w:rsid w:val="00626B25"/>
    <w:rsid w:val="00626CF9"/>
    <w:rsid w:val="00627495"/>
    <w:rsid w:val="00627F19"/>
    <w:rsid w:val="006303C5"/>
    <w:rsid w:val="00630A07"/>
    <w:rsid w:val="00630B3E"/>
    <w:rsid w:val="0063185D"/>
    <w:rsid w:val="00631C27"/>
    <w:rsid w:val="006359A9"/>
    <w:rsid w:val="00636A23"/>
    <w:rsid w:val="00636E48"/>
    <w:rsid w:val="006375DD"/>
    <w:rsid w:val="00637B8A"/>
    <w:rsid w:val="006412E7"/>
    <w:rsid w:val="00641FCE"/>
    <w:rsid w:val="00644159"/>
    <w:rsid w:val="00644437"/>
    <w:rsid w:val="00646B1C"/>
    <w:rsid w:val="00647600"/>
    <w:rsid w:val="0064794E"/>
    <w:rsid w:val="00647EB1"/>
    <w:rsid w:val="00651280"/>
    <w:rsid w:val="00652DCD"/>
    <w:rsid w:val="00652E47"/>
    <w:rsid w:val="006536F0"/>
    <w:rsid w:val="00653C22"/>
    <w:rsid w:val="00654197"/>
    <w:rsid w:val="00654A64"/>
    <w:rsid w:val="00655C45"/>
    <w:rsid w:val="0065681E"/>
    <w:rsid w:val="00661127"/>
    <w:rsid w:val="00661FBE"/>
    <w:rsid w:val="00666AA4"/>
    <w:rsid w:val="00666ADC"/>
    <w:rsid w:val="006674E2"/>
    <w:rsid w:val="006701F4"/>
    <w:rsid w:val="00670CDB"/>
    <w:rsid w:val="00671212"/>
    <w:rsid w:val="006725CD"/>
    <w:rsid w:val="00672F4F"/>
    <w:rsid w:val="0067491D"/>
    <w:rsid w:val="006772FF"/>
    <w:rsid w:val="00681853"/>
    <w:rsid w:val="00684F22"/>
    <w:rsid w:val="00685F77"/>
    <w:rsid w:val="00687931"/>
    <w:rsid w:val="00690901"/>
    <w:rsid w:val="00691339"/>
    <w:rsid w:val="006926B6"/>
    <w:rsid w:val="00694B42"/>
    <w:rsid w:val="00694BA0"/>
    <w:rsid w:val="0069780B"/>
    <w:rsid w:val="006A10EF"/>
    <w:rsid w:val="006A1255"/>
    <w:rsid w:val="006A31B0"/>
    <w:rsid w:val="006A3999"/>
    <w:rsid w:val="006A3BE1"/>
    <w:rsid w:val="006A4F3F"/>
    <w:rsid w:val="006A6B11"/>
    <w:rsid w:val="006A6CAB"/>
    <w:rsid w:val="006B05E8"/>
    <w:rsid w:val="006B07DC"/>
    <w:rsid w:val="006B0F42"/>
    <w:rsid w:val="006B0F53"/>
    <w:rsid w:val="006B135C"/>
    <w:rsid w:val="006B1811"/>
    <w:rsid w:val="006B1F45"/>
    <w:rsid w:val="006B1FFD"/>
    <w:rsid w:val="006B38B8"/>
    <w:rsid w:val="006B40A7"/>
    <w:rsid w:val="006B46B6"/>
    <w:rsid w:val="006B4AA6"/>
    <w:rsid w:val="006B4F44"/>
    <w:rsid w:val="006B5B61"/>
    <w:rsid w:val="006B5EB6"/>
    <w:rsid w:val="006B67DB"/>
    <w:rsid w:val="006C0390"/>
    <w:rsid w:val="006C0988"/>
    <w:rsid w:val="006C33C8"/>
    <w:rsid w:val="006C43C0"/>
    <w:rsid w:val="006C4443"/>
    <w:rsid w:val="006C4B7E"/>
    <w:rsid w:val="006C6739"/>
    <w:rsid w:val="006C7162"/>
    <w:rsid w:val="006D0693"/>
    <w:rsid w:val="006D1B8C"/>
    <w:rsid w:val="006D22AA"/>
    <w:rsid w:val="006D3035"/>
    <w:rsid w:val="006D5F25"/>
    <w:rsid w:val="006D6A57"/>
    <w:rsid w:val="006D7B6C"/>
    <w:rsid w:val="006E0FE6"/>
    <w:rsid w:val="006E1103"/>
    <w:rsid w:val="006E33B1"/>
    <w:rsid w:val="006E43C2"/>
    <w:rsid w:val="006E7268"/>
    <w:rsid w:val="006E7C45"/>
    <w:rsid w:val="006F0429"/>
    <w:rsid w:val="006F053B"/>
    <w:rsid w:val="006F1930"/>
    <w:rsid w:val="006F2470"/>
    <w:rsid w:val="006F2717"/>
    <w:rsid w:val="006F35DC"/>
    <w:rsid w:val="006F43A8"/>
    <w:rsid w:val="006F4A89"/>
    <w:rsid w:val="006F4E45"/>
    <w:rsid w:val="006F4E97"/>
    <w:rsid w:val="006F5F25"/>
    <w:rsid w:val="006F7D9E"/>
    <w:rsid w:val="0070077F"/>
    <w:rsid w:val="0070281E"/>
    <w:rsid w:val="00704236"/>
    <w:rsid w:val="007044F1"/>
    <w:rsid w:val="00704B55"/>
    <w:rsid w:val="00705037"/>
    <w:rsid w:val="0070529F"/>
    <w:rsid w:val="007052D2"/>
    <w:rsid w:val="00710661"/>
    <w:rsid w:val="0071347A"/>
    <w:rsid w:val="00714394"/>
    <w:rsid w:val="00715008"/>
    <w:rsid w:val="007154D9"/>
    <w:rsid w:val="0071552D"/>
    <w:rsid w:val="0071674C"/>
    <w:rsid w:val="0071677D"/>
    <w:rsid w:val="00717339"/>
    <w:rsid w:val="00717370"/>
    <w:rsid w:val="00720AD8"/>
    <w:rsid w:val="0072162D"/>
    <w:rsid w:val="007239F7"/>
    <w:rsid w:val="00725D86"/>
    <w:rsid w:val="00726477"/>
    <w:rsid w:val="00726894"/>
    <w:rsid w:val="0073059C"/>
    <w:rsid w:val="00730DD1"/>
    <w:rsid w:val="0073164B"/>
    <w:rsid w:val="00731810"/>
    <w:rsid w:val="00732FB8"/>
    <w:rsid w:val="00733D64"/>
    <w:rsid w:val="00734C00"/>
    <w:rsid w:val="00734F25"/>
    <w:rsid w:val="00734FE2"/>
    <w:rsid w:val="00736D9D"/>
    <w:rsid w:val="0073786D"/>
    <w:rsid w:val="007408C6"/>
    <w:rsid w:val="0074162D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61FC"/>
    <w:rsid w:val="00746A54"/>
    <w:rsid w:val="00746BFE"/>
    <w:rsid w:val="007475D2"/>
    <w:rsid w:val="00747F5D"/>
    <w:rsid w:val="00750A64"/>
    <w:rsid w:val="00751D58"/>
    <w:rsid w:val="0075308B"/>
    <w:rsid w:val="00753213"/>
    <w:rsid w:val="007532BF"/>
    <w:rsid w:val="00754A7D"/>
    <w:rsid w:val="00754E95"/>
    <w:rsid w:val="0075759A"/>
    <w:rsid w:val="00757B16"/>
    <w:rsid w:val="00760353"/>
    <w:rsid w:val="0076144B"/>
    <w:rsid w:val="00763B1C"/>
    <w:rsid w:val="007644DC"/>
    <w:rsid w:val="00764D5C"/>
    <w:rsid w:val="00765AE1"/>
    <w:rsid w:val="00766552"/>
    <w:rsid w:val="00767994"/>
    <w:rsid w:val="0077108B"/>
    <w:rsid w:val="00772B7C"/>
    <w:rsid w:val="00773414"/>
    <w:rsid w:val="007740D9"/>
    <w:rsid w:val="00774D28"/>
    <w:rsid w:val="00775530"/>
    <w:rsid w:val="00775C4C"/>
    <w:rsid w:val="00775DCF"/>
    <w:rsid w:val="00776445"/>
    <w:rsid w:val="00780A57"/>
    <w:rsid w:val="007825BE"/>
    <w:rsid w:val="00783791"/>
    <w:rsid w:val="0078425D"/>
    <w:rsid w:val="0078452E"/>
    <w:rsid w:val="00785D2B"/>
    <w:rsid w:val="00785E0A"/>
    <w:rsid w:val="007875D8"/>
    <w:rsid w:val="00790EED"/>
    <w:rsid w:val="00791DCF"/>
    <w:rsid w:val="007921B5"/>
    <w:rsid w:val="007933CF"/>
    <w:rsid w:val="00794054"/>
    <w:rsid w:val="00794485"/>
    <w:rsid w:val="00795675"/>
    <w:rsid w:val="00795773"/>
    <w:rsid w:val="007A0143"/>
    <w:rsid w:val="007A1262"/>
    <w:rsid w:val="007A1ACA"/>
    <w:rsid w:val="007A26CF"/>
    <w:rsid w:val="007A26E3"/>
    <w:rsid w:val="007A31D9"/>
    <w:rsid w:val="007A40D1"/>
    <w:rsid w:val="007A51FD"/>
    <w:rsid w:val="007A5278"/>
    <w:rsid w:val="007A64BD"/>
    <w:rsid w:val="007B0F04"/>
    <w:rsid w:val="007B1045"/>
    <w:rsid w:val="007B68DF"/>
    <w:rsid w:val="007B7B7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AF2"/>
    <w:rsid w:val="007D1411"/>
    <w:rsid w:val="007D18AF"/>
    <w:rsid w:val="007D1BE4"/>
    <w:rsid w:val="007D1CEA"/>
    <w:rsid w:val="007D3656"/>
    <w:rsid w:val="007D37CF"/>
    <w:rsid w:val="007D42A6"/>
    <w:rsid w:val="007D50DB"/>
    <w:rsid w:val="007D5EA5"/>
    <w:rsid w:val="007D79C4"/>
    <w:rsid w:val="007E08A9"/>
    <w:rsid w:val="007E1EEA"/>
    <w:rsid w:val="007E29C0"/>
    <w:rsid w:val="007E2B67"/>
    <w:rsid w:val="007E44CF"/>
    <w:rsid w:val="007E4F76"/>
    <w:rsid w:val="007E6087"/>
    <w:rsid w:val="007E71D7"/>
    <w:rsid w:val="007F065B"/>
    <w:rsid w:val="007F07F1"/>
    <w:rsid w:val="007F0EB4"/>
    <w:rsid w:val="007F21B2"/>
    <w:rsid w:val="007F4482"/>
    <w:rsid w:val="007F4EFD"/>
    <w:rsid w:val="007F639D"/>
    <w:rsid w:val="007F7151"/>
    <w:rsid w:val="007F7CF5"/>
    <w:rsid w:val="00801B1C"/>
    <w:rsid w:val="00801DD2"/>
    <w:rsid w:val="00803187"/>
    <w:rsid w:val="00803330"/>
    <w:rsid w:val="00803B8D"/>
    <w:rsid w:val="00803EFB"/>
    <w:rsid w:val="0080471C"/>
    <w:rsid w:val="008050DA"/>
    <w:rsid w:val="00805831"/>
    <w:rsid w:val="0080607D"/>
    <w:rsid w:val="008064F0"/>
    <w:rsid w:val="008065EC"/>
    <w:rsid w:val="00806712"/>
    <w:rsid w:val="00807ABA"/>
    <w:rsid w:val="008107F5"/>
    <w:rsid w:val="00810D57"/>
    <w:rsid w:val="00812EC1"/>
    <w:rsid w:val="00814674"/>
    <w:rsid w:val="00814F02"/>
    <w:rsid w:val="00817FE5"/>
    <w:rsid w:val="008207B1"/>
    <w:rsid w:val="008212A0"/>
    <w:rsid w:val="008214FF"/>
    <w:rsid w:val="00826BB5"/>
    <w:rsid w:val="00826BF8"/>
    <w:rsid w:val="00826CA3"/>
    <w:rsid w:val="00827038"/>
    <w:rsid w:val="0082766C"/>
    <w:rsid w:val="00827C7F"/>
    <w:rsid w:val="00831CDC"/>
    <w:rsid w:val="008322EA"/>
    <w:rsid w:val="00832335"/>
    <w:rsid w:val="008327B0"/>
    <w:rsid w:val="00832B23"/>
    <w:rsid w:val="00832C3F"/>
    <w:rsid w:val="00835BC8"/>
    <w:rsid w:val="00836A60"/>
    <w:rsid w:val="00836DF9"/>
    <w:rsid w:val="00837110"/>
    <w:rsid w:val="00841AB3"/>
    <w:rsid w:val="00843599"/>
    <w:rsid w:val="0084377C"/>
    <w:rsid w:val="00845BA8"/>
    <w:rsid w:val="008506B2"/>
    <w:rsid w:val="008560BC"/>
    <w:rsid w:val="00856909"/>
    <w:rsid w:val="00856BCC"/>
    <w:rsid w:val="008604B0"/>
    <w:rsid w:val="00860577"/>
    <w:rsid w:val="00860EBA"/>
    <w:rsid w:val="00860F90"/>
    <w:rsid w:val="0086144B"/>
    <w:rsid w:val="008638DB"/>
    <w:rsid w:val="0086472B"/>
    <w:rsid w:val="008677FC"/>
    <w:rsid w:val="0087014B"/>
    <w:rsid w:val="008727EA"/>
    <w:rsid w:val="00873C3D"/>
    <w:rsid w:val="008753EC"/>
    <w:rsid w:val="00876F61"/>
    <w:rsid w:val="0088025E"/>
    <w:rsid w:val="00880F44"/>
    <w:rsid w:val="00881AA9"/>
    <w:rsid w:val="008825EE"/>
    <w:rsid w:val="008907F4"/>
    <w:rsid w:val="00890B3F"/>
    <w:rsid w:val="008916C7"/>
    <w:rsid w:val="008919B2"/>
    <w:rsid w:val="00893261"/>
    <w:rsid w:val="00894255"/>
    <w:rsid w:val="008948FE"/>
    <w:rsid w:val="0089508B"/>
    <w:rsid w:val="00895F31"/>
    <w:rsid w:val="008A1972"/>
    <w:rsid w:val="008A1CA0"/>
    <w:rsid w:val="008A2CF8"/>
    <w:rsid w:val="008A2DEB"/>
    <w:rsid w:val="008A2F2E"/>
    <w:rsid w:val="008A40BD"/>
    <w:rsid w:val="008A551F"/>
    <w:rsid w:val="008A6D09"/>
    <w:rsid w:val="008B3BB3"/>
    <w:rsid w:val="008B41F0"/>
    <w:rsid w:val="008B4E6E"/>
    <w:rsid w:val="008B5EBE"/>
    <w:rsid w:val="008B6B35"/>
    <w:rsid w:val="008B6D1D"/>
    <w:rsid w:val="008B6F82"/>
    <w:rsid w:val="008C07A6"/>
    <w:rsid w:val="008C12F8"/>
    <w:rsid w:val="008C18F6"/>
    <w:rsid w:val="008C2544"/>
    <w:rsid w:val="008C2A49"/>
    <w:rsid w:val="008C3805"/>
    <w:rsid w:val="008C5C5E"/>
    <w:rsid w:val="008C737B"/>
    <w:rsid w:val="008D0071"/>
    <w:rsid w:val="008D0484"/>
    <w:rsid w:val="008D2691"/>
    <w:rsid w:val="008D4289"/>
    <w:rsid w:val="008D50C2"/>
    <w:rsid w:val="008D55E3"/>
    <w:rsid w:val="008D68F4"/>
    <w:rsid w:val="008D71FE"/>
    <w:rsid w:val="008E062C"/>
    <w:rsid w:val="008E0BB1"/>
    <w:rsid w:val="008E1518"/>
    <w:rsid w:val="008E1602"/>
    <w:rsid w:val="008E1D40"/>
    <w:rsid w:val="008E2B40"/>
    <w:rsid w:val="008E4B2C"/>
    <w:rsid w:val="008E75A5"/>
    <w:rsid w:val="008E7800"/>
    <w:rsid w:val="008E79F0"/>
    <w:rsid w:val="008F06DD"/>
    <w:rsid w:val="008F0C61"/>
    <w:rsid w:val="008F16D3"/>
    <w:rsid w:val="008F285C"/>
    <w:rsid w:val="008F2A45"/>
    <w:rsid w:val="008F2F64"/>
    <w:rsid w:val="008F487F"/>
    <w:rsid w:val="008F5EBE"/>
    <w:rsid w:val="008F6D91"/>
    <w:rsid w:val="008F6FCD"/>
    <w:rsid w:val="008F7919"/>
    <w:rsid w:val="009000E6"/>
    <w:rsid w:val="009003C4"/>
    <w:rsid w:val="0090196C"/>
    <w:rsid w:val="009019EB"/>
    <w:rsid w:val="0090253D"/>
    <w:rsid w:val="00903659"/>
    <w:rsid w:val="00904BF0"/>
    <w:rsid w:val="00906218"/>
    <w:rsid w:val="00906B92"/>
    <w:rsid w:val="00907817"/>
    <w:rsid w:val="0091048D"/>
    <w:rsid w:val="00910765"/>
    <w:rsid w:val="00910F73"/>
    <w:rsid w:val="009122CB"/>
    <w:rsid w:val="00914E04"/>
    <w:rsid w:val="009153C4"/>
    <w:rsid w:val="00916ADA"/>
    <w:rsid w:val="00916C23"/>
    <w:rsid w:val="00917805"/>
    <w:rsid w:val="00917A21"/>
    <w:rsid w:val="00920392"/>
    <w:rsid w:val="00920C81"/>
    <w:rsid w:val="009225B9"/>
    <w:rsid w:val="009243A8"/>
    <w:rsid w:val="00925537"/>
    <w:rsid w:val="0092637F"/>
    <w:rsid w:val="00927CE5"/>
    <w:rsid w:val="00930B2E"/>
    <w:rsid w:val="00934419"/>
    <w:rsid w:val="00934DE1"/>
    <w:rsid w:val="00934F0E"/>
    <w:rsid w:val="009355E7"/>
    <w:rsid w:val="00936F31"/>
    <w:rsid w:val="00937241"/>
    <w:rsid w:val="0093747B"/>
    <w:rsid w:val="00937619"/>
    <w:rsid w:val="0094035E"/>
    <w:rsid w:val="009418AC"/>
    <w:rsid w:val="00941F22"/>
    <w:rsid w:val="00942C98"/>
    <w:rsid w:val="00942D82"/>
    <w:rsid w:val="009432B1"/>
    <w:rsid w:val="00944F72"/>
    <w:rsid w:val="00946176"/>
    <w:rsid w:val="0094760D"/>
    <w:rsid w:val="00947D5F"/>
    <w:rsid w:val="009503FF"/>
    <w:rsid w:val="00950464"/>
    <w:rsid w:val="00950D5A"/>
    <w:rsid w:val="00952FFE"/>
    <w:rsid w:val="00953377"/>
    <w:rsid w:val="009534F8"/>
    <w:rsid w:val="009540D0"/>
    <w:rsid w:val="00954E94"/>
    <w:rsid w:val="009550F7"/>
    <w:rsid w:val="00956D78"/>
    <w:rsid w:val="00964596"/>
    <w:rsid w:val="009658C8"/>
    <w:rsid w:val="009658D9"/>
    <w:rsid w:val="00966FE0"/>
    <w:rsid w:val="00967BBA"/>
    <w:rsid w:val="009704AD"/>
    <w:rsid w:val="009723BC"/>
    <w:rsid w:val="00973E57"/>
    <w:rsid w:val="00973E9B"/>
    <w:rsid w:val="00975313"/>
    <w:rsid w:val="00976D78"/>
    <w:rsid w:val="009771B2"/>
    <w:rsid w:val="00977E38"/>
    <w:rsid w:val="00982ABD"/>
    <w:rsid w:val="009848BC"/>
    <w:rsid w:val="00984AF3"/>
    <w:rsid w:val="009852BD"/>
    <w:rsid w:val="0098558A"/>
    <w:rsid w:val="00986F2A"/>
    <w:rsid w:val="00990DF9"/>
    <w:rsid w:val="00991516"/>
    <w:rsid w:val="009918FE"/>
    <w:rsid w:val="009919B7"/>
    <w:rsid w:val="00994098"/>
    <w:rsid w:val="00996747"/>
    <w:rsid w:val="00996835"/>
    <w:rsid w:val="00997838"/>
    <w:rsid w:val="009A0C6A"/>
    <w:rsid w:val="009A279E"/>
    <w:rsid w:val="009A2BBC"/>
    <w:rsid w:val="009A3FE2"/>
    <w:rsid w:val="009A4447"/>
    <w:rsid w:val="009A4A03"/>
    <w:rsid w:val="009A4E5D"/>
    <w:rsid w:val="009A4E8D"/>
    <w:rsid w:val="009A50FA"/>
    <w:rsid w:val="009B0129"/>
    <w:rsid w:val="009B027D"/>
    <w:rsid w:val="009B0463"/>
    <w:rsid w:val="009B38B2"/>
    <w:rsid w:val="009B5448"/>
    <w:rsid w:val="009B6F68"/>
    <w:rsid w:val="009B7115"/>
    <w:rsid w:val="009B7353"/>
    <w:rsid w:val="009C0BC7"/>
    <w:rsid w:val="009C0C2A"/>
    <w:rsid w:val="009C0F55"/>
    <w:rsid w:val="009C14B3"/>
    <w:rsid w:val="009C3D40"/>
    <w:rsid w:val="009C5CAA"/>
    <w:rsid w:val="009C6C8D"/>
    <w:rsid w:val="009D021D"/>
    <w:rsid w:val="009D02F1"/>
    <w:rsid w:val="009D2FC6"/>
    <w:rsid w:val="009D450D"/>
    <w:rsid w:val="009D6C22"/>
    <w:rsid w:val="009D76D5"/>
    <w:rsid w:val="009E0709"/>
    <w:rsid w:val="009E1FB9"/>
    <w:rsid w:val="009E21EA"/>
    <w:rsid w:val="009E2387"/>
    <w:rsid w:val="009E3A80"/>
    <w:rsid w:val="009E5A37"/>
    <w:rsid w:val="009E643C"/>
    <w:rsid w:val="009E7604"/>
    <w:rsid w:val="009E7E35"/>
    <w:rsid w:val="009F0E72"/>
    <w:rsid w:val="009F1F0B"/>
    <w:rsid w:val="009F2C6B"/>
    <w:rsid w:val="009F35FE"/>
    <w:rsid w:val="009F4438"/>
    <w:rsid w:val="009F4AD3"/>
    <w:rsid w:val="009F5D9D"/>
    <w:rsid w:val="009F6495"/>
    <w:rsid w:val="00A0632B"/>
    <w:rsid w:val="00A06531"/>
    <w:rsid w:val="00A0740C"/>
    <w:rsid w:val="00A07729"/>
    <w:rsid w:val="00A07AE6"/>
    <w:rsid w:val="00A11197"/>
    <w:rsid w:val="00A12234"/>
    <w:rsid w:val="00A12603"/>
    <w:rsid w:val="00A13A29"/>
    <w:rsid w:val="00A1479B"/>
    <w:rsid w:val="00A15B4B"/>
    <w:rsid w:val="00A1784C"/>
    <w:rsid w:val="00A20C67"/>
    <w:rsid w:val="00A20F2C"/>
    <w:rsid w:val="00A2219F"/>
    <w:rsid w:val="00A22D4F"/>
    <w:rsid w:val="00A232FD"/>
    <w:rsid w:val="00A237F6"/>
    <w:rsid w:val="00A23C27"/>
    <w:rsid w:val="00A26220"/>
    <w:rsid w:val="00A26558"/>
    <w:rsid w:val="00A2750C"/>
    <w:rsid w:val="00A27A75"/>
    <w:rsid w:val="00A302C6"/>
    <w:rsid w:val="00A308F6"/>
    <w:rsid w:val="00A30D7A"/>
    <w:rsid w:val="00A31337"/>
    <w:rsid w:val="00A328A6"/>
    <w:rsid w:val="00A33AC4"/>
    <w:rsid w:val="00A33C18"/>
    <w:rsid w:val="00A3481E"/>
    <w:rsid w:val="00A42B81"/>
    <w:rsid w:val="00A43446"/>
    <w:rsid w:val="00A43DDC"/>
    <w:rsid w:val="00A44885"/>
    <w:rsid w:val="00A45145"/>
    <w:rsid w:val="00A45DAB"/>
    <w:rsid w:val="00A4600F"/>
    <w:rsid w:val="00A46E88"/>
    <w:rsid w:val="00A477A7"/>
    <w:rsid w:val="00A47AC2"/>
    <w:rsid w:val="00A50531"/>
    <w:rsid w:val="00A51A6C"/>
    <w:rsid w:val="00A534DF"/>
    <w:rsid w:val="00A5369E"/>
    <w:rsid w:val="00A559D4"/>
    <w:rsid w:val="00A55EAC"/>
    <w:rsid w:val="00A574E9"/>
    <w:rsid w:val="00A60C2A"/>
    <w:rsid w:val="00A61094"/>
    <w:rsid w:val="00A6116B"/>
    <w:rsid w:val="00A6365A"/>
    <w:rsid w:val="00A64766"/>
    <w:rsid w:val="00A65BAD"/>
    <w:rsid w:val="00A65F23"/>
    <w:rsid w:val="00A668BC"/>
    <w:rsid w:val="00A67D7A"/>
    <w:rsid w:val="00A70B88"/>
    <w:rsid w:val="00A70EED"/>
    <w:rsid w:val="00A711A1"/>
    <w:rsid w:val="00A71FC4"/>
    <w:rsid w:val="00A727D3"/>
    <w:rsid w:val="00A72CC2"/>
    <w:rsid w:val="00A74231"/>
    <w:rsid w:val="00A77735"/>
    <w:rsid w:val="00A826DF"/>
    <w:rsid w:val="00A835DE"/>
    <w:rsid w:val="00A83609"/>
    <w:rsid w:val="00A83BA8"/>
    <w:rsid w:val="00A84038"/>
    <w:rsid w:val="00A84B03"/>
    <w:rsid w:val="00A8592E"/>
    <w:rsid w:val="00A85CAE"/>
    <w:rsid w:val="00A86AFD"/>
    <w:rsid w:val="00A91045"/>
    <w:rsid w:val="00A92D71"/>
    <w:rsid w:val="00A92FFA"/>
    <w:rsid w:val="00A932D5"/>
    <w:rsid w:val="00A9408A"/>
    <w:rsid w:val="00A94D57"/>
    <w:rsid w:val="00A95F76"/>
    <w:rsid w:val="00AA1084"/>
    <w:rsid w:val="00AA2A54"/>
    <w:rsid w:val="00AA39FE"/>
    <w:rsid w:val="00AA484B"/>
    <w:rsid w:val="00AA5848"/>
    <w:rsid w:val="00AA5C79"/>
    <w:rsid w:val="00AA5F89"/>
    <w:rsid w:val="00AA62D2"/>
    <w:rsid w:val="00AA6D4B"/>
    <w:rsid w:val="00AA7268"/>
    <w:rsid w:val="00AA7956"/>
    <w:rsid w:val="00AA799C"/>
    <w:rsid w:val="00AB05D8"/>
    <w:rsid w:val="00AB219B"/>
    <w:rsid w:val="00AB336C"/>
    <w:rsid w:val="00AB409A"/>
    <w:rsid w:val="00AB4607"/>
    <w:rsid w:val="00AB4A9E"/>
    <w:rsid w:val="00AB5071"/>
    <w:rsid w:val="00AB6A4A"/>
    <w:rsid w:val="00AB74CB"/>
    <w:rsid w:val="00AC02A6"/>
    <w:rsid w:val="00AC03D3"/>
    <w:rsid w:val="00AC0571"/>
    <w:rsid w:val="00AC12EE"/>
    <w:rsid w:val="00AC14B2"/>
    <w:rsid w:val="00AC2B95"/>
    <w:rsid w:val="00AC2CA9"/>
    <w:rsid w:val="00AC3E91"/>
    <w:rsid w:val="00AC4EA7"/>
    <w:rsid w:val="00AC6901"/>
    <w:rsid w:val="00AD1932"/>
    <w:rsid w:val="00AD2472"/>
    <w:rsid w:val="00AD396D"/>
    <w:rsid w:val="00AD3E2E"/>
    <w:rsid w:val="00AD49BA"/>
    <w:rsid w:val="00AD4DFE"/>
    <w:rsid w:val="00AD5D58"/>
    <w:rsid w:val="00AD6E8D"/>
    <w:rsid w:val="00AD7BAA"/>
    <w:rsid w:val="00AD7C55"/>
    <w:rsid w:val="00AE1F17"/>
    <w:rsid w:val="00AE2DC6"/>
    <w:rsid w:val="00AE69D9"/>
    <w:rsid w:val="00AF29C8"/>
    <w:rsid w:val="00AF2E49"/>
    <w:rsid w:val="00AF2EEF"/>
    <w:rsid w:val="00AF3BE1"/>
    <w:rsid w:val="00AF3CE8"/>
    <w:rsid w:val="00AF53F9"/>
    <w:rsid w:val="00AF5F07"/>
    <w:rsid w:val="00AF6E31"/>
    <w:rsid w:val="00AF7102"/>
    <w:rsid w:val="00B0051B"/>
    <w:rsid w:val="00B008CA"/>
    <w:rsid w:val="00B00D9A"/>
    <w:rsid w:val="00B02AB3"/>
    <w:rsid w:val="00B02C48"/>
    <w:rsid w:val="00B05A70"/>
    <w:rsid w:val="00B069B4"/>
    <w:rsid w:val="00B06CD5"/>
    <w:rsid w:val="00B10A8A"/>
    <w:rsid w:val="00B12DA5"/>
    <w:rsid w:val="00B134BC"/>
    <w:rsid w:val="00B13601"/>
    <w:rsid w:val="00B13DFC"/>
    <w:rsid w:val="00B13F1F"/>
    <w:rsid w:val="00B14520"/>
    <w:rsid w:val="00B14767"/>
    <w:rsid w:val="00B150DC"/>
    <w:rsid w:val="00B167AB"/>
    <w:rsid w:val="00B16E2E"/>
    <w:rsid w:val="00B20D1D"/>
    <w:rsid w:val="00B20F2B"/>
    <w:rsid w:val="00B218E0"/>
    <w:rsid w:val="00B2345F"/>
    <w:rsid w:val="00B23509"/>
    <w:rsid w:val="00B23F31"/>
    <w:rsid w:val="00B24B6C"/>
    <w:rsid w:val="00B25CCB"/>
    <w:rsid w:val="00B2701C"/>
    <w:rsid w:val="00B27691"/>
    <w:rsid w:val="00B27BC6"/>
    <w:rsid w:val="00B30B28"/>
    <w:rsid w:val="00B3198D"/>
    <w:rsid w:val="00B31BE1"/>
    <w:rsid w:val="00B3221C"/>
    <w:rsid w:val="00B32283"/>
    <w:rsid w:val="00B32D90"/>
    <w:rsid w:val="00B33075"/>
    <w:rsid w:val="00B34593"/>
    <w:rsid w:val="00B3531F"/>
    <w:rsid w:val="00B35F41"/>
    <w:rsid w:val="00B40201"/>
    <w:rsid w:val="00B403C0"/>
    <w:rsid w:val="00B40458"/>
    <w:rsid w:val="00B4159C"/>
    <w:rsid w:val="00B41DA2"/>
    <w:rsid w:val="00B42C61"/>
    <w:rsid w:val="00B453EF"/>
    <w:rsid w:val="00B467E0"/>
    <w:rsid w:val="00B47C7D"/>
    <w:rsid w:val="00B508AA"/>
    <w:rsid w:val="00B51678"/>
    <w:rsid w:val="00B51687"/>
    <w:rsid w:val="00B518CE"/>
    <w:rsid w:val="00B52233"/>
    <w:rsid w:val="00B525FE"/>
    <w:rsid w:val="00B530D0"/>
    <w:rsid w:val="00B53108"/>
    <w:rsid w:val="00B5541E"/>
    <w:rsid w:val="00B569EE"/>
    <w:rsid w:val="00B61141"/>
    <w:rsid w:val="00B61F77"/>
    <w:rsid w:val="00B62487"/>
    <w:rsid w:val="00B66003"/>
    <w:rsid w:val="00B660EF"/>
    <w:rsid w:val="00B67FDE"/>
    <w:rsid w:val="00B7009E"/>
    <w:rsid w:val="00B709B7"/>
    <w:rsid w:val="00B70EE6"/>
    <w:rsid w:val="00B71BE0"/>
    <w:rsid w:val="00B71C1A"/>
    <w:rsid w:val="00B72727"/>
    <w:rsid w:val="00B72A96"/>
    <w:rsid w:val="00B73787"/>
    <w:rsid w:val="00B73E5E"/>
    <w:rsid w:val="00B73F4B"/>
    <w:rsid w:val="00B7457F"/>
    <w:rsid w:val="00B765ED"/>
    <w:rsid w:val="00B768AA"/>
    <w:rsid w:val="00B76E42"/>
    <w:rsid w:val="00B77590"/>
    <w:rsid w:val="00B779DA"/>
    <w:rsid w:val="00B81440"/>
    <w:rsid w:val="00B8192D"/>
    <w:rsid w:val="00B8244E"/>
    <w:rsid w:val="00B82D89"/>
    <w:rsid w:val="00B8417F"/>
    <w:rsid w:val="00B84CBA"/>
    <w:rsid w:val="00B85AD9"/>
    <w:rsid w:val="00B8644B"/>
    <w:rsid w:val="00B87A07"/>
    <w:rsid w:val="00B87ABC"/>
    <w:rsid w:val="00B911D2"/>
    <w:rsid w:val="00B933D3"/>
    <w:rsid w:val="00B94448"/>
    <w:rsid w:val="00B964B7"/>
    <w:rsid w:val="00BA1A97"/>
    <w:rsid w:val="00BA3756"/>
    <w:rsid w:val="00BA459C"/>
    <w:rsid w:val="00BA47E9"/>
    <w:rsid w:val="00BA4ECE"/>
    <w:rsid w:val="00BA5467"/>
    <w:rsid w:val="00BA5617"/>
    <w:rsid w:val="00BA6590"/>
    <w:rsid w:val="00BB32F1"/>
    <w:rsid w:val="00BB3936"/>
    <w:rsid w:val="00BB3BFE"/>
    <w:rsid w:val="00BB455F"/>
    <w:rsid w:val="00BB6BA4"/>
    <w:rsid w:val="00BC013E"/>
    <w:rsid w:val="00BC05FC"/>
    <w:rsid w:val="00BC18C7"/>
    <w:rsid w:val="00BC197B"/>
    <w:rsid w:val="00BC4307"/>
    <w:rsid w:val="00BC5EB3"/>
    <w:rsid w:val="00BC7A2E"/>
    <w:rsid w:val="00BD25C8"/>
    <w:rsid w:val="00BD388C"/>
    <w:rsid w:val="00BD485C"/>
    <w:rsid w:val="00BD4EC2"/>
    <w:rsid w:val="00BD6779"/>
    <w:rsid w:val="00BD7AD7"/>
    <w:rsid w:val="00BE0289"/>
    <w:rsid w:val="00BE19E6"/>
    <w:rsid w:val="00BE1B5B"/>
    <w:rsid w:val="00BE5749"/>
    <w:rsid w:val="00BE5EFC"/>
    <w:rsid w:val="00BE63B7"/>
    <w:rsid w:val="00BE7443"/>
    <w:rsid w:val="00BF0183"/>
    <w:rsid w:val="00BF0500"/>
    <w:rsid w:val="00BF0634"/>
    <w:rsid w:val="00BF0E21"/>
    <w:rsid w:val="00BF0F49"/>
    <w:rsid w:val="00BF3A9B"/>
    <w:rsid w:val="00BF522A"/>
    <w:rsid w:val="00BF5CB8"/>
    <w:rsid w:val="00BF5DCF"/>
    <w:rsid w:val="00BF68AE"/>
    <w:rsid w:val="00BF7836"/>
    <w:rsid w:val="00C003EF"/>
    <w:rsid w:val="00C00515"/>
    <w:rsid w:val="00C013F8"/>
    <w:rsid w:val="00C031D9"/>
    <w:rsid w:val="00C035AA"/>
    <w:rsid w:val="00C0485B"/>
    <w:rsid w:val="00C0651E"/>
    <w:rsid w:val="00C0661E"/>
    <w:rsid w:val="00C070C2"/>
    <w:rsid w:val="00C07543"/>
    <w:rsid w:val="00C1043C"/>
    <w:rsid w:val="00C11F7D"/>
    <w:rsid w:val="00C1360C"/>
    <w:rsid w:val="00C14F93"/>
    <w:rsid w:val="00C154CC"/>
    <w:rsid w:val="00C16281"/>
    <w:rsid w:val="00C17AD0"/>
    <w:rsid w:val="00C17E87"/>
    <w:rsid w:val="00C20B20"/>
    <w:rsid w:val="00C20C9D"/>
    <w:rsid w:val="00C21C09"/>
    <w:rsid w:val="00C223C4"/>
    <w:rsid w:val="00C23B6B"/>
    <w:rsid w:val="00C257E7"/>
    <w:rsid w:val="00C27658"/>
    <w:rsid w:val="00C3077A"/>
    <w:rsid w:val="00C33912"/>
    <w:rsid w:val="00C343F0"/>
    <w:rsid w:val="00C3622B"/>
    <w:rsid w:val="00C36325"/>
    <w:rsid w:val="00C36378"/>
    <w:rsid w:val="00C375A8"/>
    <w:rsid w:val="00C37FB9"/>
    <w:rsid w:val="00C400E3"/>
    <w:rsid w:val="00C43E75"/>
    <w:rsid w:val="00C447C1"/>
    <w:rsid w:val="00C4516C"/>
    <w:rsid w:val="00C45F31"/>
    <w:rsid w:val="00C4639C"/>
    <w:rsid w:val="00C4640C"/>
    <w:rsid w:val="00C47BC7"/>
    <w:rsid w:val="00C50701"/>
    <w:rsid w:val="00C509DD"/>
    <w:rsid w:val="00C50D1D"/>
    <w:rsid w:val="00C5128A"/>
    <w:rsid w:val="00C520D3"/>
    <w:rsid w:val="00C5498B"/>
    <w:rsid w:val="00C54D63"/>
    <w:rsid w:val="00C54E5D"/>
    <w:rsid w:val="00C578CD"/>
    <w:rsid w:val="00C61F8D"/>
    <w:rsid w:val="00C620E5"/>
    <w:rsid w:val="00C63415"/>
    <w:rsid w:val="00C639DD"/>
    <w:rsid w:val="00C6433F"/>
    <w:rsid w:val="00C66E31"/>
    <w:rsid w:val="00C67086"/>
    <w:rsid w:val="00C672FC"/>
    <w:rsid w:val="00C708FD"/>
    <w:rsid w:val="00C711F1"/>
    <w:rsid w:val="00C72573"/>
    <w:rsid w:val="00C7348C"/>
    <w:rsid w:val="00C73A68"/>
    <w:rsid w:val="00C73FAA"/>
    <w:rsid w:val="00C745AB"/>
    <w:rsid w:val="00C75214"/>
    <w:rsid w:val="00C75DA4"/>
    <w:rsid w:val="00C76693"/>
    <w:rsid w:val="00C83D63"/>
    <w:rsid w:val="00C84450"/>
    <w:rsid w:val="00C849B8"/>
    <w:rsid w:val="00C85625"/>
    <w:rsid w:val="00C86552"/>
    <w:rsid w:val="00C8670B"/>
    <w:rsid w:val="00C91025"/>
    <w:rsid w:val="00C941F6"/>
    <w:rsid w:val="00C97B05"/>
    <w:rsid w:val="00C97EBE"/>
    <w:rsid w:val="00CA05FA"/>
    <w:rsid w:val="00CA324F"/>
    <w:rsid w:val="00CA378C"/>
    <w:rsid w:val="00CA4B07"/>
    <w:rsid w:val="00CA4CB6"/>
    <w:rsid w:val="00CA57CE"/>
    <w:rsid w:val="00CA6828"/>
    <w:rsid w:val="00CA7CA4"/>
    <w:rsid w:val="00CB16D2"/>
    <w:rsid w:val="00CB22DA"/>
    <w:rsid w:val="00CB3D16"/>
    <w:rsid w:val="00CB4062"/>
    <w:rsid w:val="00CB40E3"/>
    <w:rsid w:val="00CB4B37"/>
    <w:rsid w:val="00CB68A1"/>
    <w:rsid w:val="00CB769A"/>
    <w:rsid w:val="00CB7E29"/>
    <w:rsid w:val="00CC013F"/>
    <w:rsid w:val="00CC1AB5"/>
    <w:rsid w:val="00CC4938"/>
    <w:rsid w:val="00CC4DED"/>
    <w:rsid w:val="00CC5C99"/>
    <w:rsid w:val="00CC698B"/>
    <w:rsid w:val="00CC6DE4"/>
    <w:rsid w:val="00CD080D"/>
    <w:rsid w:val="00CD1E58"/>
    <w:rsid w:val="00CD241F"/>
    <w:rsid w:val="00CD2571"/>
    <w:rsid w:val="00CD263C"/>
    <w:rsid w:val="00CD2C48"/>
    <w:rsid w:val="00CD5D19"/>
    <w:rsid w:val="00CD611B"/>
    <w:rsid w:val="00CD68D5"/>
    <w:rsid w:val="00CD69BB"/>
    <w:rsid w:val="00CD7B97"/>
    <w:rsid w:val="00CE00E4"/>
    <w:rsid w:val="00CE0BAE"/>
    <w:rsid w:val="00CE16AF"/>
    <w:rsid w:val="00CE1D2A"/>
    <w:rsid w:val="00CE44F8"/>
    <w:rsid w:val="00CE56DF"/>
    <w:rsid w:val="00CE6153"/>
    <w:rsid w:val="00CE73B2"/>
    <w:rsid w:val="00CF013E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59C"/>
    <w:rsid w:val="00CF3FA5"/>
    <w:rsid w:val="00CF4553"/>
    <w:rsid w:val="00CF4795"/>
    <w:rsid w:val="00CF48BB"/>
    <w:rsid w:val="00CF4928"/>
    <w:rsid w:val="00CF7027"/>
    <w:rsid w:val="00CF7F1F"/>
    <w:rsid w:val="00D00690"/>
    <w:rsid w:val="00D00778"/>
    <w:rsid w:val="00D00A9C"/>
    <w:rsid w:val="00D0143E"/>
    <w:rsid w:val="00D02D41"/>
    <w:rsid w:val="00D031DB"/>
    <w:rsid w:val="00D03FBC"/>
    <w:rsid w:val="00D040D4"/>
    <w:rsid w:val="00D049C2"/>
    <w:rsid w:val="00D0619C"/>
    <w:rsid w:val="00D114F3"/>
    <w:rsid w:val="00D116C5"/>
    <w:rsid w:val="00D117CC"/>
    <w:rsid w:val="00D12283"/>
    <w:rsid w:val="00D12382"/>
    <w:rsid w:val="00D124F4"/>
    <w:rsid w:val="00D12F0A"/>
    <w:rsid w:val="00D130F1"/>
    <w:rsid w:val="00D158FB"/>
    <w:rsid w:val="00D15C75"/>
    <w:rsid w:val="00D1785B"/>
    <w:rsid w:val="00D17864"/>
    <w:rsid w:val="00D20547"/>
    <w:rsid w:val="00D2072D"/>
    <w:rsid w:val="00D21214"/>
    <w:rsid w:val="00D22B58"/>
    <w:rsid w:val="00D22E06"/>
    <w:rsid w:val="00D236C5"/>
    <w:rsid w:val="00D24DC8"/>
    <w:rsid w:val="00D26459"/>
    <w:rsid w:val="00D272C2"/>
    <w:rsid w:val="00D27B81"/>
    <w:rsid w:val="00D27B92"/>
    <w:rsid w:val="00D27E2E"/>
    <w:rsid w:val="00D309C7"/>
    <w:rsid w:val="00D31C75"/>
    <w:rsid w:val="00D32DEC"/>
    <w:rsid w:val="00D33014"/>
    <w:rsid w:val="00D351C1"/>
    <w:rsid w:val="00D36C0E"/>
    <w:rsid w:val="00D36F82"/>
    <w:rsid w:val="00D373FD"/>
    <w:rsid w:val="00D405B4"/>
    <w:rsid w:val="00D40F94"/>
    <w:rsid w:val="00D41C25"/>
    <w:rsid w:val="00D4243B"/>
    <w:rsid w:val="00D43952"/>
    <w:rsid w:val="00D4483A"/>
    <w:rsid w:val="00D461FD"/>
    <w:rsid w:val="00D479BC"/>
    <w:rsid w:val="00D50E84"/>
    <w:rsid w:val="00D5170C"/>
    <w:rsid w:val="00D52C2C"/>
    <w:rsid w:val="00D53E90"/>
    <w:rsid w:val="00D559A6"/>
    <w:rsid w:val="00D55B41"/>
    <w:rsid w:val="00D56107"/>
    <w:rsid w:val="00D61003"/>
    <w:rsid w:val="00D62166"/>
    <w:rsid w:val="00D64C49"/>
    <w:rsid w:val="00D653DB"/>
    <w:rsid w:val="00D656BE"/>
    <w:rsid w:val="00D65DF6"/>
    <w:rsid w:val="00D67131"/>
    <w:rsid w:val="00D72471"/>
    <w:rsid w:val="00D73A32"/>
    <w:rsid w:val="00D73D47"/>
    <w:rsid w:val="00D81284"/>
    <w:rsid w:val="00D8186F"/>
    <w:rsid w:val="00D82228"/>
    <w:rsid w:val="00D82990"/>
    <w:rsid w:val="00D83A2A"/>
    <w:rsid w:val="00D84B8E"/>
    <w:rsid w:val="00D902A9"/>
    <w:rsid w:val="00D9244D"/>
    <w:rsid w:val="00D92E3B"/>
    <w:rsid w:val="00D9342A"/>
    <w:rsid w:val="00D95580"/>
    <w:rsid w:val="00D9607D"/>
    <w:rsid w:val="00D96EA0"/>
    <w:rsid w:val="00DA09E6"/>
    <w:rsid w:val="00DA125A"/>
    <w:rsid w:val="00DA134E"/>
    <w:rsid w:val="00DA1437"/>
    <w:rsid w:val="00DA16BE"/>
    <w:rsid w:val="00DA26BE"/>
    <w:rsid w:val="00DA2862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1087"/>
    <w:rsid w:val="00DB7134"/>
    <w:rsid w:val="00DB7850"/>
    <w:rsid w:val="00DB7E32"/>
    <w:rsid w:val="00DC279E"/>
    <w:rsid w:val="00DC3248"/>
    <w:rsid w:val="00DC343B"/>
    <w:rsid w:val="00DC4047"/>
    <w:rsid w:val="00DC74BE"/>
    <w:rsid w:val="00DC7624"/>
    <w:rsid w:val="00DD38EB"/>
    <w:rsid w:val="00DD3C5E"/>
    <w:rsid w:val="00DD4205"/>
    <w:rsid w:val="00DD45EF"/>
    <w:rsid w:val="00DD4F98"/>
    <w:rsid w:val="00DD5692"/>
    <w:rsid w:val="00DD5ABC"/>
    <w:rsid w:val="00DD5B9E"/>
    <w:rsid w:val="00DD63B1"/>
    <w:rsid w:val="00DD7566"/>
    <w:rsid w:val="00DE05C7"/>
    <w:rsid w:val="00DE2522"/>
    <w:rsid w:val="00DE3AC2"/>
    <w:rsid w:val="00DE3C52"/>
    <w:rsid w:val="00DE47B2"/>
    <w:rsid w:val="00DF0786"/>
    <w:rsid w:val="00DF2E5A"/>
    <w:rsid w:val="00DF30D6"/>
    <w:rsid w:val="00DF311F"/>
    <w:rsid w:val="00DF4675"/>
    <w:rsid w:val="00DF54EA"/>
    <w:rsid w:val="00DF6A2A"/>
    <w:rsid w:val="00DF6A7E"/>
    <w:rsid w:val="00E00834"/>
    <w:rsid w:val="00E029CF"/>
    <w:rsid w:val="00E03CE0"/>
    <w:rsid w:val="00E05C38"/>
    <w:rsid w:val="00E06A32"/>
    <w:rsid w:val="00E07D6A"/>
    <w:rsid w:val="00E10201"/>
    <w:rsid w:val="00E10416"/>
    <w:rsid w:val="00E10984"/>
    <w:rsid w:val="00E11654"/>
    <w:rsid w:val="00E11CF1"/>
    <w:rsid w:val="00E12A30"/>
    <w:rsid w:val="00E135D7"/>
    <w:rsid w:val="00E14A0A"/>
    <w:rsid w:val="00E15586"/>
    <w:rsid w:val="00E16528"/>
    <w:rsid w:val="00E2049A"/>
    <w:rsid w:val="00E20D9E"/>
    <w:rsid w:val="00E23302"/>
    <w:rsid w:val="00E24798"/>
    <w:rsid w:val="00E25988"/>
    <w:rsid w:val="00E25A62"/>
    <w:rsid w:val="00E25CCF"/>
    <w:rsid w:val="00E25F1F"/>
    <w:rsid w:val="00E26524"/>
    <w:rsid w:val="00E26B46"/>
    <w:rsid w:val="00E304CD"/>
    <w:rsid w:val="00E318E8"/>
    <w:rsid w:val="00E3374D"/>
    <w:rsid w:val="00E33987"/>
    <w:rsid w:val="00E35086"/>
    <w:rsid w:val="00E35C4B"/>
    <w:rsid w:val="00E36550"/>
    <w:rsid w:val="00E372D8"/>
    <w:rsid w:val="00E41B41"/>
    <w:rsid w:val="00E41BB2"/>
    <w:rsid w:val="00E43772"/>
    <w:rsid w:val="00E43E5F"/>
    <w:rsid w:val="00E44CD1"/>
    <w:rsid w:val="00E45515"/>
    <w:rsid w:val="00E45902"/>
    <w:rsid w:val="00E46A1E"/>
    <w:rsid w:val="00E50505"/>
    <w:rsid w:val="00E50B17"/>
    <w:rsid w:val="00E52B4A"/>
    <w:rsid w:val="00E52BF2"/>
    <w:rsid w:val="00E534B4"/>
    <w:rsid w:val="00E53693"/>
    <w:rsid w:val="00E5389B"/>
    <w:rsid w:val="00E540D7"/>
    <w:rsid w:val="00E553D9"/>
    <w:rsid w:val="00E55BAD"/>
    <w:rsid w:val="00E55DAC"/>
    <w:rsid w:val="00E56624"/>
    <w:rsid w:val="00E5725D"/>
    <w:rsid w:val="00E57CD7"/>
    <w:rsid w:val="00E6035E"/>
    <w:rsid w:val="00E62BCE"/>
    <w:rsid w:val="00E64398"/>
    <w:rsid w:val="00E657D4"/>
    <w:rsid w:val="00E65AA2"/>
    <w:rsid w:val="00E65D1F"/>
    <w:rsid w:val="00E666FE"/>
    <w:rsid w:val="00E66879"/>
    <w:rsid w:val="00E66AB9"/>
    <w:rsid w:val="00E677B2"/>
    <w:rsid w:val="00E67A1F"/>
    <w:rsid w:val="00E67DA3"/>
    <w:rsid w:val="00E67E53"/>
    <w:rsid w:val="00E70ECB"/>
    <w:rsid w:val="00E715BA"/>
    <w:rsid w:val="00E71A06"/>
    <w:rsid w:val="00E731F9"/>
    <w:rsid w:val="00E739BE"/>
    <w:rsid w:val="00E73EA1"/>
    <w:rsid w:val="00E73FAD"/>
    <w:rsid w:val="00E74ED7"/>
    <w:rsid w:val="00E75268"/>
    <w:rsid w:val="00E7663B"/>
    <w:rsid w:val="00E76EA6"/>
    <w:rsid w:val="00E7761E"/>
    <w:rsid w:val="00E812BD"/>
    <w:rsid w:val="00E82470"/>
    <w:rsid w:val="00E831A8"/>
    <w:rsid w:val="00E831A9"/>
    <w:rsid w:val="00E8687A"/>
    <w:rsid w:val="00E86B5A"/>
    <w:rsid w:val="00E86E38"/>
    <w:rsid w:val="00E8771F"/>
    <w:rsid w:val="00E90CCD"/>
    <w:rsid w:val="00E911EB"/>
    <w:rsid w:val="00E919ED"/>
    <w:rsid w:val="00E95752"/>
    <w:rsid w:val="00E96270"/>
    <w:rsid w:val="00EA11E5"/>
    <w:rsid w:val="00EA1368"/>
    <w:rsid w:val="00EA1CE4"/>
    <w:rsid w:val="00EA1F86"/>
    <w:rsid w:val="00EA444D"/>
    <w:rsid w:val="00EA5DBB"/>
    <w:rsid w:val="00EA6039"/>
    <w:rsid w:val="00EA7018"/>
    <w:rsid w:val="00EA7257"/>
    <w:rsid w:val="00EA7637"/>
    <w:rsid w:val="00EA7B84"/>
    <w:rsid w:val="00EB08A3"/>
    <w:rsid w:val="00EB1364"/>
    <w:rsid w:val="00EB1D41"/>
    <w:rsid w:val="00EB30C1"/>
    <w:rsid w:val="00EB5456"/>
    <w:rsid w:val="00EB6560"/>
    <w:rsid w:val="00EB710C"/>
    <w:rsid w:val="00EB77F2"/>
    <w:rsid w:val="00EB7AAE"/>
    <w:rsid w:val="00EC1EEE"/>
    <w:rsid w:val="00EC3842"/>
    <w:rsid w:val="00EC4BEF"/>
    <w:rsid w:val="00EC6816"/>
    <w:rsid w:val="00EC6CD4"/>
    <w:rsid w:val="00EC7237"/>
    <w:rsid w:val="00EC7A80"/>
    <w:rsid w:val="00ED0895"/>
    <w:rsid w:val="00ED0FEA"/>
    <w:rsid w:val="00ED37AE"/>
    <w:rsid w:val="00ED4073"/>
    <w:rsid w:val="00ED5BD8"/>
    <w:rsid w:val="00EE0797"/>
    <w:rsid w:val="00EE2D5E"/>
    <w:rsid w:val="00EE3333"/>
    <w:rsid w:val="00EE42E2"/>
    <w:rsid w:val="00EE5CB3"/>
    <w:rsid w:val="00EE751D"/>
    <w:rsid w:val="00EF07DB"/>
    <w:rsid w:val="00EF37A2"/>
    <w:rsid w:val="00EF3ED7"/>
    <w:rsid w:val="00EF42E0"/>
    <w:rsid w:val="00EF5B55"/>
    <w:rsid w:val="00F01888"/>
    <w:rsid w:val="00F01D5A"/>
    <w:rsid w:val="00F04111"/>
    <w:rsid w:val="00F04CE7"/>
    <w:rsid w:val="00F05377"/>
    <w:rsid w:val="00F058EC"/>
    <w:rsid w:val="00F059D6"/>
    <w:rsid w:val="00F06150"/>
    <w:rsid w:val="00F06B1E"/>
    <w:rsid w:val="00F06B27"/>
    <w:rsid w:val="00F10096"/>
    <w:rsid w:val="00F10CD5"/>
    <w:rsid w:val="00F11977"/>
    <w:rsid w:val="00F11999"/>
    <w:rsid w:val="00F119DE"/>
    <w:rsid w:val="00F11F00"/>
    <w:rsid w:val="00F13CE5"/>
    <w:rsid w:val="00F14011"/>
    <w:rsid w:val="00F148DC"/>
    <w:rsid w:val="00F14DC1"/>
    <w:rsid w:val="00F15384"/>
    <w:rsid w:val="00F15F8B"/>
    <w:rsid w:val="00F17107"/>
    <w:rsid w:val="00F172A1"/>
    <w:rsid w:val="00F202A1"/>
    <w:rsid w:val="00F22620"/>
    <w:rsid w:val="00F22A6A"/>
    <w:rsid w:val="00F23A5F"/>
    <w:rsid w:val="00F24B38"/>
    <w:rsid w:val="00F24E2D"/>
    <w:rsid w:val="00F27EBD"/>
    <w:rsid w:val="00F321C4"/>
    <w:rsid w:val="00F34A0F"/>
    <w:rsid w:val="00F351E5"/>
    <w:rsid w:val="00F363C9"/>
    <w:rsid w:val="00F4236A"/>
    <w:rsid w:val="00F430B3"/>
    <w:rsid w:val="00F442E4"/>
    <w:rsid w:val="00F44A90"/>
    <w:rsid w:val="00F467D1"/>
    <w:rsid w:val="00F470C7"/>
    <w:rsid w:val="00F50B6F"/>
    <w:rsid w:val="00F51000"/>
    <w:rsid w:val="00F52F1A"/>
    <w:rsid w:val="00F53FDB"/>
    <w:rsid w:val="00F54FFF"/>
    <w:rsid w:val="00F5512B"/>
    <w:rsid w:val="00F574AF"/>
    <w:rsid w:val="00F57CFA"/>
    <w:rsid w:val="00F60873"/>
    <w:rsid w:val="00F61566"/>
    <w:rsid w:val="00F61D2F"/>
    <w:rsid w:val="00F63A25"/>
    <w:rsid w:val="00F63C80"/>
    <w:rsid w:val="00F6401E"/>
    <w:rsid w:val="00F650CA"/>
    <w:rsid w:val="00F65754"/>
    <w:rsid w:val="00F67CA2"/>
    <w:rsid w:val="00F710B1"/>
    <w:rsid w:val="00F71E2A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1A2"/>
    <w:rsid w:val="00F853F0"/>
    <w:rsid w:val="00F87744"/>
    <w:rsid w:val="00F90A58"/>
    <w:rsid w:val="00F90DDF"/>
    <w:rsid w:val="00F90DF5"/>
    <w:rsid w:val="00F91F85"/>
    <w:rsid w:val="00F938ED"/>
    <w:rsid w:val="00F940F7"/>
    <w:rsid w:val="00F943B7"/>
    <w:rsid w:val="00F94947"/>
    <w:rsid w:val="00F952FB"/>
    <w:rsid w:val="00F977FB"/>
    <w:rsid w:val="00FA1D12"/>
    <w:rsid w:val="00FA26F0"/>
    <w:rsid w:val="00FA430A"/>
    <w:rsid w:val="00FA4917"/>
    <w:rsid w:val="00FA529D"/>
    <w:rsid w:val="00FA5764"/>
    <w:rsid w:val="00FA5EF5"/>
    <w:rsid w:val="00FA76BC"/>
    <w:rsid w:val="00FB0776"/>
    <w:rsid w:val="00FB1C49"/>
    <w:rsid w:val="00FB1FF9"/>
    <w:rsid w:val="00FB41D2"/>
    <w:rsid w:val="00FB6691"/>
    <w:rsid w:val="00FB68A2"/>
    <w:rsid w:val="00FB6906"/>
    <w:rsid w:val="00FB7A0F"/>
    <w:rsid w:val="00FC024C"/>
    <w:rsid w:val="00FC0E0F"/>
    <w:rsid w:val="00FC1ADB"/>
    <w:rsid w:val="00FC2D24"/>
    <w:rsid w:val="00FC5C99"/>
    <w:rsid w:val="00FC6FBB"/>
    <w:rsid w:val="00FC7924"/>
    <w:rsid w:val="00FD04D3"/>
    <w:rsid w:val="00FD073D"/>
    <w:rsid w:val="00FD0D06"/>
    <w:rsid w:val="00FD12B4"/>
    <w:rsid w:val="00FD3291"/>
    <w:rsid w:val="00FD39F3"/>
    <w:rsid w:val="00FD41A0"/>
    <w:rsid w:val="00FD42F1"/>
    <w:rsid w:val="00FD49C4"/>
    <w:rsid w:val="00FD4D2E"/>
    <w:rsid w:val="00FD63D8"/>
    <w:rsid w:val="00FD6ADA"/>
    <w:rsid w:val="00FD708B"/>
    <w:rsid w:val="00FE00D3"/>
    <w:rsid w:val="00FE0382"/>
    <w:rsid w:val="00FE06E6"/>
    <w:rsid w:val="00FE1276"/>
    <w:rsid w:val="00FE2017"/>
    <w:rsid w:val="00FE221E"/>
    <w:rsid w:val="00FE2B34"/>
    <w:rsid w:val="00FE4125"/>
    <w:rsid w:val="00FE4CF8"/>
    <w:rsid w:val="00FE633B"/>
    <w:rsid w:val="00FE7336"/>
    <w:rsid w:val="00FE78E1"/>
    <w:rsid w:val="00FF01C2"/>
    <w:rsid w:val="00FF0370"/>
    <w:rsid w:val="00FF042C"/>
    <w:rsid w:val="00FF1D23"/>
    <w:rsid w:val="00FF3814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A03BEC"/>
  <w15:chartTrackingRefBased/>
  <w15:docId w15:val="{DE42A184-09CD-4926-BB8C-9EF4C000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9244D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BodyTextIndent2">
    <w:name w:val="Body Text Indent 2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ontentpasted0">
    <w:name w:val="contentpasted0"/>
    <w:rsid w:val="00161EA5"/>
  </w:style>
  <w:style w:type="character" w:customStyle="1" w:styleId="Egyiksem">
    <w:name w:val="Egyik sem"/>
    <w:rsid w:val="00B40201"/>
  </w:style>
  <w:style w:type="numbering" w:customStyle="1" w:styleId="Importlt2stlus">
    <w:name w:val="Importált 2 stílus"/>
    <w:rsid w:val="00B40201"/>
    <w:pPr>
      <w:numPr>
        <w:numId w:val="9"/>
      </w:numPr>
    </w:pPr>
  </w:style>
  <w:style w:type="character" w:customStyle="1" w:styleId="EgyiksemA">
    <w:name w:val="Egyik sem A"/>
    <w:rsid w:val="00611960"/>
  </w:style>
  <w:style w:type="paragraph" w:styleId="Nincstrkz">
    <w:name w:val="No Spacing"/>
    <w:uiPriority w:val="1"/>
    <w:qFormat/>
    <w:rsid w:val="004D1C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457C-64DD-4B74-83FF-9DCBAAF0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3216</Words>
  <Characters>22191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25357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Horváth Ildikó dr.</cp:lastModifiedBy>
  <cp:revision>2</cp:revision>
  <cp:lastPrinted>2023-09-19T08:55:00Z</cp:lastPrinted>
  <dcterms:created xsi:type="dcterms:W3CDTF">2023-10-05T07:15:00Z</dcterms:created>
  <dcterms:modified xsi:type="dcterms:W3CDTF">2023-10-05T07:15:00Z</dcterms:modified>
</cp:coreProperties>
</file>