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406" w14:textId="77777777" w:rsidR="00642FA4" w:rsidRPr="006A1A4D" w:rsidRDefault="00642FA4" w:rsidP="00642FA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170BC076" w14:textId="77777777" w:rsidR="00642FA4" w:rsidRPr="006A1A4D" w:rsidRDefault="00642FA4" w:rsidP="00642FA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E32005" w14:textId="77777777" w:rsidR="00642FA4" w:rsidRPr="006A1A4D" w:rsidRDefault="00642FA4" w:rsidP="00642FA4">
      <w:pPr>
        <w:jc w:val="both"/>
        <w:rPr>
          <w:rFonts w:asciiTheme="minorHAnsi" w:hAnsiTheme="minorHAnsi" w:cstheme="minorHAnsi"/>
          <w:bCs/>
          <w:szCs w:val="22"/>
        </w:rPr>
      </w:pPr>
      <w:r w:rsidRPr="000237C2">
        <w:rPr>
          <w:rFonts w:asciiTheme="minorHAnsi" w:hAnsiTheme="minorHAnsi" w:cstheme="minorHAnsi"/>
          <w:bCs/>
          <w:szCs w:val="22"/>
        </w:rPr>
        <w:t>A Gazdasági és Jogi Bizottság a „</w:t>
      </w:r>
      <w:r w:rsidRPr="00783FF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társasággal kapcsolatos döntés meghozatalára</w:t>
      </w:r>
      <w:r w:rsidRPr="000237C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783FFE">
        <w:rPr>
          <w:rFonts w:asciiTheme="minorHAnsi" w:hAnsiTheme="minorHAnsi" w:cstheme="minorHAnsi"/>
          <w:bCs/>
          <w:szCs w:val="22"/>
        </w:rPr>
        <w:t xml:space="preserve">a SZOMHULL Nonprofit Kft. és a SZOVA Nonprofit Zrt. </w:t>
      </w:r>
      <w:r>
        <w:rPr>
          <w:rFonts w:asciiTheme="minorHAnsi" w:hAnsiTheme="minorHAnsi" w:cstheme="minorHAnsi"/>
          <w:bCs/>
          <w:szCs w:val="22"/>
        </w:rPr>
        <w:t xml:space="preserve">egyesülésével kapcsolatos döntés meghozataláról szóló </w:t>
      </w:r>
      <w:r w:rsidRPr="000237C2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7C503FA5" w14:textId="77777777" w:rsidR="00642FA4" w:rsidRPr="006A1A4D" w:rsidRDefault="00642FA4" w:rsidP="00642FA4">
      <w:pPr>
        <w:jc w:val="both"/>
        <w:rPr>
          <w:rFonts w:asciiTheme="minorHAnsi" w:hAnsiTheme="minorHAnsi" w:cstheme="minorHAnsi"/>
          <w:bCs/>
          <w:szCs w:val="22"/>
        </w:rPr>
      </w:pPr>
    </w:p>
    <w:p w14:paraId="2DA6A95C" w14:textId="77777777" w:rsidR="00642FA4" w:rsidRPr="006A1A4D" w:rsidRDefault="00642FA4" w:rsidP="00642F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BBF12E" w14:textId="77777777" w:rsidR="00642FA4" w:rsidRPr="006A1A4D" w:rsidRDefault="00642FA4" w:rsidP="00642F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206BD8" w14:textId="77777777" w:rsidR="00642FA4" w:rsidRPr="0008620C" w:rsidRDefault="00642FA4" w:rsidP="00642FA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08620C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1CD61A4F" w14:textId="77777777" w:rsidR="00642FA4" w:rsidRPr="0008620C" w:rsidRDefault="00642FA4" w:rsidP="00642FA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5CBBFE32" w14:textId="77777777" w:rsidR="00642FA4" w:rsidRPr="0008620C" w:rsidRDefault="00642FA4" w:rsidP="00642FA4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8620C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3313B887" w14:textId="77777777" w:rsidR="00642FA4" w:rsidRDefault="00642FA4" w:rsidP="00642FA4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8620C">
        <w:rPr>
          <w:rFonts w:ascii="Calibri" w:hAnsi="Calibri" w:cs="Calibri"/>
          <w:bCs/>
          <w:szCs w:val="22"/>
        </w:rPr>
        <w:t>Taoufik</w:t>
      </w:r>
      <w:proofErr w:type="spellEnd"/>
      <w:r w:rsidRPr="0008620C">
        <w:rPr>
          <w:rFonts w:ascii="Calibri" w:hAnsi="Calibri" w:cs="Calibri"/>
          <w:bCs/>
          <w:szCs w:val="22"/>
        </w:rPr>
        <w:t xml:space="preserve"> Roland, a SZOMHULL Nonprofit Kft. ügyvezetője</w:t>
      </w:r>
      <w:r w:rsidRPr="000237C2">
        <w:rPr>
          <w:rFonts w:ascii="Calibri" w:hAnsi="Calibri" w:cs="Calibri"/>
          <w:bCs/>
          <w:szCs w:val="22"/>
        </w:rPr>
        <w:t>/</w:t>
      </w:r>
    </w:p>
    <w:p w14:paraId="169AF042" w14:textId="77777777" w:rsidR="00642FA4" w:rsidRPr="006A1A4D" w:rsidRDefault="00642FA4" w:rsidP="00642FA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0FFC5F4" w14:textId="77777777" w:rsidR="00642FA4" w:rsidRPr="006A1A4D" w:rsidRDefault="00642FA4" w:rsidP="00642FA4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7F5A01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4"/>
    <w:rsid w:val="00642FA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BECB"/>
  <w15:chartTrackingRefBased/>
  <w15:docId w15:val="{0C98E16A-E605-4892-B65D-66D4201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FA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B3CE4-6E50-4F7A-A571-3DB5A6DBF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E419A-1C47-4DE4-BB9A-A477B19C2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CE45A-DDFD-44A0-B268-7D558E874F02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