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:rsidR="00673000" w:rsidRP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Pr="00B233F4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:rsidR="00673000" w:rsidRP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az önkormányzat 2023. évi költségvetéséről szóló 4/2023. (II.28.) önkormányzati rendelet módosításáról</w:t>
      </w:r>
    </w:p>
    <w:p w:rsidR="00673000" w:rsidRPr="00B233F4" w:rsidRDefault="00B233F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Pr="00B233F4">
        <w:rPr>
          <w:rFonts w:asciiTheme="minorHAnsi" w:hAnsiTheme="minorHAnsi" w:cstheme="minorHAnsi"/>
          <w:sz w:val="22"/>
          <w:szCs w:val="22"/>
        </w:rPr>
        <w:t>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Az önkormányzat 2023.</w:t>
      </w:r>
      <w:r w:rsidRPr="00B233F4">
        <w:rPr>
          <w:rFonts w:asciiTheme="minorHAnsi" w:hAnsiTheme="minorHAnsi" w:cstheme="minorHAnsi"/>
          <w:sz w:val="22"/>
          <w:szCs w:val="22"/>
        </w:rPr>
        <w:t xml:space="preserve"> évi költségvetéséről szóló 4/2023. (II. 28.) önkormányzati rendelet (a továbbiakban: Rendelet) 2. §-a helyébe a következő rendelkezés lép:</w:t>
      </w:r>
    </w:p>
    <w:p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(1) A Közgyűlés az Önkormányzat 2023. évi költségvetésének bevételi főösszegét 28.898.430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-ban, kiadási főö</w:t>
      </w:r>
      <w:r w:rsidRPr="00B233F4">
        <w:rPr>
          <w:rFonts w:asciiTheme="minorHAnsi" w:hAnsiTheme="minorHAnsi" w:cstheme="minorHAnsi"/>
          <w:sz w:val="22"/>
          <w:szCs w:val="22"/>
        </w:rPr>
        <w:t xml:space="preserve">sszegét 35.823.926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 állapítja meg.</w:t>
      </w:r>
    </w:p>
    <w:p w:rsidR="00673000" w:rsidRPr="00B233F4" w:rsidRDefault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(2) A működési bevételek és kiadások egyenlegét – 3.005.713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 xml:space="preserve">-ban, a finanszírozási célú kiadásokat (pénzügyi lízing tőke része) - 120.750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-ban, az egyéb finanszírozási célú kiadásokat (2023. évi költségvetési</w:t>
      </w:r>
      <w:r w:rsidRPr="00B233F4">
        <w:rPr>
          <w:rFonts w:asciiTheme="minorHAnsi" w:hAnsiTheme="minorHAnsi" w:cstheme="minorHAnsi"/>
          <w:sz w:val="22"/>
          <w:szCs w:val="22"/>
        </w:rPr>
        <w:t xml:space="preserve"> támogatási előleg) -234.638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 xml:space="preserve">-ban, az ezeket finanszírozó előző évek működési maradványát + 4.378.509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 xml:space="preserve">-ban határozza meg. Az így számított működési egyenleg +1.017.408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.</w:t>
      </w:r>
    </w:p>
    <w:p w:rsidR="00673000" w:rsidRPr="00B233F4" w:rsidRDefault="00B233F4" w:rsidP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(3) A felhalmozási célú bevételek és kiadások egyenlege – 3.919.783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 xml:space="preserve">-ban, </w:t>
      </w:r>
      <w:r w:rsidRPr="00B233F4">
        <w:rPr>
          <w:rFonts w:asciiTheme="minorHAnsi" w:hAnsiTheme="minorHAnsi" w:cstheme="minorHAnsi"/>
          <w:sz w:val="22"/>
          <w:szCs w:val="22"/>
        </w:rPr>
        <w:t xml:space="preserve">az ezt finanszírozó előző évek felhalmozási maradványát + 2.902.375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 xml:space="preserve">-ban határozza meg. Az így számított felhalmozási egyenleg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B233F4">
        <w:rPr>
          <w:rFonts w:asciiTheme="minorHAnsi" w:hAnsiTheme="minorHAnsi" w:cstheme="minorHAnsi"/>
          <w:sz w:val="22"/>
          <w:szCs w:val="22"/>
        </w:rPr>
        <w:t xml:space="preserve">1.017.408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.</w:t>
      </w:r>
    </w:p>
    <w:p w:rsidR="00673000" w:rsidRPr="00B233F4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(4) A külső finanszírozási célú bevételeket 0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 határozza meg.”</w:t>
      </w:r>
    </w:p>
    <w:p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5. és 6. §-a helyébe a k</w:t>
      </w:r>
      <w:r w:rsidRPr="00B233F4">
        <w:rPr>
          <w:rFonts w:asciiTheme="minorHAnsi" w:hAnsiTheme="minorHAnsi" w:cstheme="minorHAnsi"/>
          <w:sz w:val="22"/>
          <w:szCs w:val="22"/>
        </w:rPr>
        <w:t>övetkező rendelkezések lépnek:</w:t>
      </w:r>
    </w:p>
    <w:p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„5. §</w:t>
      </w:r>
    </w:p>
    <w:p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 költségvetési szervek kiadásait 15.160.353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 határozza meg a 6. mellékletben részletezettek szerint.</w:t>
      </w:r>
    </w:p>
    <w:p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:rsidR="00673000" w:rsidRPr="00B233F4" w:rsidRDefault="00B233F4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Közgyűlés a költségvetési szervek 2023. évi létszámkeretét 1.481 főben határozza meg a 7. m</w:t>
      </w:r>
      <w:r w:rsidRPr="00B233F4">
        <w:rPr>
          <w:rFonts w:asciiTheme="minorHAnsi" w:hAnsiTheme="minorHAnsi" w:cstheme="minorHAnsi"/>
          <w:sz w:val="22"/>
          <w:szCs w:val="22"/>
        </w:rPr>
        <w:t>ellékletben részletezettek szerint.”</w:t>
      </w:r>
    </w:p>
    <w:p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8. és 9. §-a helyébe a következő rendelkezések lépnek:</w:t>
      </w:r>
    </w:p>
    <w:p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„8. §</w:t>
      </w:r>
    </w:p>
    <w:p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az önkormányzati felhalmozási kiadások előirányzatát 5.785.543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 határozza meg, amelynek részletes adatait a 18. melléklet t</w:t>
      </w:r>
      <w:r w:rsidRPr="00B233F4">
        <w:rPr>
          <w:rFonts w:asciiTheme="minorHAnsi" w:hAnsiTheme="minorHAnsi" w:cstheme="minorHAnsi"/>
          <w:sz w:val="22"/>
          <w:szCs w:val="22"/>
        </w:rPr>
        <w:t>artalmazza.</w:t>
      </w:r>
    </w:p>
    <w:p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(1) A Közgyűlés céltartalékokat képez az alábbiak szerint:</w:t>
      </w:r>
    </w:p>
    <w:p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általános 11.052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,</w:t>
      </w:r>
    </w:p>
    <w:p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iparűzési adóelőleg visszafizetés 450.000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,</w:t>
      </w:r>
    </w:p>
    <w:p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lastRenderedPageBreak/>
        <w:t>c)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energia árak növekedése miatt képzett tartalék 300.000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,</w:t>
      </w:r>
    </w:p>
    <w:p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B233F4">
        <w:rPr>
          <w:rFonts w:asciiTheme="minorHAnsi" w:hAnsiTheme="minorHAnsi" w:cstheme="minorHAnsi"/>
          <w:sz w:val="22"/>
          <w:szCs w:val="22"/>
        </w:rPr>
        <w:tab/>
      </w:r>
      <w:r w:rsidRPr="00B233F4">
        <w:rPr>
          <w:rFonts w:asciiTheme="minorHAnsi" w:hAnsiTheme="minorHAnsi" w:cstheme="minorHAnsi"/>
          <w:sz w:val="22"/>
          <w:szCs w:val="22"/>
        </w:rPr>
        <w:t xml:space="preserve">Tartalék – gyermek és szociális étkeztetés II. félév 62.800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.</w:t>
      </w:r>
    </w:p>
    <w:p w:rsidR="00673000" w:rsidRPr="00B233F4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(2) Az (1) bekezdésben meghatározott céltartalékok felett a polgármester jogosult dönteni.”</w:t>
      </w:r>
    </w:p>
    <w:p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:rsidR="00673000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17. §-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 xml:space="preserve"> a „2022.” szövegrész helyébe a „2023.” szöveg lép.</w:t>
      </w:r>
    </w:p>
    <w:p w:rsidR="00B233F4" w:rsidRPr="00B233F4" w:rsidRDefault="00B233F4" w:rsidP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:rsidR="00B233F4" w:rsidRPr="00B233F4" w:rsidRDefault="00B233F4" w:rsidP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4556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:rsidR="00673000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Ez a rendelet a </w:t>
      </w:r>
      <w:r w:rsidRPr="00B233F4">
        <w:rPr>
          <w:rFonts w:asciiTheme="minorHAnsi" w:hAnsiTheme="minorHAnsi" w:cstheme="minorHAnsi"/>
          <w:sz w:val="22"/>
          <w:szCs w:val="22"/>
        </w:rPr>
        <w:t>kihirdetését követő napon lép hatályba.</w:t>
      </w:r>
    </w:p>
    <w:p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3000" w:rsidRPr="00B233F4">
        <w:tc>
          <w:tcPr>
            <w:tcW w:w="4818" w:type="dxa"/>
          </w:tcPr>
          <w:p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(: Dr. </w:t>
            </w:r>
            <w:proofErr w:type="spellStart"/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Károlyi Ákos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:rsidR="00673000" w:rsidRPr="00B233F4" w:rsidRDefault="00673000">
      <w:pPr>
        <w:rPr>
          <w:rFonts w:asciiTheme="minorHAnsi" w:hAnsiTheme="minorHAnsi" w:cstheme="minorHAnsi"/>
          <w:sz w:val="22"/>
          <w:szCs w:val="22"/>
        </w:rPr>
      </w:pPr>
    </w:p>
    <w:sectPr w:rsidR="00673000" w:rsidRPr="00B233F4" w:rsidSect="00B233F4">
      <w:footerReference w:type="default" r:id="rId7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233F4">
      <w:r>
        <w:separator/>
      </w:r>
    </w:p>
  </w:endnote>
  <w:endnote w:type="continuationSeparator" w:id="0">
    <w:p w:rsidR="00000000" w:rsidRDefault="00B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000" w:rsidRDefault="00B233F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233F4">
      <w:r>
        <w:separator/>
      </w:r>
    </w:p>
  </w:footnote>
  <w:footnote w:type="continuationSeparator" w:id="0">
    <w:p w:rsidR="00000000" w:rsidRDefault="00B2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166"/>
    <w:multiLevelType w:val="multilevel"/>
    <w:tmpl w:val="305EF73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25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00"/>
    <w:rsid w:val="00673000"/>
    <w:rsid w:val="00B2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8F3B"/>
  <w15:docId w15:val="{6BB8E2E2-D0DB-4DCA-828F-227468E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Szalai Gergő dr.</cp:lastModifiedBy>
  <cp:revision>2</cp:revision>
  <dcterms:created xsi:type="dcterms:W3CDTF">2023-05-11T10:35:00Z</dcterms:created>
  <dcterms:modified xsi:type="dcterms:W3CDTF">2023-05-11T10:35:00Z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