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C7D716" w14:textId="77777777" w:rsidR="0010048B" w:rsidRPr="00731E32" w:rsidRDefault="0010048B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612D9C5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24/2023. (V.22.) BKKB számú határozat</w:t>
      </w:r>
    </w:p>
    <w:p w14:paraId="7C3939B9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</w:p>
    <w:p w14:paraId="3A686246" w14:textId="7AEB7201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az önkormányzat 2023. évi költségvetéséről szóló 4/2023. (II.28.) önkormányzati rendelet módosításáról szóló rendelettervezetet az előterjesztésben foglaltak szerint a Közgyűlésnek elfogadásra javasolja.</w:t>
      </w:r>
    </w:p>
    <w:p w14:paraId="518ED8D7" w14:textId="77777777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19FE5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50014B1" w14:textId="77777777" w:rsidR="000E4DA8" w:rsidRPr="00731E32" w:rsidRDefault="000E4DA8" w:rsidP="000E4DA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F26B7EB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B6AA89D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5D3346D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628F0593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3D5B949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E4DA8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504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2023-05-23T11:23:00Z</dcterms:modified>
</cp:coreProperties>
</file>