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E9A" w14:textId="77777777" w:rsidR="001872C6" w:rsidRPr="00A011D1" w:rsidRDefault="001872C6" w:rsidP="001872C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103/2023. (IV.24.) GJB számú határozat</w:t>
      </w:r>
    </w:p>
    <w:p w14:paraId="261DBA20" w14:textId="77777777" w:rsidR="001872C6" w:rsidRPr="00A011D1" w:rsidRDefault="001872C6" w:rsidP="001872C6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5D7A2F99" w14:textId="77777777" w:rsidR="001872C6" w:rsidRPr="00A011D1" w:rsidRDefault="001872C6" w:rsidP="001872C6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A011D1">
        <w:rPr>
          <w:rFonts w:asciiTheme="minorHAnsi" w:hAnsiTheme="minorHAnsi" w:cstheme="minorHAnsi"/>
          <w:spacing w:val="-3"/>
          <w:szCs w:val="22"/>
        </w:rPr>
        <w:t xml:space="preserve">A </w:t>
      </w:r>
      <w:r w:rsidRPr="00A011D1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7. pontja</w:t>
      </w:r>
      <w:r w:rsidRPr="00A011D1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A011D1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A011D1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A011D1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A011D1">
        <w:rPr>
          <w:rFonts w:ascii="Calibri" w:eastAsia="Calibri" w:hAnsi="Calibri" w:cs="Calibri"/>
          <w:szCs w:val="22"/>
          <w:lang w:eastAsia="en-US"/>
        </w:rPr>
        <w:t>szombathelyi 6475/A/1 hrsz.-ú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Szombathely, Thököly u. 36. szám alatt található, üzlethelyiség megnevezésű, társasházi külön tulajdonú ingatlan vonatkozásában a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2023. április 6. napján kelt adásvételi szerződésben foglalt feltételekkel – 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A011D1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A011D1">
        <w:rPr>
          <w:rFonts w:ascii="Calibri" w:eastAsia="Calibri" w:hAnsi="Calibri" w:cs="Calibri"/>
          <w:szCs w:val="22"/>
          <w:lang w:eastAsia="en-US"/>
        </w:rPr>
        <w:t>. 7. § (2) bekezdés b) és 17. § d) pontjai, valamint a HÉSZ 62. § (7) bekezdése alapján „</w:t>
      </w:r>
      <w:r w:rsidRPr="00A011D1">
        <w:rPr>
          <w:rFonts w:ascii="Calibri" w:hAnsi="Calibri" w:cs="Calibri"/>
          <w:szCs w:val="22"/>
        </w:rPr>
        <w:t>megőrzésre érdemes építészeti, régészeti örökség védelme, felújítása, továbbfejlesztése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” céljából fennálló –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A011D1">
        <w:rPr>
          <w:rFonts w:ascii="Calibri" w:eastAsia="Calibri" w:hAnsi="Calibri" w:cs="Calibri"/>
          <w:szCs w:val="22"/>
          <w:lang w:eastAsia="en-US"/>
        </w:rPr>
        <w:t>ne éljen.</w:t>
      </w:r>
    </w:p>
    <w:p w14:paraId="3380DAFC" w14:textId="77777777" w:rsidR="001872C6" w:rsidRPr="00A011D1" w:rsidRDefault="001872C6" w:rsidP="001872C6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715DC1F9" w14:textId="77777777" w:rsidR="001872C6" w:rsidRPr="00A011D1" w:rsidRDefault="001872C6" w:rsidP="001872C6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A011D1">
        <w:rPr>
          <w:rFonts w:asciiTheme="minorHAnsi" w:hAnsiTheme="minorHAnsi" w:cstheme="minorHAnsi"/>
          <w:szCs w:val="22"/>
        </w:rPr>
        <w:t>Nemény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András polgármester</w:t>
      </w:r>
    </w:p>
    <w:p w14:paraId="34E751C9" w14:textId="77777777" w:rsidR="001872C6" w:rsidRPr="00A011D1" w:rsidRDefault="001872C6" w:rsidP="001872C6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9396E41" w14:textId="77777777" w:rsidR="001872C6" w:rsidRPr="00A011D1" w:rsidRDefault="001872C6" w:rsidP="001872C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B476C1D" w14:textId="77777777" w:rsidR="001872C6" w:rsidRPr="00A011D1" w:rsidRDefault="001872C6" w:rsidP="001872C6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A011D1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E0B465D" w14:textId="77777777" w:rsidR="001872C6" w:rsidRPr="00A011D1" w:rsidRDefault="001872C6" w:rsidP="001872C6">
      <w:pPr>
        <w:jc w:val="both"/>
        <w:rPr>
          <w:rFonts w:asciiTheme="minorHAnsi" w:hAnsiTheme="minorHAnsi" w:cstheme="minorHAnsi"/>
          <w:szCs w:val="22"/>
        </w:rPr>
      </w:pPr>
    </w:p>
    <w:p w14:paraId="31972F9C" w14:textId="77777777" w:rsidR="001872C6" w:rsidRPr="00A011D1" w:rsidRDefault="001872C6" w:rsidP="001872C6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100A34A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C6"/>
    <w:rsid w:val="001872C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5377"/>
  <w15:chartTrackingRefBased/>
  <w15:docId w15:val="{431914EE-14CD-41FD-862E-E9E6DCF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72C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08CF7-6982-4C6C-AF5B-C6BC8B00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2002C-EA27-46A0-90C5-5948435F9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B94E-9D7B-47F1-8723-88D2366F9B0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