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13F2" w14:textId="77777777" w:rsidR="00711BE3" w:rsidRPr="009E6459" w:rsidRDefault="00711BE3" w:rsidP="00711BE3">
      <w:pPr>
        <w:rPr>
          <w:rFonts w:asciiTheme="minorHAnsi" w:hAnsiTheme="minorHAnsi" w:cstheme="minorHAnsi"/>
          <w:szCs w:val="22"/>
        </w:rPr>
      </w:pPr>
    </w:p>
    <w:p w14:paraId="1C4F1457" w14:textId="77777777" w:rsidR="00711BE3" w:rsidRPr="009E6459" w:rsidRDefault="00711BE3" w:rsidP="00711B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75/2023. (III.27.) GJB számú határozat</w:t>
      </w:r>
    </w:p>
    <w:p w14:paraId="20CC16E3" w14:textId="77777777" w:rsidR="00711BE3" w:rsidRPr="009E6459" w:rsidRDefault="00711BE3" w:rsidP="00711B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096CEAB" w14:textId="77777777" w:rsidR="00711BE3" w:rsidRPr="009E6459" w:rsidRDefault="00711BE3" w:rsidP="00711BE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utak, parkolók, közterületek fejlesztésével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2021-2027 Európai Uniós ciklus programdokumentumainak tervezetei értelmében a Terület- és Településfejlesztési Operatív Program Plusszal kapcsolatos döntések meghozataláról szóló I. határozati javaslatot az előterjesztésben foglaltak szerint javasolja a Közgyűlésnek elfogadásra.</w:t>
      </w:r>
    </w:p>
    <w:p w14:paraId="4483458C" w14:textId="77777777" w:rsidR="00711BE3" w:rsidRPr="009E6459" w:rsidRDefault="00711BE3" w:rsidP="00711BE3">
      <w:pPr>
        <w:jc w:val="both"/>
        <w:rPr>
          <w:rFonts w:asciiTheme="minorHAnsi" w:hAnsiTheme="minorHAnsi" w:cstheme="minorHAnsi"/>
          <w:bCs/>
          <w:szCs w:val="22"/>
        </w:rPr>
      </w:pPr>
    </w:p>
    <w:p w14:paraId="7B0FD403" w14:textId="77777777" w:rsidR="00711BE3" w:rsidRPr="009E6459" w:rsidRDefault="00711BE3" w:rsidP="00711BE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457439" w14:textId="77777777" w:rsidR="00711BE3" w:rsidRPr="009E6459" w:rsidRDefault="00711BE3" w:rsidP="00711BE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886F5E" w14:textId="77777777" w:rsidR="00711BE3" w:rsidRPr="009E6459" w:rsidRDefault="00711BE3" w:rsidP="00711BE3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55255FFC" w14:textId="77777777" w:rsidR="00711BE3" w:rsidRPr="009E6459" w:rsidRDefault="00711BE3" w:rsidP="00711BE3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ab/>
        <w:t>Kalmár Ervin, a Városüzemeltetési Osztály vezetője,</w:t>
      </w:r>
    </w:p>
    <w:p w14:paraId="15E02389" w14:textId="77777777" w:rsidR="00711BE3" w:rsidRPr="009E6459" w:rsidRDefault="00711BE3" w:rsidP="00711BE3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ab/>
      </w: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vezetője/</w:t>
      </w:r>
    </w:p>
    <w:p w14:paraId="52C00234" w14:textId="77777777" w:rsidR="00711BE3" w:rsidRPr="009E6459" w:rsidRDefault="00711BE3" w:rsidP="00711BE3">
      <w:pPr>
        <w:jc w:val="both"/>
        <w:rPr>
          <w:rFonts w:asciiTheme="minorHAnsi" w:hAnsiTheme="minorHAnsi" w:cstheme="minorHAnsi"/>
          <w:bCs/>
          <w:szCs w:val="22"/>
        </w:rPr>
      </w:pPr>
    </w:p>
    <w:p w14:paraId="2B217104" w14:textId="77777777" w:rsidR="00711BE3" w:rsidRPr="009E6459" w:rsidRDefault="00711BE3" w:rsidP="00711BE3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3CF95E0D" w14:textId="77777777" w:rsidR="00711BE3" w:rsidRPr="009E6459" w:rsidRDefault="00711BE3" w:rsidP="00711BE3">
      <w:pPr>
        <w:rPr>
          <w:rFonts w:asciiTheme="minorHAnsi" w:hAnsiTheme="minorHAnsi" w:cstheme="minorHAnsi"/>
          <w:szCs w:val="22"/>
        </w:rPr>
      </w:pPr>
    </w:p>
    <w:p w14:paraId="0CF7CF2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E3"/>
    <w:rsid w:val="00711BE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AAF3"/>
  <w15:chartTrackingRefBased/>
  <w15:docId w15:val="{E535EF1A-057A-4177-914E-F34608B5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BE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EB48B-4EE9-491E-A4BA-F27D42ACE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8FACE5-DFAD-4059-A7BF-32D0CD4F3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AFA80-2193-474C-AACE-F46B519D6513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