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52AC3B2E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081</w:t>
      </w:r>
      <w:r w:rsidR="00131BAB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9F3109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703ABF78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9F3109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3C1AD4C9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A4B">
        <w:rPr>
          <w:rFonts w:asciiTheme="minorHAnsi" w:hAnsiTheme="minorHAnsi" w:cstheme="minorHAnsi"/>
          <w:b/>
          <w:sz w:val="22"/>
          <w:szCs w:val="22"/>
        </w:rPr>
        <w:t>6248/4/A/4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CD5A4B">
        <w:rPr>
          <w:rFonts w:asciiTheme="minorHAnsi" w:hAnsiTheme="minorHAnsi" w:cstheme="minorHAnsi"/>
          <w:b/>
          <w:sz w:val="22"/>
          <w:szCs w:val="22"/>
        </w:rPr>
        <w:t>Fő tér 24. fszt. 3.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 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5830A90B" w:rsidR="006A6573" w:rsidRPr="003D1540" w:rsidRDefault="00CD5A4B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774E4A0B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>Fő tér 24. fszt. 3.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 xml:space="preserve"> (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6248/4/A/4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6A43E7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65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5D303989" w:rsidR="00837B43" w:rsidRPr="003D1540" w:rsidRDefault="00837B43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üzlethelyiség tégla szerkezetű társasház földszintjén helyezkedik el, amelynek építése az 1900-as évek elejére tehető. A helyiség 2000-es években felújításra került, műszaki állapota jó. Víz, villany, klíma van az ingatlanban. Fűtése saját kazánnal megoldott. Burkolata: járólapos és laminált padlós. Fa és műanyag szerkezetű nyílászárókkal ellátott. </w:t>
      </w:r>
      <w:r w:rsidR="002D68B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 ruházati termék eladási funkciót tölt be.</w:t>
      </w:r>
    </w:p>
    <w:p w14:paraId="4A27F220" w14:textId="127E65B8" w:rsidR="00EA283C" w:rsidRPr="003D1540" w:rsidRDefault="00EA283C" w:rsidP="00EA283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B86C15E" w14:textId="57E34DD7" w:rsidR="007116B7" w:rsidRPr="003D1540" w:rsidRDefault="007116B7" w:rsidP="007116B7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="00CD5A4B">
        <w:rPr>
          <w:rFonts w:asciiTheme="minorHAnsi" w:hAnsiTheme="minorHAnsi" w:cstheme="minorHAnsi"/>
          <w:sz w:val="22"/>
          <w:szCs w:val="22"/>
          <w:u w:val="none"/>
        </w:rPr>
        <w:t>2028. 04. 05.</w:t>
      </w:r>
    </w:p>
    <w:p w14:paraId="161111FF" w14:textId="7965B50E" w:rsidR="007116B7" w:rsidRPr="003D1540" w:rsidRDefault="0009568E" w:rsidP="00EA283C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CD5A4B">
        <w:rPr>
          <w:rFonts w:asciiTheme="minorHAnsi" w:hAnsiTheme="minorHAnsi" w:cstheme="minorHAnsi"/>
          <w:sz w:val="22"/>
          <w:szCs w:val="22"/>
          <w:u w:val="none"/>
        </w:rPr>
        <w:t>322.835</w:t>
      </w:r>
      <w:r w:rsidR="007116B7"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594EAA57" w14:textId="6289583A" w:rsidR="00756EBD" w:rsidRPr="003D1540" w:rsidRDefault="00896D48" w:rsidP="00A35F1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E84797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756EBD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pályázónak vállalnia kell, hogy a bérlő részére változatlan feltételekkel biztosítja az ingatlan használatát bérleti jogviszony keretében.</w:t>
      </w:r>
      <w:r w:rsidR="00756EBD"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4BD2CA9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421A92">
        <w:rPr>
          <w:rFonts w:asciiTheme="minorHAnsi" w:hAnsiTheme="minorHAnsi" w:cstheme="minorHAnsi"/>
          <w:b/>
          <w:bCs/>
          <w:sz w:val="22"/>
          <w:szCs w:val="22"/>
        </w:rPr>
        <w:t>45.000.000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2E4CC6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1A92">
        <w:rPr>
          <w:rFonts w:asciiTheme="minorHAnsi" w:hAnsiTheme="minorHAnsi" w:cstheme="minorHAnsi"/>
          <w:b/>
          <w:bCs/>
          <w:sz w:val="22"/>
          <w:szCs w:val="22"/>
        </w:rPr>
        <w:t>57.150.000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765240BF" w14:textId="77777777" w:rsidR="00120177" w:rsidRPr="00120177" w:rsidRDefault="00A81A1D" w:rsidP="00E2252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567"/>
        <w:rPr>
          <w:rFonts w:asciiTheme="minorHAnsi" w:hAnsiTheme="minorHAnsi" w:cstheme="minorHAnsi"/>
          <w:b/>
          <w:sz w:val="22"/>
          <w:szCs w:val="22"/>
        </w:rPr>
      </w:pPr>
      <w:r w:rsidRPr="00120177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D24949" w:rsidR="00146628" w:rsidRPr="00120177" w:rsidRDefault="00146628" w:rsidP="00120177">
      <w:pPr>
        <w:pStyle w:val="Szvegtrzs3"/>
        <w:ind w:left="207"/>
        <w:rPr>
          <w:rFonts w:asciiTheme="minorHAnsi" w:hAnsiTheme="minorHAnsi" w:cstheme="minorHAnsi"/>
          <w:b/>
          <w:sz w:val="22"/>
          <w:szCs w:val="22"/>
        </w:rPr>
      </w:pPr>
      <w:r w:rsidRPr="001201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C99F6C1" w14:textId="77777777" w:rsidR="00691B7C" w:rsidRPr="003D1540" w:rsidRDefault="00691B7C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F1B2DC9" w14:textId="4F8BD6C4" w:rsidR="0055351B" w:rsidRPr="003D1540" w:rsidRDefault="0055351B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</w:t>
      </w:r>
      <w:r w:rsidR="00047715" w:rsidRPr="003D1540">
        <w:rPr>
          <w:rFonts w:asciiTheme="minorHAnsi" w:hAnsiTheme="minorHAnsi" w:cstheme="minorHAnsi"/>
          <w:bCs/>
          <w:sz w:val="22"/>
          <w:szCs w:val="22"/>
        </w:rPr>
        <w:t xml:space="preserve"> fenntartja</w:t>
      </w:r>
      <w:r w:rsidRPr="003D1540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7A3A4822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421A92">
        <w:rPr>
          <w:rFonts w:asciiTheme="minorHAnsi" w:hAnsiTheme="minorHAnsi" w:cstheme="minorHAnsi"/>
          <w:b/>
          <w:bCs/>
          <w:sz w:val="22"/>
          <w:szCs w:val="22"/>
        </w:rPr>
        <w:t>5.715.000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CD5A4B">
        <w:rPr>
          <w:rFonts w:asciiTheme="minorHAnsi" w:hAnsiTheme="minorHAnsi" w:cstheme="minorHAnsi"/>
          <w:b/>
          <w:bCs/>
          <w:sz w:val="22"/>
          <w:szCs w:val="22"/>
        </w:rPr>
        <w:t>ötmillió-</w:t>
      </w:r>
      <w:r w:rsidR="00421A92">
        <w:rPr>
          <w:rFonts w:asciiTheme="minorHAnsi" w:hAnsiTheme="minorHAnsi" w:cstheme="minorHAnsi"/>
          <w:b/>
          <w:bCs/>
          <w:sz w:val="22"/>
          <w:szCs w:val="22"/>
        </w:rPr>
        <w:t>hétszáztizenötezer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E93A445" w14:textId="0B6309C0" w:rsidR="00120177" w:rsidRPr="002C7E0A" w:rsidRDefault="00120177" w:rsidP="0012017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9F3109">
        <w:rPr>
          <w:rFonts w:asciiTheme="minorHAnsi" w:hAnsiTheme="minorHAnsi" w:cstheme="minorHAnsi"/>
          <w:b/>
          <w:sz w:val="22"/>
          <w:szCs w:val="22"/>
        </w:rPr>
        <w:t>május 2-án 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21119B53" w14:textId="77777777" w:rsidR="00120177" w:rsidRPr="00FC0E5B" w:rsidRDefault="00120177" w:rsidP="00120177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köteles az eredeti példányt „eredeti” felírással megjelölni. Ha a több példányban benyújtott ajánlat között eltérés van, úgy az eredeti az irányadó.</w:t>
      </w:r>
    </w:p>
    <w:p w14:paraId="3B8071BB" w14:textId="490F35C4" w:rsidR="00120177" w:rsidRPr="00FC0E5B" w:rsidRDefault="00120177" w:rsidP="001201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120177">
        <w:rPr>
          <w:rFonts w:asciiTheme="minorHAnsi" w:hAnsiTheme="minorHAnsi" w:cstheme="minorHAnsi"/>
          <w:b/>
          <w:sz w:val="22"/>
          <w:szCs w:val="22"/>
        </w:rPr>
        <w:t>Szombathely, Fő tér 24. fszt. 3.”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4997DDB6" w14:textId="77777777" w:rsidR="00120177" w:rsidRPr="003D1540" w:rsidRDefault="00120177" w:rsidP="00120177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9F5358E" w14:textId="77777777" w:rsidR="00556F22" w:rsidRPr="003D1540" w:rsidRDefault="00556F22" w:rsidP="00120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E79A8" w14:textId="7179B07F" w:rsidR="00120177" w:rsidRDefault="00120177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6474DCB0" w14:textId="104F9D35" w:rsidR="00120177" w:rsidRDefault="00120177" w:rsidP="00120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C6C3E5" w14:textId="77777777" w:rsidR="00120177" w:rsidRPr="00FC0E5B" w:rsidRDefault="00120177" w:rsidP="00120177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6255F4FE" w14:textId="77777777" w:rsidR="00120177" w:rsidRPr="007926C3" w:rsidRDefault="00120177" w:rsidP="0012017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6A49515" w14:textId="77777777" w:rsidR="00120177" w:rsidRPr="00FC0E5B" w:rsidRDefault="00120177" w:rsidP="00120177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42F8142E" w14:textId="77777777" w:rsidR="00120177" w:rsidRPr="00FC0E5B" w:rsidRDefault="00120177" w:rsidP="00120177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422B027A" w14:textId="7F138FF2" w:rsidR="00120177" w:rsidRPr="00FC0E5B" w:rsidRDefault="00120177" w:rsidP="00120177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FD0E58">
        <w:rPr>
          <w:rFonts w:asciiTheme="minorHAnsi" w:hAnsiTheme="minorHAnsi" w:cstheme="minorHAnsi"/>
          <w:sz w:val="22"/>
          <w:szCs w:val="22"/>
        </w:rPr>
        <w:t>legkésőbb 2023. június 30.</w:t>
      </w:r>
      <w:r w:rsidRPr="00FC0E5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070ACD07" w14:textId="77777777" w:rsidR="00120177" w:rsidRPr="00FC0E5B" w:rsidRDefault="00120177" w:rsidP="00120177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44683CB1" w14:textId="77777777" w:rsidR="00120177" w:rsidRDefault="00120177" w:rsidP="00120177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6DED2026" w14:textId="77777777" w:rsidR="00120177" w:rsidRPr="0060434D" w:rsidRDefault="00120177" w:rsidP="00120177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3CF74771" w14:textId="77777777" w:rsidR="00120177" w:rsidRPr="00277391" w:rsidRDefault="00120177" w:rsidP="00120177">
      <w:pPr>
        <w:rPr>
          <w:rFonts w:asciiTheme="minorHAnsi" w:hAnsiTheme="minorHAnsi" w:cstheme="minorHAnsi"/>
          <w:sz w:val="22"/>
          <w:szCs w:val="22"/>
        </w:rPr>
      </w:pPr>
    </w:p>
    <w:p w14:paraId="757C9AC8" w14:textId="77777777" w:rsidR="00120177" w:rsidRDefault="00120177" w:rsidP="00120177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484AD79A" w14:textId="77777777" w:rsidR="00120177" w:rsidRPr="00A13C4E" w:rsidRDefault="00120177" w:rsidP="0012017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3E0CFA" w14:textId="77777777" w:rsidR="00120177" w:rsidRPr="00A13C4E" w:rsidRDefault="00120177" w:rsidP="00120177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984D173" w14:textId="77777777" w:rsidR="00120177" w:rsidRPr="003D1540" w:rsidRDefault="00120177" w:rsidP="0012017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376401B8" w14:textId="77777777" w:rsidR="00120177" w:rsidRPr="003D1540" w:rsidRDefault="00120177" w:rsidP="0012017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12A2BAA0" w14:textId="77777777" w:rsidR="00120177" w:rsidRDefault="00120177" w:rsidP="0012017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07DE4A3F" w14:textId="77777777" w:rsidR="00120177" w:rsidRDefault="00120177" w:rsidP="0012017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D2F640" w14:textId="77777777" w:rsidR="00120177" w:rsidRPr="00A13C4E" w:rsidRDefault="00120177" w:rsidP="00120177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93DEB43" w14:textId="77777777" w:rsidR="00120177" w:rsidRPr="003D1540" w:rsidRDefault="00120177" w:rsidP="00120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7467A" w14:textId="77777777" w:rsidR="00120177" w:rsidRPr="00A13C4E" w:rsidRDefault="00120177" w:rsidP="00120177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70B58525" w14:textId="77777777" w:rsidR="00120177" w:rsidRDefault="00120177" w:rsidP="00120177">
      <w:pPr>
        <w:pStyle w:val="Listaszerbekezds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36AB927D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027C71A3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14590FDC" w:rsidR="00B359D6" w:rsidRPr="009260D6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0D6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B63FF" w:rsidRPr="009260D6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9260D6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9260D6">
        <w:rPr>
          <w:rFonts w:asciiTheme="minorHAnsi" w:hAnsiTheme="minorHAnsi" w:cstheme="minorHAnsi"/>
          <w:sz w:val="22"/>
          <w:szCs w:val="22"/>
        </w:rPr>
        <w:t xml:space="preserve"> (Tel.: 94/522-942, 94/522-943, 94/522-944) </w:t>
      </w:r>
      <w:r w:rsidRPr="009260D6">
        <w:rPr>
          <w:rFonts w:asciiTheme="minorHAnsi" w:hAnsiTheme="minorHAnsi" w:cstheme="minorHAnsi"/>
          <w:sz w:val="22"/>
          <w:szCs w:val="22"/>
        </w:rPr>
        <w:t xml:space="preserve"> bérleménykezelőivel </w:t>
      </w:r>
      <w:r w:rsidR="00D70B15" w:rsidRPr="009260D6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1A133C10" w14:textId="7E9163C4" w:rsidR="00D70B15" w:rsidRPr="009260D6" w:rsidRDefault="009260D6" w:rsidP="009260D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260D6">
        <w:rPr>
          <w:rFonts w:asciiTheme="minorHAnsi" w:hAnsiTheme="minorHAnsi" w:cstheme="minorHAnsi"/>
          <w:sz w:val="22"/>
          <w:szCs w:val="22"/>
        </w:rPr>
        <w:t>2023. április 5. 14:00 – 15:00</w:t>
      </w:r>
    </w:p>
    <w:p w14:paraId="6F77148F" w14:textId="465C9B86" w:rsidR="009260D6" w:rsidRPr="00D70B15" w:rsidRDefault="009260D6" w:rsidP="009260D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260D6">
        <w:rPr>
          <w:rFonts w:asciiTheme="minorHAnsi" w:hAnsiTheme="minorHAnsi" w:cstheme="minorHAnsi"/>
          <w:sz w:val="22"/>
          <w:szCs w:val="22"/>
        </w:rPr>
        <w:t>2023. április 26. 14:00 – 15:00</w:t>
      </w:r>
    </w:p>
    <w:p w14:paraId="0671DBE4" w14:textId="77777777" w:rsidR="00D70B15" w:rsidRPr="003D1540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E5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E5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356784381">
    <w:abstractNumId w:val="4"/>
  </w:num>
  <w:num w:numId="2" w16cid:durableId="1287540861">
    <w:abstractNumId w:val="6"/>
  </w:num>
  <w:num w:numId="3" w16cid:durableId="1025598070">
    <w:abstractNumId w:val="7"/>
  </w:num>
  <w:num w:numId="4" w16cid:durableId="431711195">
    <w:abstractNumId w:val="11"/>
  </w:num>
  <w:num w:numId="5" w16cid:durableId="1481844784">
    <w:abstractNumId w:val="5"/>
  </w:num>
  <w:num w:numId="6" w16cid:durableId="1466317021">
    <w:abstractNumId w:val="1"/>
  </w:num>
  <w:num w:numId="7" w16cid:durableId="52055467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0233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528118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0350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9406802">
    <w:abstractNumId w:val="8"/>
  </w:num>
  <w:num w:numId="12" w16cid:durableId="1619798518">
    <w:abstractNumId w:val="0"/>
  </w:num>
  <w:num w:numId="13" w16cid:durableId="858929721">
    <w:abstractNumId w:val="10"/>
  </w:num>
  <w:num w:numId="14" w16cid:durableId="1787893359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A4967"/>
    <w:rsid w:val="000B5E14"/>
    <w:rsid w:val="000B74F5"/>
    <w:rsid w:val="000C7E06"/>
    <w:rsid w:val="000D5554"/>
    <w:rsid w:val="00100A10"/>
    <w:rsid w:val="0010530A"/>
    <w:rsid w:val="00114AF7"/>
    <w:rsid w:val="00120177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A7D70"/>
    <w:rsid w:val="002B0CB8"/>
    <w:rsid w:val="002B1B8A"/>
    <w:rsid w:val="002B2051"/>
    <w:rsid w:val="002B671B"/>
    <w:rsid w:val="002C2437"/>
    <w:rsid w:val="002C51D7"/>
    <w:rsid w:val="002D68B1"/>
    <w:rsid w:val="002E2F5B"/>
    <w:rsid w:val="002E4CC6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5222B"/>
    <w:rsid w:val="00354DC0"/>
    <w:rsid w:val="00356256"/>
    <w:rsid w:val="00370E42"/>
    <w:rsid w:val="00374885"/>
    <w:rsid w:val="00375BF2"/>
    <w:rsid w:val="00387E79"/>
    <w:rsid w:val="003A4937"/>
    <w:rsid w:val="003B4511"/>
    <w:rsid w:val="003D1540"/>
    <w:rsid w:val="003D5344"/>
    <w:rsid w:val="004151CE"/>
    <w:rsid w:val="00420791"/>
    <w:rsid w:val="00421A92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4452"/>
    <w:rsid w:val="0055351B"/>
    <w:rsid w:val="00556F22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49F"/>
    <w:rsid w:val="006131FD"/>
    <w:rsid w:val="006134ED"/>
    <w:rsid w:val="00616346"/>
    <w:rsid w:val="0062616D"/>
    <w:rsid w:val="00644918"/>
    <w:rsid w:val="00672190"/>
    <w:rsid w:val="00673677"/>
    <w:rsid w:val="00675A86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568D"/>
    <w:rsid w:val="007860BA"/>
    <w:rsid w:val="007A1423"/>
    <w:rsid w:val="007A23AF"/>
    <w:rsid w:val="007A2879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E32"/>
    <w:rsid w:val="00896D48"/>
    <w:rsid w:val="008A4509"/>
    <w:rsid w:val="008B168A"/>
    <w:rsid w:val="008B19CD"/>
    <w:rsid w:val="008B1AF8"/>
    <w:rsid w:val="008B6337"/>
    <w:rsid w:val="008C0694"/>
    <w:rsid w:val="008F0227"/>
    <w:rsid w:val="008F6C05"/>
    <w:rsid w:val="00910845"/>
    <w:rsid w:val="0091399F"/>
    <w:rsid w:val="00916BF6"/>
    <w:rsid w:val="009260D6"/>
    <w:rsid w:val="009348EA"/>
    <w:rsid w:val="00936350"/>
    <w:rsid w:val="0096279B"/>
    <w:rsid w:val="00976A2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9F3109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A1CCC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24049"/>
    <w:rsid w:val="00B32597"/>
    <w:rsid w:val="00B359D6"/>
    <w:rsid w:val="00B35D6B"/>
    <w:rsid w:val="00B50609"/>
    <w:rsid w:val="00B52E30"/>
    <w:rsid w:val="00B610E8"/>
    <w:rsid w:val="00B65F30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407CB"/>
    <w:rsid w:val="00C45018"/>
    <w:rsid w:val="00C57801"/>
    <w:rsid w:val="00C6699E"/>
    <w:rsid w:val="00C71F59"/>
    <w:rsid w:val="00C869B9"/>
    <w:rsid w:val="00C90C7F"/>
    <w:rsid w:val="00CA53EB"/>
    <w:rsid w:val="00CA65DF"/>
    <w:rsid w:val="00CB63FF"/>
    <w:rsid w:val="00CB7CAA"/>
    <w:rsid w:val="00CC1156"/>
    <w:rsid w:val="00CC7A4A"/>
    <w:rsid w:val="00CD1ABE"/>
    <w:rsid w:val="00CD5A4B"/>
    <w:rsid w:val="00CE5669"/>
    <w:rsid w:val="00CE6162"/>
    <w:rsid w:val="00CF60D4"/>
    <w:rsid w:val="00CF6755"/>
    <w:rsid w:val="00D00114"/>
    <w:rsid w:val="00D039BF"/>
    <w:rsid w:val="00D05F3E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C5280"/>
    <w:rsid w:val="00DC5DA4"/>
    <w:rsid w:val="00DD0787"/>
    <w:rsid w:val="00DD1F50"/>
    <w:rsid w:val="00DF09A9"/>
    <w:rsid w:val="00E02E5E"/>
    <w:rsid w:val="00E175E8"/>
    <w:rsid w:val="00E21FC4"/>
    <w:rsid w:val="00E30D6E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79AF"/>
    <w:rsid w:val="00F45A45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0E58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20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D8DA2-FEF5-436C-9300-74D47679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1324</Words>
  <Characters>9030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15</cp:revision>
  <cp:lastPrinted>2022-04-27T07:00:00Z</cp:lastPrinted>
  <dcterms:created xsi:type="dcterms:W3CDTF">2023-03-08T09:28:00Z</dcterms:created>
  <dcterms:modified xsi:type="dcterms:W3CDTF">2023-03-23T09:38:00Z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