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753B4" w14:textId="77777777" w:rsidR="004E0286" w:rsidRPr="003B7A0B" w:rsidRDefault="004E0286" w:rsidP="00AB22F0">
      <w:pPr>
        <w:spacing w:after="0" w:line="276" w:lineRule="auto"/>
        <w:jc w:val="center"/>
        <w:rPr>
          <w:rFonts w:eastAsia="Calibri" w:cstheme="minorHAnsi"/>
          <w:b/>
          <w:spacing w:val="20"/>
        </w:rPr>
      </w:pPr>
    </w:p>
    <w:p w14:paraId="7940D8C8" w14:textId="77777777" w:rsidR="00B52057" w:rsidRPr="003B7A0B" w:rsidRDefault="00B52057" w:rsidP="00AB22F0">
      <w:pPr>
        <w:spacing w:after="0" w:line="276" w:lineRule="auto"/>
        <w:jc w:val="center"/>
        <w:rPr>
          <w:rFonts w:eastAsia="Calibri" w:cstheme="minorHAnsi"/>
          <w:b/>
          <w:spacing w:val="20"/>
        </w:rPr>
      </w:pPr>
      <w:r w:rsidRPr="003B7A0B">
        <w:rPr>
          <w:rFonts w:eastAsia="Calibri" w:cstheme="minorHAnsi"/>
          <w:b/>
          <w:spacing w:val="20"/>
        </w:rPr>
        <w:t>INDOKOLÁS</w:t>
      </w:r>
    </w:p>
    <w:p w14:paraId="5CFAF695" w14:textId="5DFEC4B3" w:rsidR="00AB22F0" w:rsidRDefault="005400F7" w:rsidP="00AB22F0">
      <w:pPr>
        <w:spacing w:after="0"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a temetőkről és a temetkezés rendjéről szóló önkormányzati rendelethez</w:t>
      </w:r>
    </w:p>
    <w:p w14:paraId="7A1B0181" w14:textId="77777777" w:rsidR="005400F7" w:rsidRPr="003B7A0B" w:rsidRDefault="005400F7" w:rsidP="00AB22F0">
      <w:pPr>
        <w:spacing w:after="0" w:line="276" w:lineRule="auto"/>
        <w:jc w:val="center"/>
        <w:rPr>
          <w:rFonts w:cstheme="minorHAnsi"/>
          <w:b/>
        </w:rPr>
      </w:pPr>
    </w:p>
    <w:p w14:paraId="629FE78F" w14:textId="77777777" w:rsidR="005400F7" w:rsidRPr="00A6286D" w:rsidRDefault="005400F7" w:rsidP="005400F7">
      <w:pPr>
        <w:spacing w:line="276" w:lineRule="auto"/>
        <w:jc w:val="both"/>
        <w:rPr>
          <w:rFonts w:cstheme="minorHAnsi"/>
          <w:iCs/>
        </w:rPr>
      </w:pPr>
      <w:r w:rsidRPr="004D5DDD">
        <w:rPr>
          <w:rFonts w:cstheme="minorHAnsi"/>
          <w:iCs/>
        </w:rPr>
        <w:t>A Vas Megyei Kormányhivatal 2022. november 25. napján megkereste az illetékességébe tartozó települési önkormányzatokat, hogy vizsgálják felül a hatályban lévő, a temetők üzemeltetését és temetkezést szabályozó önkormányzati rendeleteiket. Az ilyen rendeletek célvizsgálatának eredményeként a Kormányhivatal észrevételeket fogalmazott meg</w:t>
      </w:r>
      <w:r>
        <w:rPr>
          <w:rFonts w:cstheme="minorHAnsi"/>
          <w:iCs/>
        </w:rPr>
        <w:t xml:space="preserve">, melyek figyelembevételével megtörtént a </w:t>
      </w:r>
      <w:r w:rsidRPr="004D5DDD">
        <w:rPr>
          <w:rFonts w:cstheme="minorHAnsi"/>
          <w:iCs/>
        </w:rPr>
        <w:t>temetőkről és a temetkezés rendjéről</w:t>
      </w:r>
      <w:r>
        <w:rPr>
          <w:rFonts w:cstheme="minorHAnsi"/>
          <w:iCs/>
        </w:rPr>
        <w:t xml:space="preserve"> szóló </w:t>
      </w:r>
      <w:r w:rsidRPr="004D5DDD">
        <w:rPr>
          <w:rFonts w:cstheme="minorHAnsi"/>
          <w:iCs/>
        </w:rPr>
        <w:t>25/2000.(IX.28.) önkormányzati rendelet</w:t>
      </w:r>
      <w:r>
        <w:rPr>
          <w:rFonts w:cstheme="minorHAnsi"/>
          <w:iCs/>
        </w:rPr>
        <w:t xml:space="preserve"> felülvizsgálata annak érdekében, hogy az ne tartalmazzon magasabb szintű jogszabályokkal ellentétes, vagy azokat megismétlő rendelkezéseket. A módosításra kerülő rendelkezések nagy száma miatt, valamint annak érdekében, hogy a rendelet megfeleljen </w:t>
      </w:r>
      <w:r>
        <w:rPr>
          <w:rFonts w:cstheme="minorHAnsi"/>
        </w:rPr>
        <w:t xml:space="preserve">a </w:t>
      </w:r>
      <w:r w:rsidRPr="008F015D">
        <w:rPr>
          <w:rFonts w:cstheme="minorHAnsi"/>
        </w:rPr>
        <w:t xml:space="preserve">jogszabályszerkesztésről </w:t>
      </w:r>
      <w:r>
        <w:rPr>
          <w:rFonts w:cstheme="minorHAnsi"/>
        </w:rPr>
        <w:t xml:space="preserve">szóló </w:t>
      </w:r>
      <w:r w:rsidRPr="008F015D">
        <w:rPr>
          <w:rFonts w:cstheme="minorHAnsi"/>
        </w:rPr>
        <w:t>61/2009. (XII.14.) IRM rendelet</w:t>
      </w:r>
      <w:r>
        <w:rPr>
          <w:rFonts w:cstheme="minorHAnsi"/>
        </w:rPr>
        <w:t>nek, a rendelet hatályon kívül helyezése és új rendelet megalkotása szükséges.</w:t>
      </w:r>
    </w:p>
    <w:p w14:paraId="15D2F5B3" w14:textId="5B5B7F7A" w:rsidR="00B52057" w:rsidRDefault="00B52057" w:rsidP="00AB22F0">
      <w:pPr>
        <w:keepNext/>
        <w:spacing w:after="0" w:line="276" w:lineRule="auto"/>
        <w:jc w:val="center"/>
        <w:rPr>
          <w:rFonts w:eastAsia="Calibri" w:cstheme="minorHAnsi"/>
          <w:b/>
        </w:rPr>
      </w:pPr>
      <w:r w:rsidRPr="003B7A0B">
        <w:rPr>
          <w:rFonts w:eastAsia="Calibri" w:cstheme="minorHAnsi"/>
          <w:b/>
        </w:rPr>
        <w:t>1</w:t>
      </w:r>
      <w:r w:rsidR="005400F7">
        <w:rPr>
          <w:rFonts w:eastAsia="Calibri" w:cstheme="minorHAnsi"/>
          <w:b/>
        </w:rPr>
        <w:t>-3</w:t>
      </w:r>
      <w:r w:rsidRPr="003B7A0B">
        <w:rPr>
          <w:rFonts w:eastAsia="Calibri" w:cstheme="minorHAnsi"/>
          <w:b/>
        </w:rPr>
        <w:t>. §</w:t>
      </w:r>
    </w:p>
    <w:p w14:paraId="5B78D74C" w14:textId="54A5426C" w:rsidR="00790BD5" w:rsidRDefault="005400F7" w:rsidP="005400F7">
      <w:pPr>
        <w:keepNext/>
        <w:spacing w:after="0" w:line="276" w:lineRule="auto"/>
        <w:jc w:val="both"/>
        <w:rPr>
          <w:rFonts w:cstheme="minorHAnsi"/>
        </w:rPr>
      </w:pPr>
      <w:r>
        <w:rPr>
          <w:rFonts w:eastAsia="Calibri" w:cstheme="minorHAnsi"/>
          <w:bCs/>
        </w:rPr>
        <w:t xml:space="preserve">A város területén üzemelő, lezárt köztemetők és nem köztemetőnek minősülő felekezeti temetők felsorolását tartalmazza. </w:t>
      </w:r>
      <w:r>
        <w:rPr>
          <w:rFonts w:cstheme="minorHAnsi"/>
        </w:rPr>
        <w:t>A közgyűlési és bizottsági hatásköröket különíti el. A rendelet rögzíti továbbá, hogy a köztemetők fenntartásáról az önkormányzat kegyeleti közszolgáltatási szerződés útján gondoskodik.</w:t>
      </w:r>
    </w:p>
    <w:p w14:paraId="26DB31DB" w14:textId="4214716E" w:rsidR="005400F7" w:rsidRPr="005400F7" w:rsidRDefault="005400F7" w:rsidP="005400F7">
      <w:pPr>
        <w:spacing w:after="0" w:line="276" w:lineRule="auto"/>
        <w:jc w:val="both"/>
        <w:rPr>
          <w:rFonts w:cstheme="minorHAnsi"/>
        </w:rPr>
      </w:pPr>
    </w:p>
    <w:p w14:paraId="25505EC1" w14:textId="5E803C85" w:rsidR="005400F7" w:rsidRDefault="005400F7" w:rsidP="006F712E">
      <w:pPr>
        <w:spacing w:after="0" w:line="276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4-9. §</w:t>
      </w:r>
    </w:p>
    <w:p w14:paraId="789E9F3E" w14:textId="6B44C87E" w:rsidR="005400F7" w:rsidRDefault="005400F7" w:rsidP="005400F7">
      <w:pPr>
        <w:spacing w:after="0" w:line="276" w:lineRule="auto"/>
        <w:jc w:val="both"/>
        <w:rPr>
          <w:rFonts w:cstheme="minorHAnsi"/>
        </w:rPr>
      </w:pPr>
      <w:r w:rsidRPr="007A685C">
        <w:rPr>
          <w:rFonts w:cstheme="minorHAnsi"/>
        </w:rPr>
        <w:t>A temetkezési helyeket és részletes temetkezési szabályokat</w:t>
      </w:r>
      <w:r w:rsidR="007A685C" w:rsidRPr="007A685C">
        <w:rPr>
          <w:rFonts w:cstheme="minorHAnsi"/>
        </w:rPr>
        <w:t xml:space="preserve"> (rendelkezési jog, megváltás időtartama, újraváltás</w:t>
      </w:r>
      <w:r w:rsidR="00DC291E">
        <w:rPr>
          <w:rFonts w:cstheme="minorHAnsi"/>
        </w:rPr>
        <w:t xml:space="preserve"> stb.</w:t>
      </w:r>
      <w:r w:rsidR="007A685C" w:rsidRPr="007A685C">
        <w:rPr>
          <w:rFonts w:cstheme="minorHAnsi"/>
        </w:rPr>
        <w:t>)</w:t>
      </w:r>
      <w:r w:rsidRPr="007A685C">
        <w:rPr>
          <w:rFonts w:cstheme="minorHAnsi"/>
        </w:rPr>
        <w:t xml:space="preserve"> tartalmazza</w:t>
      </w:r>
      <w:r w:rsidR="007A685C">
        <w:rPr>
          <w:rFonts w:cstheme="minorHAnsi"/>
        </w:rPr>
        <w:t>.</w:t>
      </w:r>
    </w:p>
    <w:p w14:paraId="134B3238" w14:textId="77777777" w:rsidR="007A685C" w:rsidRPr="007A685C" w:rsidRDefault="007A685C" w:rsidP="005400F7">
      <w:pPr>
        <w:spacing w:after="0" w:line="276" w:lineRule="auto"/>
        <w:jc w:val="both"/>
        <w:rPr>
          <w:rFonts w:cstheme="minorHAnsi"/>
        </w:rPr>
      </w:pPr>
    </w:p>
    <w:p w14:paraId="509BE138" w14:textId="2CB1015D" w:rsidR="005400F7" w:rsidRDefault="007A685C" w:rsidP="006F712E">
      <w:pPr>
        <w:spacing w:after="0" w:line="276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10. §</w:t>
      </w:r>
    </w:p>
    <w:p w14:paraId="662D79E8" w14:textId="0D0D5294" w:rsidR="007A685C" w:rsidRPr="00066052" w:rsidRDefault="007A685C" w:rsidP="007A685C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6052">
        <w:rPr>
          <w:rFonts w:asciiTheme="minorHAnsi" w:hAnsiTheme="minorHAnsi" w:cstheme="minorHAnsi"/>
          <w:sz w:val="22"/>
          <w:szCs w:val="22"/>
        </w:rPr>
        <w:t>A polgármester díszsírhelyet, urnasírhelyet (a továbbiakban: díszsírhelyet) adományozhat azon elhunyt személyek részére, akik az ország, a vármegye, a város érdekében hosszú időn át kimagasló gazdasági, tudományos, művészeti, vagy társadalmi tevékenységet fejtettek ki.</w:t>
      </w:r>
      <w:r>
        <w:rPr>
          <w:rFonts w:asciiTheme="minorHAnsi" w:hAnsiTheme="minorHAnsi" w:cstheme="minorHAnsi"/>
          <w:sz w:val="22"/>
          <w:szCs w:val="22"/>
        </w:rPr>
        <w:t xml:space="preserve"> Az ezzel kapcsolatos szabályokat tartalmazza.</w:t>
      </w:r>
    </w:p>
    <w:p w14:paraId="7EBD820A" w14:textId="653BB14F" w:rsidR="005400F7" w:rsidRDefault="005400F7" w:rsidP="007A685C">
      <w:pPr>
        <w:spacing w:after="0" w:line="276" w:lineRule="auto"/>
        <w:rPr>
          <w:rFonts w:cstheme="minorHAnsi"/>
          <w:b/>
          <w:bCs/>
        </w:rPr>
      </w:pPr>
    </w:p>
    <w:p w14:paraId="4CF1A4D3" w14:textId="46D25467" w:rsidR="005400F7" w:rsidRDefault="005400F7" w:rsidP="006F712E">
      <w:pPr>
        <w:spacing w:after="0" w:line="276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11. §</w:t>
      </w:r>
    </w:p>
    <w:p w14:paraId="0DFCC6E4" w14:textId="58FF3986" w:rsidR="007A685C" w:rsidRDefault="007A685C" w:rsidP="007A685C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A temetőkről és a temetkezésről szóló 1999. évi XLIII. törvény</w:t>
      </w:r>
      <w:r w:rsidR="00E573D2">
        <w:rPr>
          <w:rFonts w:cstheme="minorHAnsi"/>
        </w:rPr>
        <w:t xml:space="preserve"> (a továbbiakban: Ttv.)</w:t>
      </w:r>
      <w:r>
        <w:rPr>
          <w:rFonts w:cstheme="minorHAnsi"/>
        </w:rPr>
        <w:t xml:space="preserve"> 40. § (1) bekezdése alapján a rendelet kötelezővé teszi </w:t>
      </w:r>
      <w:r w:rsidRPr="007A685C">
        <w:rPr>
          <w:rFonts w:cstheme="minorHAnsi"/>
        </w:rPr>
        <w:t>a temetőn belüli, az elhunyt hűtésével, ravatalozásával, a temetőben erre a célra rendszeresített szállító járművön történő szállításával, továbbá a hamvaknak az erre szolgáló berendezéssel történő szórásával, urnaelhelyezéssel, sírásással, sírhelynyitással, sírbahelyezéssel, visszahantolással, újratemetéssel és exhumálással kapcsolatos feladatok ellátására az üzemeltető szakszemélyzetének és berendezésének igénybevételét (a továbbiakban: az üzemeltető által biztosított szolgáltatás).  </w:t>
      </w:r>
    </w:p>
    <w:p w14:paraId="235716D6" w14:textId="77777777" w:rsidR="007A685C" w:rsidRPr="007A685C" w:rsidRDefault="007A685C" w:rsidP="007A685C">
      <w:pPr>
        <w:spacing w:after="0" w:line="276" w:lineRule="auto"/>
        <w:jc w:val="both"/>
        <w:rPr>
          <w:rFonts w:cstheme="minorHAnsi"/>
        </w:rPr>
      </w:pPr>
    </w:p>
    <w:p w14:paraId="7D4FBA03" w14:textId="5F13D101" w:rsidR="005400F7" w:rsidRDefault="005400F7" w:rsidP="005400F7">
      <w:pPr>
        <w:spacing w:after="0" w:line="276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12. §</w:t>
      </w:r>
    </w:p>
    <w:p w14:paraId="1645F539" w14:textId="1AF334BB" w:rsidR="007A685C" w:rsidRDefault="007A685C" w:rsidP="007A685C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Az üzemeltető engedélyéhez kötött tevékenységeket, továbbá a temetőben tiltott tevékenységeket sorolja fel.</w:t>
      </w:r>
    </w:p>
    <w:p w14:paraId="55B901EE" w14:textId="77777777" w:rsidR="007A685C" w:rsidRPr="007A685C" w:rsidRDefault="007A685C" w:rsidP="007A685C">
      <w:pPr>
        <w:spacing w:after="0" w:line="276" w:lineRule="auto"/>
        <w:jc w:val="both"/>
        <w:rPr>
          <w:rFonts w:cstheme="minorHAnsi"/>
        </w:rPr>
      </w:pPr>
    </w:p>
    <w:p w14:paraId="78920582" w14:textId="24153447" w:rsidR="005400F7" w:rsidRDefault="005400F7" w:rsidP="005400F7">
      <w:pPr>
        <w:spacing w:after="0" w:line="276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13. §</w:t>
      </w:r>
    </w:p>
    <w:p w14:paraId="026FF5CD" w14:textId="3359AC34" w:rsidR="007A685C" w:rsidRDefault="007A685C" w:rsidP="007A685C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A temető használatának rendjé</w:t>
      </w:r>
      <w:r w:rsidR="00DC291E">
        <w:rPr>
          <w:rFonts w:cstheme="minorHAnsi"/>
        </w:rPr>
        <w:t>nek</w:t>
      </w:r>
      <w:r>
        <w:rPr>
          <w:rFonts w:cstheme="minorHAnsi"/>
        </w:rPr>
        <w:t xml:space="preserve"> (nyitvatartás, temetési időpontok, behajtás, bejelentés- és engedélyköteles munkák) részletes szabályait tartalmazza.</w:t>
      </w:r>
    </w:p>
    <w:p w14:paraId="25D7574B" w14:textId="100DF4AB" w:rsidR="007A685C" w:rsidRPr="007A685C" w:rsidRDefault="007A685C" w:rsidP="007A685C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 </w:t>
      </w:r>
    </w:p>
    <w:p w14:paraId="20A5DFB1" w14:textId="22153EC1" w:rsidR="005400F7" w:rsidRPr="006F712E" w:rsidRDefault="005400F7" w:rsidP="007A685C">
      <w:pPr>
        <w:spacing w:after="0" w:line="276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14</w:t>
      </w:r>
      <w:r w:rsidR="007A685C">
        <w:rPr>
          <w:rFonts w:cstheme="minorHAnsi"/>
          <w:b/>
          <w:bCs/>
        </w:rPr>
        <w:t>-15.</w:t>
      </w:r>
      <w:r>
        <w:rPr>
          <w:rFonts w:cstheme="minorHAnsi"/>
          <w:b/>
          <w:bCs/>
        </w:rPr>
        <w:t xml:space="preserve"> §</w:t>
      </w:r>
    </w:p>
    <w:p w14:paraId="612C365F" w14:textId="12301E8F" w:rsidR="00790BD5" w:rsidRDefault="007A685C" w:rsidP="006F712E">
      <w:pPr>
        <w:spacing w:after="0" w:line="276" w:lineRule="auto"/>
        <w:jc w:val="both"/>
        <w:rPr>
          <w:rFonts w:cstheme="minorHAnsi"/>
          <w:lang w:eastAsia="hu-HU"/>
        </w:rPr>
      </w:pPr>
      <w:r>
        <w:rPr>
          <w:rFonts w:cstheme="minorHAnsi"/>
        </w:rPr>
        <w:t>A temetőkről és a temetkezés rendjéről szóló 25/2000. (IX.28.) önkormányzati rendelet hatályon kívül helyezéséről</w:t>
      </w:r>
      <w:r w:rsidR="00E573D2">
        <w:rPr>
          <w:rFonts w:cstheme="minorHAnsi"/>
        </w:rPr>
        <w:t>,</w:t>
      </w:r>
      <w:r>
        <w:rPr>
          <w:rFonts w:cstheme="minorHAnsi"/>
        </w:rPr>
        <w:t xml:space="preserve"> valamint a</w:t>
      </w:r>
      <w:r w:rsidR="00790BD5" w:rsidRPr="003B7A0B">
        <w:rPr>
          <w:rFonts w:cstheme="minorHAnsi"/>
          <w:lang w:eastAsia="hu-HU"/>
        </w:rPr>
        <w:t xml:space="preserve"> rendelet hatálybalépéséről rendelkezik.</w:t>
      </w:r>
    </w:p>
    <w:p w14:paraId="626FA5D3" w14:textId="703977A6" w:rsidR="005400F7" w:rsidRDefault="005400F7" w:rsidP="006F712E">
      <w:pPr>
        <w:spacing w:after="0" w:line="276" w:lineRule="auto"/>
        <w:jc w:val="both"/>
        <w:rPr>
          <w:rFonts w:cstheme="minorHAnsi"/>
          <w:lang w:eastAsia="hu-HU"/>
        </w:rPr>
      </w:pPr>
    </w:p>
    <w:p w14:paraId="67B02000" w14:textId="1263ED85" w:rsidR="005400F7" w:rsidRDefault="005400F7" w:rsidP="005400F7">
      <w:pPr>
        <w:spacing w:after="0" w:line="276" w:lineRule="auto"/>
        <w:jc w:val="center"/>
        <w:rPr>
          <w:rFonts w:cstheme="minorHAnsi"/>
          <w:b/>
          <w:bCs/>
          <w:lang w:eastAsia="hu-HU"/>
        </w:rPr>
      </w:pPr>
      <w:r w:rsidRPr="005400F7">
        <w:rPr>
          <w:rFonts w:cstheme="minorHAnsi"/>
          <w:b/>
          <w:bCs/>
          <w:lang w:eastAsia="hu-HU"/>
        </w:rPr>
        <w:t>1. melléklet</w:t>
      </w:r>
    </w:p>
    <w:p w14:paraId="31E2EBC4" w14:textId="203D9458" w:rsidR="00E573D2" w:rsidRDefault="00E573D2" w:rsidP="00E573D2">
      <w:pPr>
        <w:spacing w:after="0" w:line="276" w:lineRule="auto"/>
        <w:jc w:val="both"/>
        <w:rPr>
          <w:rFonts w:cstheme="minorHAnsi"/>
          <w:lang w:eastAsia="hu-HU"/>
        </w:rPr>
      </w:pPr>
      <w:r>
        <w:rPr>
          <w:rFonts w:cstheme="minorHAnsi"/>
          <w:lang w:eastAsia="hu-HU"/>
        </w:rPr>
        <w:t>Az 1. mellékletet a síremlék, sírbolt építésének, felújításának engedélyezési és munkavégzések bejelentő lapjának nyomtatványa képezi.</w:t>
      </w:r>
    </w:p>
    <w:p w14:paraId="7570A4D2" w14:textId="77777777" w:rsidR="00E573D2" w:rsidRPr="00E573D2" w:rsidRDefault="00E573D2" w:rsidP="00E573D2">
      <w:pPr>
        <w:spacing w:after="0" w:line="276" w:lineRule="auto"/>
        <w:jc w:val="both"/>
        <w:rPr>
          <w:rFonts w:cstheme="minorHAnsi"/>
          <w:lang w:eastAsia="hu-HU"/>
        </w:rPr>
      </w:pPr>
    </w:p>
    <w:p w14:paraId="4BCA4D76" w14:textId="424BB4C9" w:rsidR="005400F7" w:rsidRDefault="005400F7" w:rsidP="005400F7">
      <w:pPr>
        <w:spacing w:after="0" w:line="276" w:lineRule="auto"/>
        <w:jc w:val="center"/>
        <w:rPr>
          <w:rFonts w:cstheme="minorHAnsi"/>
          <w:b/>
          <w:bCs/>
          <w:lang w:eastAsia="hu-HU"/>
        </w:rPr>
      </w:pPr>
      <w:r w:rsidRPr="005400F7">
        <w:rPr>
          <w:rFonts w:cstheme="minorHAnsi"/>
          <w:b/>
          <w:bCs/>
          <w:lang w:eastAsia="hu-HU"/>
        </w:rPr>
        <w:t>2. melléklet</w:t>
      </w:r>
    </w:p>
    <w:p w14:paraId="6D6355E3" w14:textId="15C21D35" w:rsidR="00E573D2" w:rsidRDefault="00E573D2" w:rsidP="00E573D2">
      <w:pPr>
        <w:spacing w:after="0" w:line="276" w:lineRule="auto"/>
        <w:jc w:val="both"/>
        <w:rPr>
          <w:rFonts w:cstheme="minorHAnsi"/>
          <w:lang w:eastAsia="hu-HU"/>
        </w:rPr>
      </w:pPr>
      <w:r>
        <w:rPr>
          <w:rFonts w:cstheme="minorHAnsi"/>
          <w:lang w:eastAsia="hu-HU"/>
        </w:rPr>
        <w:t>A Ttv. 40. § (2) bekezdésében taxatívan felsorolt díjtételeket határozza meg.</w:t>
      </w:r>
    </w:p>
    <w:p w14:paraId="5ECD2CE7" w14:textId="77777777" w:rsidR="00E573D2" w:rsidRPr="00E573D2" w:rsidRDefault="00E573D2" w:rsidP="00E573D2">
      <w:pPr>
        <w:spacing w:after="0" w:line="276" w:lineRule="auto"/>
        <w:jc w:val="both"/>
        <w:rPr>
          <w:rFonts w:cstheme="minorHAnsi"/>
          <w:lang w:eastAsia="hu-HU"/>
        </w:rPr>
      </w:pPr>
    </w:p>
    <w:p w14:paraId="6A536EC3" w14:textId="52E7312D" w:rsidR="005400F7" w:rsidRDefault="005400F7" w:rsidP="005400F7">
      <w:pPr>
        <w:spacing w:after="0" w:line="276" w:lineRule="auto"/>
        <w:jc w:val="center"/>
        <w:rPr>
          <w:rFonts w:cstheme="minorHAnsi"/>
          <w:b/>
          <w:bCs/>
          <w:lang w:eastAsia="hu-HU"/>
        </w:rPr>
      </w:pPr>
      <w:r w:rsidRPr="005400F7">
        <w:rPr>
          <w:rFonts w:cstheme="minorHAnsi"/>
          <w:b/>
          <w:bCs/>
          <w:lang w:eastAsia="hu-HU"/>
        </w:rPr>
        <w:t>3. melléklet</w:t>
      </w:r>
    </w:p>
    <w:p w14:paraId="1D42A195" w14:textId="36FBE1BD" w:rsidR="00E573D2" w:rsidRPr="00E573D2" w:rsidRDefault="00E573D2" w:rsidP="00E573D2">
      <w:pPr>
        <w:spacing w:after="0" w:line="276" w:lineRule="auto"/>
        <w:jc w:val="both"/>
        <w:rPr>
          <w:rFonts w:eastAsia="Calibri" w:cstheme="minorHAnsi"/>
        </w:rPr>
      </w:pPr>
      <w:r w:rsidRPr="00E573D2">
        <w:rPr>
          <w:rFonts w:eastAsia="Calibri" w:cstheme="minorHAnsi"/>
        </w:rPr>
        <w:t>A temető beosztott tábláiban sorszámozott sírhelyek, síremlékek, sírboltok, urnakrip</w:t>
      </w:r>
      <w:r>
        <w:rPr>
          <w:rFonts w:eastAsia="Calibri" w:cstheme="minorHAnsi"/>
        </w:rPr>
        <w:t>t</w:t>
      </w:r>
      <w:r w:rsidRPr="00E573D2">
        <w:rPr>
          <w:rFonts w:eastAsia="Calibri" w:cstheme="minorHAnsi"/>
        </w:rPr>
        <w:t xml:space="preserve">ák, kolumbárium fülkék méreteit </w:t>
      </w:r>
      <w:r>
        <w:rPr>
          <w:rFonts w:eastAsia="Calibri" w:cstheme="minorHAnsi"/>
        </w:rPr>
        <w:t>rögzíti.</w:t>
      </w:r>
    </w:p>
    <w:sectPr w:rsidR="00E573D2" w:rsidRPr="00E573D2" w:rsidSect="007520EA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1DB59" w14:textId="77777777" w:rsidR="007520EA" w:rsidRDefault="007520EA" w:rsidP="007520EA">
      <w:pPr>
        <w:spacing w:after="0" w:line="240" w:lineRule="auto"/>
      </w:pPr>
      <w:r>
        <w:separator/>
      </w:r>
    </w:p>
  </w:endnote>
  <w:endnote w:type="continuationSeparator" w:id="0">
    <w:p w14:paraId="66BFC98D" w14:textId="77777777" w:rsidR="007520EA" w:rsidRDefault="007520EA" w:rsidP="00752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49C11" w14:textId="05DE16D0" w:rsidR="007520EA" w:rsidRPr="007520EA" w:rsidRDefault="007520EA">
    <w:pPr>
      <w:pStyle w:val="llb"/>
      <w:jc w:val="center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5A9E0" w14:textId="77777777" w:rsidR="007520EA" w:rsidRDefault="007520EA" w:rsidP="007520EA">
      <w:pPr>
        <w:spacing w:after="0" w:line="240" w:lineRule="auto"/>
      </w:pPr>
      <w:r>
        <w:separator/>
      </w:r>
    </w:p>
  </w:footnote>
  <w:footnote w:type="continuationSeparator" w:id="0">
    <w:p w14:paraId="75BA0E77" w14:textId="77777777" w:rsidR="007520EA" w:rsidRDefault="007520EA" w:rsidP="00752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6C185" w14:textId="4F80B745" w:rsidR="00535D5D" w:rsidRPr="00535D5D" w:rsidRDefault="00535D5D" w:rsidP="00535D5D">
    <w:pPr>
      <w:pStyle w:val="lfej"/>
      <w:jc w:val="right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B95E7B"/>
    <w:multiLevelType w:val="hybridMultilevel"/>
    <w:tmpl w:val="2A56A944"/>
    <w:lvl w:ilvl="0" w:tplc="047421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1524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057"/>
    <w:rsid w:val="0000692D"/>
    <w:rsid w:val="00030559"/>
    <w:rsid w:val="000553F9"/>
    <w:rsid w:val="00075FE1"/>
    <w:rsid w:val="000816C0"/>
    <w:rsid w:val="00082E91"/>
    <w:rsid w:val="0008374D"/>
    <w:rsid w:val="00086FF5"/>
    <w:rsid w:val="00095138"/>
    <w:rsid w:val="000A0313"/>
    <w:rsid w:val="000B4FF2"/>
    <w:rsid w:val="000C5DE8"/>
    <w:rsid w:val="00100142"/>
    <w:rsid w:val="00127703"/>
    <w:rsid w:val="0015393C"/>
    <w:rsid w:val="00154477"/>
    <w:rsid w:val="00164163"/>
    <w:rsid w:val="001B2F29"/>
    <w:rsid w:val="001B755E"/>
    <w:rsid w:val="001E690C"/>
    <w:rsid w:val="0022452C"/>
    <w:rsid w:val="0024565B"/>
    <w:rsid w:val="00272645"/>
    <w:rsid w:val="00287DAA"/>
    <w:rsid w:val="002967C2"/>
    <w:rsid w:val="002B1371"/>
    <w:rsid w:val="002F5D9D"/>
    <w:rsid w:val="002F7A0F"/>
    <w:rsid w:val="00314F34"/>
    <w:rsid w:val="003208A5"/>
    <w:rsid w:val="00330E4B"/>
    <w:rsid w:val="00343A69"/>
    <w:rsid w:val="00362EE8"/>
    <w:rsid w:val="003845BE"/>
    <w:rsid w:val="003A7065"/>
    <w:rsid w:val="003B7A0B"/>
    <w:rsid w:val="003C0FFA"/>
    <w:rsid w:val="003D45B5"/>
    <w:rsid w:val="003E41D8"/>
    <w:rsid w:val="00401AB9"/>
    <w:rsid w:val="00432880"/>
    <w:rsid w:val="00441996"/>
    <w:rsid w:val="004510E7"/>
    <w:rsid w:val="004541DC"/>
    <w:rsid w:val="004628D1"/>
    <w:rsid w:val="00472B87"/>
    <w:rsid w:val="00476FAF"/>
    <w:rsid w:val="00486941"/>
    <w:rsid w:val="004B44B4"/>
    <w:rsid w:val="004C2CF2"/>
    <w:rsid w:val="004D4B96"/>
    <w:rsid w:val="004E0286"/>
    <w:rsid w:val="004F0F9B"/>
    <w:rsid w:val="004F4800"/>
    <w:rsid w:val="004F6FA0"/>
    <w:rsid w:val="00503785"/>
    <w:rsid w:val="00524E99"/>
    <w:rsid w:val="00526751"/>
    <w:rsid w:val="00527D62"/>
    <w:rsid w:val="00527E76"/>
    <w:rsid w:val="00532259"/>
    <w:rsid w:val="00535D5D"/>
    <w:rsid w:val="005400F7"/>
    <w:rsid w:val="0055156C"/>
    <w:rsid w:val="00560AB6"/>
    <w:rsid w:val="00572275"/>
    <w:rsid w:val="005773E0"/>
    <w:rsid w:val="005B7F97"/>
    <w:rsid w:val="005C3674"/>
    <w:rsid w:val="005C6D17"/>
    <w:rsid w:val="005D5CBF"/>
    <w:rsid w:val="005E1127"/>
    <w:rsid w:val="005E3EED"/>
    <w:rsid w:val="00603DFB"/>
    <w:rsid w:val="006149D0"/>
    <w:rsid w:val="00633582"/>
    <w:rsid w:val="0064798F"/>
    <w:rsid w:val="006534B3"/>
    <w:rsid w:val="00655DD8"/>
    <w:rsid w:val="00656DC2"/>
    <w:rsid w:val="006622BA"/>
    <w:rsid w:val="00665063"/>
    <w:rsid w:val="00672DBB"/>
    <w:rsid w:val="00684A2D"/>
    <w:rsid w:val="006A0B6B"/>
    <w:rsid w:val="006A7ED5"/>
    <w:rsid w:val="006C11A2"/>
    <w:rsid w:val="006C53F6"/>
    <w:rsid w:val="006C6B52"/>
    <w:rsid w:val="006F712E"/>
    <w:rsid w:val="007004B7"/>
    <w:rsid w:val="00703030"/>
    <w:rsid w:val="007159D4"/>
    <w:rsid w:val="00726935"/>
    <w:rsid w:val="007520EA"/>
    <w:rsid w:val="00763E88"/>
    <w:rsid w:val="007671B0"/>
    <w:rsid w:val="00776D3A"/>
    <w:rsid w:val="0078635A"/>
    <w:rsid w:val="00790BD5"/>
    <w:rsid w:val="007A40B3"/>
    <w:rsid w:val="007A685C"/>
    <w:rsid w:val="007A6ED3"/>
    <w:rsid w:val="007B6B78"/>
    <w:rsid w:val="007E26EA"/>
    <w:rsid w:val="007F18D5"/>
    <w:rsid w:val="00807E3E"/>
    <w:rsid w:val="00812BB8"/>
    <w:rsid w:val="00816654"/>
    <w:rsid w:val="00823C55"/>
    <w:rsid w:val="008261FC"/>
    <w:rsid w:val="0083702C"/>
    <w:rsid w:val="00847655"/>
    <w:rsid w:val="008516D6"/>
    <w:rsid w:val="008531BE"/>
    <w:rsid w:val="00860C6D"/>
    <w:rsid w:val="0088361C"/>
    <w:rsid w:val="00886B2E"/>
    <w:rsid w:val="008A421C"/>
    <w:rsid w:val="008D7C4E"/>
    <w:rsid w:val="008E7D75"/>
    <w:rsid w:val="008F2938"/>
    <w:rsid w:val="0090354E"/>
    <w:rsid w:val="00914868"/>
    <w:rsid w:val="009540EC"/>
    <w:rsid w:val="00960B94"/>
    <w:rsid w:val="00962267"/>
    <w:rsid w:val="009668E4"/>
    <w:rsid w:val="00971743"/>
    <w:rsid w:val="0099008B"/>
    <w:rsid w:val="009F3B22"/>
    <w:rsid w:val="00A0406D"/>
    <w:rsid w:val="00A135AB"/>
    <w:rsid w:val="00A143B1"/>
    <w:rsid w:val="00A15ECB"/>
    <w:rsid w:val="00A265A1"/>
    <w:rsid w:val="00A30EC4"/>
    <w:rsid w:val="00A5005A"/>
    <w:rsid w:val="00A527D7"/>
    <w:rsid w:val="00A57DF2"/>
    <w:rsid w:val="00A65947"/>
    <w:rsid w:val="00A73840"/>
    <w:rsid w:val="00A8544F"/>
    <w:rsid w:val="00A96C73"/>
    <w:rsid w:val="00AB22F0"/>
    <w:rsid w:val="00AC6403"/>
    <w:rsid w:val="00AC7C1B"/>
    <w:rsid w:val="00AD45FE"/>
    <w:rsid w:val="00AE4620"/>
    <w:rsid w:val="00AE516B"/>
    <w:rsid w:val="00AE6A02"/>
    <w:rsid w:val="00AF450B"/>
    <w:rsid w:val="00B4751E"/>
    <w:rsid w:val="00B52057"/>
    <w:rsid w:val="00B618B8"/>
    <w:rsid w:val="00BF3C31"/>
    <w:rsid w:val="00C078B4"/>
    <w:rsid w:val="00C34BE6"/>
    <w:rsid w:val="00C4040C"/>
    <w:rsid w:val="00C5495C"/>
    <w:rsid w:val="00C71E45"/>
    <w:rsid w:val="00C95559"/>
    <w:rsid w:val="00CC017E"/>
    <w:rsid w:val="00CE5F98"/>
    <w:rsid w:val="00CE6F74"/>
    <w:rsid w:val="00CF5AD3"/>
    <w:rsid w:val="00D123F6"/>
    <w:rsid w:val="00D26806"/>
    <w:rsid w:val="00D34E46"/>
    <w:rsid w:val="00D46B7E"/>
    <w:rsid w:val="00D87DD2"/>
    <w:rsid w:val="00D95995"/>
    <w:rsid w:val="00DA6539"/>
    <w:rsid w:val="00DA7199"/>
    <w:rsid w:val="00DC11BB"/>
    <w:rsid w:val="00DC291E"/>
    <w:rsid w:val="00DD489E"/>
    <w:rsid w:val="00DE5951"/>
    <w:rsid w:val="00DF222A"/>
    <w:rsid w:val="00DF4092"/>
    <w:rsid w:val="00E0139D"/>
    <w:rsid w:val="00E05F83"/>
    <w:rsid w:val="00E419B6"/>
    <w:rsid w:val="00E573D2"/>
    <w:rsid w:val="00E66615"/>
    <w:rsid w:val="00EA0149"/>
    <w:rsid w:val="00EC0DC9"/>
    <w:rsid w:val="00ED7235"/>
    <w:rsid w:val="00EE6219"/>
    <w:rsid w:val="00EF41CF"/>
    <w:rsid w:val="00F047D2"/>
    <w:rsid w:val="00F11AC9"/>
    <w:rsid w:val="00F22D8A"/>
    <w:rsid w:val="00F72BCA"/>
    <w:rsid w:val="00F91734"/>
    <w:rsid w:val="00FA59F4"/>
    <w:rsid w:val="00FA60E9"/>
    <w:rsid w:val="00FA69ED"/>
    <w:rsid w:val="00FC2172"/>
    <w:rsid w:val="00FC3389"/>
    <w:rsid w:val="00FD1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D55B8"/>
  <w15:chartTrackingRefBased/>
  <w15:docId w15:val="{7F8B1806-0FC5-4295-B8B4-E73FA9F96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52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520EA"/>
  </w:style>
  <w:style w:type="paragraph" w:styleId="llb">
    <w:name w:val="footer"/>
    <w:basedOn w:val="Norml"/>
    <w:link w:val="llbChar"/>
    <w:uiPriority w:val="99"/>
    <w:unhideWhenUsed/>
    <w:rsid w:val="00752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520EA"/>
  </w:style>
  <w:style w:type="paragraph" w:styleId="Listaszerbekezds">
    <w:name w:val="List Paragraph"/>
    <w:basedOn w:val="Norml"/>
    <w:uiPriority w:val="99"/>
    <w:qFormat/>
    <w:rsid w:val="00790BD5"/>
    <w:pPr>
      <w:ind w:left="720"/>
      <w:contextualSpacing/>
    </w:pPr>
    <w:rPr>
      <w:rFonts w:ascii="Arial" w:eastAsia="Calibri" w:hAnsi="Arial" w:cs="Calibri"/>
      <w:sz w:val="24"/>
    </w:rPr>
  </w:style>
  <w:style w:type="paragraph" w:styleId="Szvegtrzs">
    <w:name w:val="Body Text"/>
    <w:basedOn w:val="Norml"/>
    <w:link w:val="SzvegtrzsChar"/>
    <w:rsid w:val="007A685C"/>
    <w:pPr>
      <w:suppressAutoHyphens/>
      <w:spacing w:after="140" w:line="288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7A685C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5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48B2C0-52FE-4B36-AD51-7EAC8773D00A}">
  <ds:schemaRefs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119DB34-0EB7-40C4-82DF-1C9637AD22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DAD4DC-025F-4AE8-8577-9C406EB47F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402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Holler Péter dr.</dc:creator>
  <cp:keywords/>
  <dc:description/>
  <cp:lastModifiedBy>Horváth Ildikó dr.</cp:lastModifiedBy>
  <cp:revision>5</cp:revision>
  <cp:lastPrinted>2021-06-11T06:40:00Z</cp:lastPrinted>
  <dcterms:created xsi:type="dcterms:W3CDTF">2023-01-16T14:05:00Z</dcterms:created>
  <dcterms:modified xsi:type="dcterms:W3CDTF">2023-01-16T14:33:00Z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