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3671C" w14:textId="77777777" w:rsidR="00C074F6" w:rsidRPr="004F0D89" w:rsidRDefault="00C074F6" w:rsidP="00C074F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261/2022. (X.26.) GJB számú határozat</w:t>
      </w:r>
    </w:p>
    <w:p w14:paraId="55476819" w14:textId="77777777" w:rsidR="00C074F6" w:rsidRPr="004F0D89" w:rsidRDefault="00C074F6" w:rsidP="00C074F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F717980" w14:textId="77777777" w:rsidR="00C074F6" w:rsidRPr="004F0D89" w:rsidRDefault="00C074F6" w:rsidP="00C074F6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>A Gazdasági és Jogi Bizottság a „</w:t>
      </w:r>
      <w:r w:rsidRPr="004F0D89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4F0D89">
        <w:rPr>
          <w:rFonts w:asciiTheme="minorHAnsi" w:hAnsiTheme="minorHAnsi" w:cstheme="minorHAnsi"/>
          <w:bCs/>
          <w:szCs w:val="22"/>
        </w:rPr>
        <w:t>” című előterjesztést megtárgyalta, és a szombathelyi 7950 hrsz.-ú, kivett közút megnevezésű ingatlan 315 m² nagyságú részének törzsvagyoni körből kivonásáról és üzleti vagyonba átsorolásáról szóló II. határozati javaslatot az előterjesztésben foglaltak szerint javasolja a Közgyűlésnek elfogadásra.</w:t>
      </w:r>
    </w:p>
    <w:p w14:paraId="2F4EE4FD" w14:textId="77777777" w:rsidR="00C074F6" w:rsidRPr="004F0D89" w:rsidRDefault="00C074F6" w:rsidP="00C074F6">
      <w:pPr>
        <w:jc w:val="both"/>
        <w:rPr>
          <w:rFonts w:asciiTheme="minorHAnsi" w:hAnsiTheme="minorHAnsi" w:cstheme="minorHAnsi"/>
          <w:bCs/>
          <w:szCs w:val="22"/>
        </w:rPr>
      </w:pPr>
    </w:p>
    <w:p w14:paraId="00B38E50" w14:textId="77777777" w:rsidR="00C074F6" w:rsidRPr="004F0D89" w:rsidRDefault="00C074F6" w:rsidP="00C074F6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036742B9" w14:textId="77777777" w:rsidR="00C074F6" w:rsidRPr="004F0D89" w:rsidRDefault="00C074F6" w:rsidP="00C074F6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B775467" w14:textId="77777777" w:rsidR="00C074F6" w:rsidRPr="004F0D89" w:rsidRDefault="00C074F6" w:rsidP="00C074F6">
      <w:pPr>
        <w:ind w:left="1418" w:firstLine="11"/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szCs w:val="22"/>
        </w:rPr>
        <w:t>Nagyné Dr. Gats Andrea, a Jogi és Képviselői Osztály vezetője</w:t>
      </w:r>
      <w:r w:rsidRPr="004F0D89">
        <w:rPr>
          <w:rFonts w:asciiTheme="minorHAnsi" w:hAnsiTheme="minorHAnsi" w:cstheme="minorHAnsi"/>
          <w:bCs/>
          <w:szCs w:val="22"/>
        </w:rPr>
        <w:t>/</w:t>
      </w:r>
    </w:p>
    <w:p w14:paraId="1BEDC44D" w14:textId="77777777" w:rsidR="00C074F6" w:rsidRPr="004F0D89" w:rsidRDefault="00C074F6" w:rsidP="00C074F6">
      <w:pPr>
        <w:jc w:val="both"/>
        <w:rPr>
          <w:rFonts w:asciiTheme="minorHAnsi" w:hAnsiTheme="minorHAnsi" w:cstheme="minorHAnsi"/>
          <w:bCs/>
          <w:szCs w:val="22"/>
        </w:rPr>
      </w:pPr>
    </w:p>
    <w:p w14:paraId="0B90801A" w14:textId="77777777" w:rsidR="00C074F6" w:rsidRPr="004F0D89" w:rsidRDefault="00C074F6" w:rsidP="00C074F6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F0D89">
        <w:rPr>
          <w:rFonts w:asciiTheme="minorHAnsi" w:hAnsiTheme="minorHAnsi" w:cstheme="minorHAnsi"/>
          <w:bCs/>
          <w:szCs w:val="22"/>
        </w:rPr>
        <w:tab/>
        <w:t>2022. október 27.</w:t>
      </w:r>
    </w:p>
    <w:p w14:paraId="418F112B" w14:textId="77777777" w:rsidR="00C074F6" w:rsidRPr="004F0D89" w:rsidRDefault="00C074F6" w:rsidP="00C074F6">
      <w:pPr>
        <w:rPr>
          <w:rFonts w:asciiTheme="minorHAnsi" w:hAnsiTheme="minorHAnsi" w:cstheme="minorHAnsi"/>
          <w:szCs w:val="22"/>
        </w:rPr>
      </w:pPr>
    </w:p>
    <w:p w14:paraId="295ECA99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4F6"/>
    <w:rsid w:val="00C074F6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976F9"/>
  <w15:chartTrackingRefBased/>
  <w15:docId w15:val="{226E5E7C-FC81-49F6-8E8E-F0D7C943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074F6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155854-A01D-477B-A0A3-6977783DB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2FBAAB-F3E9-40C7-816E-9D4B1DD7D4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4B99C9-FAD6-4A51-B35F-4DF0620DB885}">
  <ds:schemaRefs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528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2022-11-02T09:43:00Z</dcterms:created>
  <dcterms:modified xsi:type="dcterms:W3CDTF">2022-11-02T09:54:00Z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