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1E277" w14:textId="77777777" w:rsidR="008C60F5" w:rsidRDefault="008C60F5" w:rsidP="008C60F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0EDB3AF" w14:textId="77777777" w:rsidR="008C60F5" w:rsidRP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60F5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7A132008" w14:textId="77777777" w:rsidR="008C60F5" w:rsidRP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C0BC7B" w14:textId="1086748A" w:rsidR="008C60F5" w:rsidRPr="008C60F5" w:rsidRDefault="008C60F5" w:rsidP="008C60F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60F5">
        <w:rPr>
          <w:rFonts w:asciiTheme="minorHAnsi" w:hAnsiTheme="minorHAnsi" w:cstheme="minorHAnsi"/>
          <w:b/>
          <w:sz w:val="22"/>
          <w:szCs w:val="22"/>
          <w:u w:val="single"/>
        </w:rPr>
        <w:t>Szombathely Megyei Jogú Város Közgyűlésének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8C60F5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október</w:t>
      </w:r>
      <w:r w:rsidRPr="008C60F5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8C60F5">
        <w:rPr>
          <w:rFonts w:asciiTheme="minorHAnsi" w:hAnsiTheme="minorHAnsi" w:cstheme="minorHAnsi"/>
          <w:b/>
          <w:sz w:val="22"/>
          <w:szCs w:val="22"/>
          <w:u w:val="single"/>
        </w:rPr>
        <w:t>-i ülésére</w:t>
      </w:r>
    </w:p>
    <w:p w14:paraId="5F0B91F9" w14:textId="77777777" w:rsidR="008C60F5" w:rsidRP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EBEEBF" w14:textId="77777777" w:rsidR="008C60F5" w:rsidRP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3307CD" w14:textId="77777777" w:rsidR="008C60F5" w:rsidRPr="008C60F5" w:rsidRDefault="008C60F5" w:rsidP="008C60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60F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Pr="008C60F5">
        <w:rPr>
          <w:rFonts w:asciiTheme="minorHAnsi" w:hAnsiTheme="minorHAnsi" w:cstheme="minorHAnsi"/>
          <w:b/>
          <w:sz w:val="22"/>
          <w:szCs w:val="22"/>
        </w:rPr>
        <w:t>a helyi adókról szóló 38/2011. (XII.19.) önkormányzati rendelet módosítására</w:t>
      </w:r>
    </w:p>
    <w:p w14:paraId="7FBF2B52" w14:textId="77777777" w:rsidR="008C60F5" w:rsidRPr="008C60F5" w:rsidRDefault="008C60F5" w:rsidP="008C60F5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EA28E7" w14:textId="16465C82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helyhatóságok alapvető feladata – </w:t>
      </w:r>
      <w:r w:rsidR="00E14516">
        <w:rPr>
          <w:rFonts w:asciiTheme="minorHAnsi" w:hAnsiTheme="minorHAnsi" w:cstheme="minorHAnsi"/>
          <w:sz w:val="22"/>
          <w:szCs w:val="22"/>
        </w:rPr>
        <w:t xml:space="preserve">a </w:t>
      </w:r>
      <w:r w:rsidRPr="008C60F5">
        <w:rPr>
          <w:rFonts w:asciiTheme="minorHAnsi" w:hAnsiTheme="minorHAnsi" w:cstheme="minorHAnsi"/>
          <w:sz w:val="22"/>
          <w:szCs w:val="22"/>
        </w:rPr>
        <w:t>közhatalom helyi közügyekben való gyakorlása mellett – a helyi közszolgáltatások biztosítása. E feladatnak a helyi sajátosságokhoz és igényekhez igazítható ellátása – melynek során nélkülözhetetlen a helyi közösségek kezdeményezőkészsége, áldozatvállalása is – elengedhetetlenné teszi az önkormányzatok önálló gazdálkodása feltételeinek megteremtését. A gazdasági önállósulás egyik eszköze a helyi adók rendszere. Ez a települési önkormányzat számára lehetőséget teremt a helyi szuverén adóztatási jog gyakorlására, s ezzel együtt a helyi adópolitika kialakítására.</w:t>
      </w:r>
      <w:r w:rsidR="00BC6BE2">
        <w:rPr>
          <w:rFonts w:asciiTheme="minorHAnsi" w:hAnsiTheme="minorHAnsi" w:cstheme="minorHAnsi"/>
          <w:sz w:val="22"/>
          <w:szCs w:val="22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 xml:space="preserve">A feladatellátást részben az állami hozzájárulások, támogatások, valamint a saját bevételek biztosítják. A helyi adóztatás kiemelkedő jelentőségű, szerepe egyre inkább megnövekedett, hiszen a saját bevételeken belül az önkormányzat által beszedett adóbevételek meghatározó nagyságot képviselnek. </w:t>
      </w:r>
    </w:p>
    <w:p w14:paraId="1D3007DA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9F92E" w14:textId="53A7274D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helyi adókról szóló 1990. évi C. törvény (továbbiakban: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>.) felhatalmazása alapján a törvényi keretek között a helyi önkormányzatok döntenek a helyi adó bevezetéséről, az alkalmazott adómérték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8C60F5">
        <w:rPr>
          <w:rFonts w:asciiTheme="minorHAnsi" w:hAnsiTheme="minorHAnsi" w:cstheme="minorHAnsi"/>
          <w:sz w:val="22"/>
          <w:szCs w:val="22"/>
        </w:rPr>
        <w:t>ről, kedvezményekről, mentességekről. Szombathely Megyei Jogú Város Közgyűlése a helyi adókról szóló 38/2011. (XII</w:t>
      </w:r>
      <w:r>
        <w:rPr>
          <w:rFonts w:asciiTheme="minorHAnsi" w:hAnsiTheme="minorHAnsi" w:cstheme="minorHAnsi"/>
          <w:sz w:val="22"/>
          <w:szCs w:val="22"/>
        </w:rPr>
        <w:t>.19.) önkormányzati rendeletével</w:t>
      </w:r>
      <w:r w:rsidRPr="008C60F5">
        <w:rPr>
          <w:rFonts w:asciiTheme="minorHAnsi" w:hAnsiTheme="minorHAnsi" w:cstheme="minorHAnsi"/>
          <w:sz w:val="22"/>
          <w:szCs w:val="22"/>
        </w:rPr>
        <w:t xml:space="preserve"> (továbbiakban: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Ör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 xml:space="preserve">.) helyi iparűzési adót, építményadót és idegenforgalmi adót vezetett be. </w:t>
      </w:r>
    </w:p>
    <w:p w14:paraId="51C94263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F8F8A" w14:textId="49FFCADD" w:rsidR="00F0014C" w:rsidRDefault="000A0D6F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0A0D6F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="00DA4443">
        <w:rPr>
          <w:rFonts w:asciiTheme="minorHAnsi" w:hAnsiTheme="minorHAnsi" w:cstheme="minorHAnsi"/>
          <w:sz w:val="22"/>
          <w:szCs w:val="22"/>
        </w:rPr>
        <w:t xml:space="preserve">2022. évi költségvetési rendelet tárgyalásakor megismerte </w:t>
      </w:r>
      <w:r w:rsidR="0041660B">
        <w:rPr>
          <w:rFonts w:asciiTheme="minorHAnsi" w:hAnsiTheme="minorHAnsi" w:cstheme="minorHAnsi"/>
          <w:sz w:val="22"/>
          <w:szCs w:val="22"/>
        </w:rPr>
        <w:t xml:space="preserve">a </w:t>
      </w:r>
      <w:bookmarkStart w:id="0" w:name="_GoBack"/>
      <w:bookmarkEnd w:id="0"/>
      <w:r w:rsidRPr="000A0D6F">
        <w:rPr>
          <w:rFonts w:asciiTheme="minorHAnsi" w:hAnsiTheme="minorHAnsi" w:cstheme="minorHAnsi"/>
          <w:sz w:val="22"/>
          <w:szCs w:val="22"/>
        </w:rPr>
        <w:t>2023.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0D6F">
        <w:rPr>
          <w:rFonts w:asciiTheme="minorHAnsi" w:hAnsiTheme="minorHAnsi" w:cstheme="minorHAnsi"/>
          <w:sz w:val="22"/>
          <w:szCs w:val="22"/>
        </w:rPr>
        <w:t>évi költségvetési helyzetről készített tájékoztatót, amelyben bemutatásra került, hogy minden lehetséges forrást a 2023.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0D6F">
        <w:rPr>
          <w:rFonts w:asciiTheme="minorHAnsi" w:hAnsiTheme="minorHAnsi" w:cstheme="minorHAnsi"/>
          <w:sz w:val="22"/>
          <w:szCs w:val="22"/>
        </w:rPr>
        <w:t xml:space="preserve">évi költségvetés egyensúlyának megteremtéséhez fel kell kutatni. </w:t>
      </w:r>
      <w:r w:rsidR="00DA4443" w:rsidRPr="00DA4443">
        <w:rPr>
          <w:rFonts w:asciiTheme="minorHAnsi" w:hAnsiTheme="minorHAnsi" w:cstheme="minorHAnsi"/>
          <w:sz w:val="22"/>
          <w:szCs w:val="22"/>
        </w:rPr>
        <w:t xml:space="preserve">Tekintettel arra, hogy Szombathely Megyei Jogú Város Önkormányzata - ellentétben számos településsel – 2021. évben egyáltalán nem részesült a működését segítő kormányzati kompenzációban, Önkormányzatunknak kényszerű ingatlan értékesítésekből befolyt bevételekkel valamint fegyelmezett gazdálkodással kellett megteremteni a 2022. január 1. napjától vállalt új kötelezettségek (közösségi közlekedés, parkfenntartás) költségvetési forrását, cca. 1,8 Mrd Ft nagyságrendben. Mivel </w:t>
      </w:r>
      <w:r w:rsidR="00DA4443">
        <w:rPr>
          <w:rFonts w:asciiTheme="minorHAnsi" w:hAnsiTheme="minorHAnsi" w:cstheme="minorHAnsi"/>
          <w:sz w:val="22"/>
          <w:szCs w:val="22"/>
        </w:rPr>
        <w:t>eme</w:t>
      </w:r>
      <w:r w:rsidR="00DA4443" w:rsidRPr="00DA4443">
        <w:rPr>
          <w:rFonts w:asciiTheme="minorHAnsi" w:hAnsiTheme="minorHAnsi" w:cstheme="minorHAnsi"/>
          <w:sz w:val="22"/>
          <w:szCs w:val="22"/>
        </w:rPr>
        <w:t xml:space="preserve"> feladatok beépültek az önkormányzat rendes működésébe, ezért azok forrását szükségszerűen meg kell teremteni a későbbi évek, így 2023. vonatkozásában is.</w:t>
      </w:r>
      <w:r w:rsidR="00DA4443">
        <w:rPr>
          <w:rFonts w:asciiTheme="minorHAnsi" w:hAnsiTheme="minorHAnsi" w:cstheme="minorHAnsi"/>
          <w:sz w:val="22"/>
          <w:szCs w:val="22"/>
        </w:rPr>
        <w:t xml:space="preserve"> A Közgyűlés </w:t>
      </w:r>
      <w:proofErr w:type="gramStart"/>
      <w:r w:rsidR="00DA4443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="00DA4443">
        <w:rPr>
          <w:rFonts w:asciiTheme="minorHAnsi" w:hAnsiTheme="minorHAnsi" w:cstheme="minorHAnsi"/>
          <w:sz w:val="22"/>
          <w:szCs w:val="22"/>
        </w:rPr>
        <w:t xml:space="preserve"> tény tudomásulvételéről a </w:t>
      </w:r>
      <w:r w:rsidR="00DA4443" w:rsidRPr="000A0D6F">
        <w:rPr>
          <w:rFonts w:asciiTheme="minorHAnsi" w:hAnsiTheme="minorHAnsi" w:cstheme="minorHAnsi"/>
          <w:sz w:val="22"/>
          <w:szCs w:val="22"/>
        </w:rPr>
        <w:t xml:space="preserve">61/2022.(II.24.) </w:t>
      </w:r>
      <w:proofErr w:type="spellStart"/>
      <w:r w:rsidR="00DA4443" w:rsidRPr="000A0D6F">
        <w:rPr>
          <w:rFonts w:asciiTheme="minorHAnsi" w:hAnsiTheme="minorHAnsi" w:cstheme="minorHAnsi"/>
          <w:sz w:val="22"/>
          <w:szCs w:val="22"/>
        </w:rPr>
        <w:t>Kgy.sz</w:t>
      </w:r>
      <w:proofErr w:type="spellEnd"/>
      <w:r w:rsidR="00DA4443" w:rsidRPr="000A0D6F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DA4443" w:rsidRPr="000A0D6F">
        <w:rPr>
          <w:rFonts w:asciiTheme="minorHAnsi" w:hAnsiTheme="minorHAnsi" w:cstheme="minorHAnsi"/>
          <w:sz w:val="22"/>
          <w:szCs w:val="22"/>
        </w:rPr>
        <w:t>határozatában</w:t>
      </w:r>
      <w:proofErr w:type="gramEnd"/>
      <w:r w:rsidR="00DA4443" w:rsidRPr="000A0D6F">
        <w:rPr>
          <w:rFonts w:asciiTheme="minorHAnsi" w:hAnsiTheme="minorHAnsi" w:cstheme="minorHAnsi"/>
          <w:sz w:val="22"/>
          <w:szCs w:val="22"/>
        </w:rPr>
        <w:t xml:space="preserve"> </w:t>
      </w:r>
      <w:r w:rsidR="00DA4443">
        <w:rPr>
          <w:rFonts w:asciiTheme="minorHAnsi" w:hAnsiTheme="minorHAnsi" w:cstheme="minorHAnsi"/>
          <w:sz w:val="22"/>
          <w:szCs w:val="22"/>
        </w:rPr>
        <w:t xml:space="preserve">döntött. </w:t>
      </w:r>
    </w:p>
    <w:p w14:paraId="459E6D80" w14:textId="69428BAE" w:rsidR="008C60F5" w:rsidRPr="000A0D6F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0A0D6F">
        <w:rPr>
          <w:rFonts w:asciiTheme="minorHAnsi" w:hAnsiTheme="minorHAnsi" w:cstheme="minorHAnsi"/>
          <w:sz w:val="22"/>
          <w:szCs w:val="22"/>
        </w:rPr>
        <w:lastRenderedPageBreak/>
        <w:t>Mindezekre tekintettel szükségessé vált a helyi adók felülvizsgálata. Méltányos és igazságos helyi adórendszer kialakításával elengedhetetlen, hogy a nagyobb adóerővel rendelkező adózók nagyobb adófizetéssel járuljanak hozzá a közterhekhez.</w:t>
      </w:r>
    </w:p>
    <w:p w14:paraId="2C69FA04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Fentiek alapján a 2015. évtől változatlan építményadó mértékek </w:t>
      </w:r>
      <w:proofErr w:type="gramStart"/>
      <w:r w:rsidRPr="008C60F5">
        <w:rPr>
          <w:rFonts w:asciiTheme="minorHAnsi" w:hAnsiTheme="minorHAnsi" w:cstheme="minorHAnsi"/>
          <w:sz w:val="22"/>
          <w:szCs w:val="22"/>
        </w:rPr>
        <w:t>vonatkozásában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 xml:space="preserve"> a rendelettervezetben az alábbi módosításokat javaslom.</w:t>
      </w:r>
    </w:p>
    <w:p w14:paraId="78A93F98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9A9C0" w14:textId="77777777" w:rsidR="008C60F5" w:rsidRPr="008C60F5" w:rsidRDefault="008C60F5" w:rsidP="008C60F5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</w:t>
      </w:r>
      <w:r w:rsidRPr="008C60F5">
        <w:rPr>
          <w:rFonts w:asciiTheme="minorHAnsi" w:hAnsiTheme="minorHAnsi" w:cstheme="minorHAnsi"/>
          <w:b/>
          <w:bCs/>
          <w:sz w:val="22"/>
          <w:szCs w:val="22"/>
        </w:rPr>
        <w:t>jelenleg hatályban lévő építményadó szabályozás</w:t>
      </w:r>
      <w:r w:rsidRPr="008C60F5">
        <w:rPr>
          <w:rFonts w:asciiTheme="minorHAnsi" w:hAnsiTheme="minorHAnsi" w:cstheme="minorHAnsi"/>
          <w:sz w:val="22"/>
          <w:szCs w:val="22"/>
        </w:rPr>
        <w:t xml:space="preserve"> szerint Szombathely illetékességi területén adóköteles a lakás és nem lakás céljára szolgáló épület, épületrész.</w:t>
      </w:r>
    </w:p>
    <w:p w14:paraId="15CD1E66" w14:textId="77777777" w:rsidR="008C60F5" w:rsidRPr="008C60F5" w:rsidRDefault="008C60F5" w:rsidP="008C60F5">
      <w:pPr>
        <w:pStyle w:val="Cmsor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60F5">
        <w:rPr>
          <w:rFonts w:asciiTheme="minorHAnsi" w:hAnsiTheme="minorHAnsi" w:cstheme="minorHAnsi"/>
          <w:b/>
          <w:color w:val="auto"/>
          <w:sz w:val="22"/>
          <w:szCs w:val="22"/>
        </w:rPr>
        <w:t>„Az adó mértéke</w:t>
      </w:r>
    </w:p>
    <w:p w14:paraId="7913F1D0" w14:textId="77777777" w:rsidR="008C60F5" w:rsidRPr="008C60F5" w:rsidRDefault="008C60F5" w:rsidP="008C60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60F5">
        <w:rPr>
          <w:rFonts w:asciiTheme="minorHAnsi" w:hAnsiTheme="minorHAnsi" w:cstheme="minorHAnsi"/>
          <w:b/>
          <w:sz w:val="22"/>
          <w:szCs w:val="22"/>
        </w:rPr>
        <w:t>3. §</w:t>
      </w:r>
    </w:p>
    <w:p w14:paraId="0D30B2B3" w14:textId="77777777" w:rsidR="008C60F5" w:rsidRPr="008C60F5" w:rsidRDefault="008C60F5" w:rsidP="008C60F5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(1) 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kereskedelmi egység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</w:t>
      </w:r>
    </w:p>
    <w:p w14:paraId="20443381" w14:textId="77777777" w:rsidR="008C60F5" w:rsidRPr="008C60F5" w:rsidRDefault="008C60F5" w:rsidP="008C60F5">
      <w:pPr>
        <w:rPr>
          <w:rFonts w:asciiTheme="minorHAnsi" w:hAnsiTheme="minorHAnsi" w:cstheme="minorHAnsi"/>
          <w:sz w:val="22"/>
          <w:szCs w:val="22"/>
          <w:vertAlign w:val="superscript"/>
        </w:rPr>
      </w:pPr>
      <w:proofErr w:type="gramStart"/>
      <w:r w:rsidRPr="008C60F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>) 1-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 esetén 1000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378915C" w14:textId="77777777" w:rsidR="008C60F5" w:rsidRPr="008C60F5" w:rsidRDefault="008C60F5" w:rsidP="008C60F5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8C60F5">
        <w:rPr>
          <w:rFonts w:asciiTheme="minorHAnsi" w:hAnsiTheme="minorHAnsi" w:cstheme="minorHAnsi"/>
          <w:sz w:val="22"/>
          <w:szCs w:val="22"/>
        </w:rPr>
        <w:t>b) 501-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 esetén 500000 Ft és az 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feletti rész után 1200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36D6AC8" w14:textId="77777777" w:rsidR="008C60F5" w:rsidRPr="008C60F5" w:rsidRDefault="008C60F5" w:rsidP="008C60F5">
      <w:pPr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1100000 Ft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feletti rész után 1500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47A67E4E" w14:textId="77777777" w:rsidR="008C60F5" w:rsidRPr="008C60F5" w:rsidRDefault="008C60F5" w:rsidP="008C60F5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(2) 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egyéb nem lakás céljára szolgáló épület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 – kivéve </w:t>
      </w:r>
      <w:proofErr w:type="gramStart"/>
      <w:r w:rsidRPr="008C60F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4855B8" w14:textId="77777777" w:rsidR="008C60F5" w:rsidRPr="008C60F5" w:rsidRDefault="008C60F5" w:rsidP="008C60F5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8C60F5">
        <w:rPr>
          <w:rFonts w:asciiTheme="minorHAnsi" w:hAnsiTheme="minorHAnsi" w:cstheme="minorHAnsi"/>
          <w:sz w:val="22"/>
          <w:szCs w:val="22"/>
        </w:rPr>
        <w:t>gépjárműtárolót</w:t>
      </w:r>
      <w:proofErr w:type="gramEnd"/>
    </w:p>
    <w:p w14:paraId="470D5673" w14:textId="77777777" w:rsidR="008C60F5" w:rsidRPr="008C60F5" w:rsidRDefault="008C60F5" w:rsidP="008C60F5">
      <w:pPr>
        <w:rPr>
          <w:rFonts w:asciiTheme="minorHAnsi" w:hAnsiTheme="minorHAnsi" w:cstheme="minorHAnsi"/>
          <w:sz w:val="22"/>
          <w:szCs w:val="22"/>
          <w:vertAlign w:val="superscript"/>
        </w:rPr>
      </w:pPr>
      <w:proofErr w:type="gramStart"/>
      <w:r w:rsidRPr="008C60F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>) 1-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adóalap esetén 800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5BA551D" w14:textId="77777777" w:rsidR="008C60F5" w:rsidRPr="008C60F5" w:rsidRDefault="008C60F5" w:rsidP="008C60F5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8C60F5">
        <w:rPr>
          <w:rFonts w:asciiTheme="minorHAnsi" w:hAnsiTheme="minorHAnsi" w:cstheme="minorHAnsi"/>
          <w:sz w:val="22"/>
          <w:szCs w:val="22"/>
        </w:rPr>
        <w:t>b) 501-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 xml:space="preserve">adóalap esetén 400000 Ft és az 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feletti rész után 900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860237C" w14:textId="77777777" w:rsidR="008C60F5" w:rsidRPr="008C60F5" w:rsidRDefault="008C60F5" w:rsidP="008C60F5">
      <w:pPr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850000 Ft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feletti rész után 1000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5B3E1FBE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(3) Az adó éves mértéke gépjárműtároló esetén 200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795491BD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(4) Az adó éves mértéke tanműhely esetén 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3C67F812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(5) Az adó éves mértéke lakás esetén 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BA4A07A" w14:textId="77777777" w:rsidR="008C60F5" w:rsidRPr="008C60F5" w:rsidRDefault="008C60F5" w:rsidP="008C60F5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(6) Az adó éves mértéke új építésű építmény esetén a használatbavételi, illetve a fennmaradási engedély jogerőre emelkedését, a használatba vétel tudomásulvételét, ennek hiányában a tényleges használatba vételt követő első adóévben 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75AD75A2" w14:textId="77777777" w:rsidR="008C60F5" w:rsidRPr="008C60F5" w:rsidRDefault="008C60F5" w:rsidP="008C60F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(7)</w:t>
      </w:r>
      <w:r w:rsidRPr="008C60F5">
        <w:rPr>
          <w:rFonts w:asciiTheme="minorHAnsi" w:hAnsiTheme="minorHAnsi" w:cstheme="minorHAnsi"/>
          <w:sz w:val="22"/>
          <w:szCs w:val="22"/>
        </w:rPr>
        <w:tab/>
        <w:t>Azon építmények esetében, amelyeknél az építési tevékenység nem építési engedélyhez kötött, a tényleges használatnak megfelelő adómértéket kell megállapítani.</w:t>
      </w:r>
    </w:p>
    <w:p w14:paraId="1A86B7DF" w14:textId="77777777" w:rsidR="008C60F5" w:rsidRPr="008C60F5" w:rsidRDefault="008C60F5" w:rsidP="008C60F5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(8)</w:t>
      </w:r>
      <w:r w:rsidRPr="008C60F5">
        <w:rPr>
          <w:rFonts w:asciiTheme="minorHAnsi" w:hAnsiTheme="minorHAnsi" w:cstheme="minorHAnsi"/>
          <w:sz w:val="22"/>
          <w:szCs w:val="22"/>
        </w:rPr>
        <w:tab/>
        <w:t>Az építmény jogerős használatbavételi, fennmaradási engedélytől, illetve használatba vétel tudomásul vételétől eltérő használata esetén a tényleges használatnak megfelelő adómértéket kell megállapítani.”</w:t>
      </w:r>
    </w:p>
    <w:p w14:paraId="28657D5B" w14:textId="510732FB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Adómentes a magánszemély tulajdonában álló üzleti célt nem szolgáló gépjárműtároló alapterületének 100%-a; valamint a magánszemély tulajdonában álló egyéb nem lakás céljára használt gazdasági épület </w:t>
      </w:r>
      <w:proofErr w:type="gramStart"/>
      <w:r w:rsidRPr="008C60F5">
        <w:rPr>
          <w:rFonts w:asciiTheme="minorHAnsi" w:hAnsiTheme="minorHAnsi" w:cstheme="minorHAnsi"/>
          <w:sz w:val="22"/>
          <w:szCs w:val="22"/>
        </w:rPr>
        <w:t xml:space="preserve">alapterületének </w:t>
      </w:r>
      <w:r w:rsidR="000A0D6F">
        <w:rPr>
          <w:rFonts w:asciiTheme="minorHAnsi" w:hAnsiTheme="minorHAnsi" w:cstheme="minorHAnsi"/>
          <w:sz w:val="22"/>
          <w:szCs w:val="22"/>
        </w:rPr>
        <w:t xml:space="preserve">    </w:t>
      </w:r>
      <w:r w:rsidRPr="008C60F5">
        <w:rPr>
          <w:rFonts w:asciiTheme="minorHAnsi" w:hAnsiTheme="minorHAnsi" w:cstheme="minorHAnsi"/>
          <w:sz w:val="22"/>
          <w:szCs w:val="22"/>
        </w:rPr>
        <w:t>100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 xml:space="preserve">%-a. </w:t>
      </w:r>
    </w:p>
    <w:p w14:paraId="5886D1F7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1DCA1" w14:textId="79762A96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</w:t>
      </w:r>
      <w:r w:rsidRPr="008C60F5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Pr="008C60F5">
        <w:rPr>
          <w:rFonts w:asciiTheme="minorHAnsi" w:hAnsiTheme="minorHAnsi" w:cstheme="minorHAnsi"/>
          <w:sz w:val="22"/>
          <w:szCs w:val="22"/>
        </w:rPr>
        <w:t xml:space="preserve"> értelmében 202</w:t>
      </w:r>
      <w:r w:rsidR="00656AA8">
        <w:rPr>
          <w:rFonts w:asciiTheme="minorHAnsi" w:hAnsiTheme="minorHAnsi" w:cstheme="minorHAnsi"/>
          <w:sz w:val="22"/>
          <w:szCs w:val="22"/>
        </w:rPr>
        <w:t>3</w:t>
      </w:r>
      <w:r w:rsidRPr="008C60F5">
        <w:rPr>
          <w:rFonts w:asciiTheme="minorHAnsi" w:hAnsiTheme="minorHAnsi" w:cstheme="minorHAnsi"/>
          <w:sz w:val="22"/>
          <w:szCs w:val="22"/>
        </w:rPr>
        <w:t>. január 1. napjától az építményadó sávok változatlanul hagyása mellett az adó mértéke 1000 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8C60F5">
        <w:rPr>
          <w:rFonts w:asciiTheme="minorHAnsi" w:hAnsiTheme="minorHAnsi" w:cstheme="minorHAnsi"/>
          <w:sz w:val="22"/>
          <w:szCs w:val="22"/>
        </w:rPr>
        <w:t xml:space="preserve">alapterület alatt változatlan maradna, az </w:t>
      </w:r>
      <w:r w:rsidRPr="008C60F5">
        <w:rPr>
          <w:rFonts w:asciiTheme="minorHAnsi" w:hAnsiTheme="minorHAnsi" w:cstheme="minorHAnsi"/>
          <w:b/>
          <w:sz w:val="22"/>
          <w:szCs w:val="22"/>
        </w:rPr>
        <w:t>1000 m</w:t>
      </w:r>
      <w:r w:rsidRPr="008C60F5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2 </w:t>
      </w:r>
      <w:r w:rsidRPr="008C60F5">
        <w:rPr>
          <w:rFonts w:asciiTheme="minorHAnsi" w:hAnsiTheme="minorHAnsi" w:cstheme="minorHAnsi"/>
          <w:b/>
          <w:sz w:val="22"/>
          <w:szCs w:val="22"/>
        </w:rPr>
        <w:t>alapterület feletti építmények esetén pedig az alábbiak szerint módosulna az adó mértéke</w:t>
      </w:r>
      <w:r w:rsidRPr="008C60F5">
        <w:rPr>
          <w:rFonts w:asciiTheme="minorHAnsi" w:hAnsiTheme="minorHAnsi" w:cstheme="minorHAnsi"/>
          <w:sz w:val="22"/>
          <w:szCs w:val="22"/>
        </w:rPr>
        <w:t>:</w:t>
      </w:r>
    </w:p>
    <w:p w14:paraId="5EE9D58B" w14:textId="77777777" w:rsidR="008C60F5" w:rsidRPr="008C60F5" w:rsidRDefault="008C60F5" w:rsidP="008C60F5">
      <w:pPr>
        <w:pStyle w:val="Szvegtrz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kereskedelmi egység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</w:t>
      </w:r>
    </w:p>
    <w:p w14:paraId="4BB21328" w14:textId="77777777" w:rsidR="008C60F5" w:rsidRPr="008C60F5" w:rsidRDefault="008C60F5" w:rsidP="008C60F5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01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</w:t>
      </w:r>
      <w:smartTag w:uri="urn:schemas-microsoft-com:office:smarttags" w:element="metricconverter">
        <w:smartTagPr>
          <w:attr w:name="ProductID" w:val="1100000 Ft"/>
        </w:smartTagPr>
        <w:r w:rsidRPr="008C60F5">
          <w:rPr>
            <w:rFonts w:asciiTheme="minorHAnsi" w:hAnsiTheme="minorHAnsi" w:cstheme="minorHAnsi"/>
            <w:sz w:val="22"/>
            <w:szCs w:val="22"/>
          </w:rPr>
          <w:t>1100000 Ft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feletti rész után 2000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0995C152" w14:textId="77777777" w:rsidR="008C60F5" w:rsidRPr="008C60F5" w:rsidRDefault="008C60F5" w:rsidP="008C60F5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egyéb nem lakás céljára szolgáló épület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</w:t>
      </w:r>
    </w:p>
    <w:p w14:paraId="51262DD2" w14:textId="77777777" w:rsidR="008C60F5" w:rsidRPr="008C60F5" w:rsidRDefault="008C60F5" w:rsidP="008C60F5">
      <w:pPr>
        <w:pStyle w:val="Szvegtrzs"/>
        <w:ind w:left="7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01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</w:t>
      </w:r>
      <w:smartTag w:uri="urn:schemas-microsoft-com:office:smarttags" w:element="metricconverter">
        <w:smartTagPr>
          <w:attr w:name="ProductID" w:val="850000 Ft"/>
        </w:smartTagPr>
        <w:r w:rsidRPr="008C60F5">
          <w:rPr>
            <w:rFonts w:asciiTheme="minorHAnsi" w:hAnsiTheme="minorHAnsi" w:cstheme="minorHAnsi"/>
            <w:sz w:val="22"/>
            <w:szCs w:val="22"/>
          </w:rPr>
          <w:t>850000 Ft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feletti rész után 2000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40B8B29F" w14:textId="77777777" w:rsidR="008C60F5" w:rsidRPr="008C60F5" w:rsidRDefault="008C60F5" w:rsidP="008C60F5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8A955BB" w14:textId="454CB56D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További javaslatként megszüntetésre kerülne az új építésű építmények után az első adóévben alkalmazott 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 xml:space="preserve"> adómérték. Ezen új építésű építmények esetén a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 xml:space="preserve">. előírása alapján a </w:t>
      </w:r>
      <w:r w:rsidR="00656AA8">
        <w:rPr>
          <w:rFonts w:asciiTheme="minorHAnsi" w:hAnsiTheme="minorHAnsi" w:cstheme="minorHAnsi"/>
          <w:sz w:val="22"/>
          <w:szCs w:val="22"/>
        </w:rPr>
        <w:t xml:space="preserve">végleges </w:t>
      </w:r>
      <w:r w:rsidRPr="008C60F5">
        <w:rPr>
          <w:rFonts w:asciiTheme="minorHAnsi" w:hAnsiTheme="minorHAnsi" w:cstheme="minorHAnsi"/>
          <w:sz w:val="22"/>
          <w:szCs w:val="22"/>
        </w:rPr>
        <w:t>használatbavételi illetve fennmaradási engedély kiadását követő évtől fennállna az építményadó fizetési kötelezettség.</w:t>
      </w:r>
    </w:p>
    <w:p w14:paraId="634AA3D9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CAF86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települési önkormányzatok a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>. 6. § c) pontja értelmében az adó mértékét a törvényben meghatározott felső határokra (adómaximumokra) tekintettel határozhatják meg. A Pénzügyminisztérium által kiadott, az egyes tételes helyi adómértékek valorizációjáról szóló tájékoztató értelmében - a KSH által közzétett adatok alapján a fogyasztói árszínvonal-változás (infláció) figyelembevételével - 2021. január 1. napjától az építmények utáni adó felső határa 2018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 A rendeletmódosítás eredményeként a kereskedelmi egységek vonatkozásában az átlagos adómérték 1233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-ről 1400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-re emelkedne,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ami az adómaximum 69 %-</w:t>
      </w:r>
      <w:proofErr w:type="gramStart"/>
      <w:r w:rsidRPr="008C60F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>, egyéb nem lakás céljára szolgáló épületek esetében pedig az átlagos adómérték 900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-ről 1233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-re emelkedne,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ami az adómaximum 61 %-a.</w:t>
      </w:r>
    </w:p>
    <w:p w14:paraId="67666C89" w14:textId="77777777" w:rsidR="008C60F5" w:rsidRPr="008C60F5" w:rsidRDefault="008C60F5" w:rsidP="008C60F5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5EC133" w14:textId="7D71CF0A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>A módosítás következtében a 202</w:t>
      </w:r>
      <w:r w:rsidR="00656AA8">
        <w:rPr>
          <w:rFonts w:asciiTheme="minorHAnsi" w:hAnsiTheme="minorHAnsi" w:cstheme="minorHAnsi"/>
          <w:bCs/>
          <w:sz w:val="22"/>
          <w:szCs w:val="22"/>
        </w:rPr>
        <w:t>2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. évben adóköteles </w:t>
      </w:r>
      <w:r w:rsidR="003152E7">
        <w:rPr>
          <w:rFonts w:asciiTheme="minorHAnsi" w:hAnsiTheme="minorHAnsi" w:cstheme="minorHAnsi"/>
          <w:bCs/>
          <w:sz w:val="22"/>
          <w:szCs w:val="22"/>
        </w:rPr>
        <w:t>1674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kereskedelmi egységből 6</w:t>
      </w:r>
      <w:r w:rsidR="003152E7">
        <w:rPr>
          <w:rFonts w:asciiTheme="minorHAnsi" w:hAnsiTheme="minorHAnsi" w:cstheme="minorHAnsi"/>
          <w:bCs/>
          <w:sz w:val="22"/>
          <w:szCs w:val="22"/>
        </w:rPr>
        <w:t>7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adótárgy esetében, 5</w:t>
      </w:r>
      <w:r w:rsidR="003152E7">
        <w:rPr>
          <w:rFonts w:asciiTheme="minorHAnsi" w:hAnsiTheme="minorHAnsi" w:cstheme="minorHAnsi"/>
          <w:bCs/>
          <w:sz w:val="22"/>
          <w:szCs w:val="22"/>
        </w:rPr>
        <w:t>5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adóalanyt érintően, továbbá </w:t>
      </w:r>
      <w:r w:rsidR="003152E7">
        <w:rPr>
          <w:rFonts w:asciiTheme="minorHAnsi" w:hAnsiTheme="minorHAnsi" w:cstheme="minorHAnsi"/>
          <w:bCs/>
          <w:sz w:val="22"/>
          <w:szCs w:val="22"/>
        </w:rPr>
        <w:t>1282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egyéb nem lakás céljára szolgáló épületből 14</w:t>
      </w:r>
      <w:r w:rsidR="003152E7">
        <w:rPr>
          <w:rFonts w:asciiTheme="minorHAnsi" w:hAnsiTheme="minorHAnsi" w:cstheme="minorHAnsi"/>
          <w:bCs/>
          <w:sz w:val="22"/>
          <w:szCs w:val="22"/>
        </w:rPr>
        <w:t>8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adótárgy esetében, 9</w:t>
      </w:r>
      <w:r w:rsidR="003152E7">
        <w:rPr>
          <w:rFonts w:asciiTheme="minorHAnsi" w:hAnsiTheme="minorHAnsi" w:cstheme="minorHAnsi"/>
          <w:bCs/>
          <w:sz w:val="22"/>
          <w:szCs w:val="22"/>
        </w:rPr>
        <w:t>1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60F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adóalanyt érintően keletkezne adóemelkedés. </w:t>
      </w:r>
      <w:r w:rsidRPr="008C60F5">
        <w:rPr>
          <w:rFonts w:asciiTheme="minorHAnsi" w:hAnsiTheme="minorHAnsi" w:cstheme="minorHAnsi"/>
          <w:sz w:val="22"/>
          <w:szCs w:val="22"/>
        </w:rPr>
        <w:t xml:space="preserve">Az építményadó újraszabályozása várhatóan </w:t>
      </w:r>
      <w:r w:rsidR="003152E7">
        <w:rPr>
          <w:rFonts w:asciiTheme="minorHAnsi" w:hAnsiTheme="minorHAnsi" w:cstheme="minorHAnsi"/>
          <w:sz w:val="22"/>
          <w:szCs w:val="22"/>
        </w:rPr>
        <w:t>642</w:t>
      </w:r>
      <w:r w:rsidRPr="008C60F5">
        <w:rPr>
          <w:rFonts w:asciiTheme="minorHAnsi" w:hAnsiTheme="minorHAnsi" w:cstheme="minorHAnsi"/>
          <w:sz w:val="22"/>
          <w:szCs w:val="22"/>
        </w:rPr>
        <w:t xml:space="preserve"> millió forint adótöbbletet eredményezne 202</w:t>
      </w:r>
      <w:r w:rsidR="00656AA8">
        <w:rPr>
          <w:rFonts w:asciiTheme="minorHAnsi" w:hAnsiTheme="minorHAnsi" w:cstheme="minorHAnsi"/>
          <w:sz w:val="22"/>
          <w:szCs w:val="22"/>
        </w:rPr>
        <w:t>3</w:t>
      </w:r>
      <w:r w:rsidRPr="008C60F5">
        <w:rPr>
          <w:rFonts w:asciiTheme="minorHAnsi" w:hAnsiTheme="minorHAnsi" w:cstheme="minorHAnsi"/>
          <w:sz w:val="22"/>
          <w:szCs w:val="22"/>
        </w:rPr>
        <w:t xml:space="preserve">. évben. </w:t>
      </w:r>
    </w:p>
    <w:p w14:paraId="51269DEA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4F26C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A javaslat nem érinti a magánszemélyek tulajdonában lévő lakás és egyéb nem lakás célú építmények (gépjárműtárolók, gazdasági épületek) utáni adófizetési kötelezettség bevezetését. Az 1000 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8C60F5">
        <w:rPr>
          <w:rFonts w:asciiTheme="minorHAnsi" w:hAnsiTheme="minorHAnsi" w:cstheme="minorHAnsi"/>
          <w:sz w:val="22"/>
          <w:szCs w:val="22"/>
        </w:rPr>
        <w:t>alatti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 segítve ezzel a kisebb vállalkozásokat, hogy anyagi terheik ne súlyosbodjanak.</w:t>
      </w:r>
    </w:p>
    <w:p w14:paraId="7454FFF5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C5B54" w14:textId="067D5D46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A helyi iparűzési adó vonatkozásában</w:t>
      </w:r>
      <w:r w:rsidRPr="008C60F5">
        <w:rPr>
          <w:rFonts w:asciiTheme="minorHAnsi" w:hAnsiTheme="minorHAnsi" w:cstheme="minorHAnsi"/>
          <w:b/>
          <w:sz w:val="22"/>
          <w:szCs w:val="22"/>
        </w:rPr>
        <w:t xml:space="preserve"> az önkormányzat továbbra is biztosítaná a 2,5 millió forint vállalkozási szintű adóalap alatti társas és egyéni vállalkozások részére a teljes adómentességet</w:t>
      </w:r>
      <w:r w:rsidRPr="008C60F5">
        <w:rPr>
          <w:rFonts w:asciiTheme="minorHAnsi" w:hAnsiTheme="minorHAnsi" w:cstheme="minorHAnsi"/>
          <w:sz w:val="22"/>
          <w:szCs w:val="22"/>
        </w:rPr>
        <w:t>. A 2</w:t>
      </w:r>
      <w:r w:rsidR="00656AA8">
        <w:rPr>
          <w:rFonts w:asciiTheme="minorHAnsi" w:hAnsiTheme="minorHAnsi" w:cstheme="minorHAnsi"/>
          <w:sz w:val="22"/>
          <w:szCs w:val="22"/>
        </w:rPr>
        <w:t>5</w:t>
      </w:r>
      <w:r w:rsidRPr="008C60F5">
        <w:rPr>
          <w:rFonts w:asciiTheme="minorHAnsi" w:hAnsiTheme="minorHAnsi" w:cstheme="minorHAnsi"/>
          <w:sz w:val="22"/>
          <w:szCs w:val="22"/>
        </w:rPr>
        <w:t xml:space="preserve"> megyei jogú város viszonylatában Szombathelyen kívül mindössze 3 város biztosít teljes adómentességet </w:t>
      </w:r>
      <w:proofErr w:type="gramStart"/>
      <w:r w:rsidRPr="008C60F5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 xml:space="preserve"> vállalkozások részére. A 202</w:t>
      </w:r>
      <w:r w:rsidR="00656AA8">
        <w:rPr>
          <w:rFonts w:asciiTheme="minorHAnsi" w:hAnsiTheme="minorHAnsi" w:cstheme="minorHAnsi"/>
          <w:sz w:val="22"/>
          <w:szCs w:val="22"/>
        </w:rPr>
        <w:t>1</w:t>
      </w:r>
      <w:r w:rsidRPr="008C60F5">
        <w:rPr>
          <w:rFonts w:asciiTheme="minorHAnsi" w:hAnsiTheme="minorHAnsi" w:cstheme="minorHAnsi"/>
          <w:sz w:val="22"/>
          <w:szCs w:val="22"/>
        </w:rPr>
        <w:t xml:space="preserve">. évi helyi iparűzési adóbevallási adatok </w:t>
      </w:r>
      <w:proofErr w:type="gramStart"/>
      <w:r w:rsidRPr="008C60F5">
        <w:rPr>
          <w:rFonts w:asciiTheme="minorHAnsi" w:hAnsiTheme="minorHAnsi" w:cstheme="minorHAnsi"/>
          <w:sz w:val="22"/>
          <w:szCs w:val="22"/>
        </w:rPr>
        <w:t>alapján</w:t>
      </w:r>
      <w:proofErr w:type="gramEnd"/>
      <w:r w:rsidRPr="008C60F5">
        <w:rPr>
          <w:rFonts w:asciiTheme="minorHAnsi" w:hAnsiTheme="minorHAnsi" w:cstheme="minorHAnsi"/>
          <w:sz w:val="22"/>
          <w:szCs w:val="22"/>
        </w:rPr>
        <w:t xml:space="preserve"> a Szombathelyen tevékenységet végző vállalkozások 65%-a mentesül az iparűzési adó fizetése alól. Ez az adóelőny jelentős kedvezmény szintén a kis- és középvállalkozások részére.</w:t>
      </w:r>
    </w:p>
    <w:p w14:paraId="35789323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175A9" w14:textId="77777777" w:rsidR="008C60F5" w:rsidRPr="008C60F5" w:rsidRDefault="008C60F5" w:rsidP="008C60F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8C60F5">
        <w:rPr>
          <w:rFonts w:asciiTheme="minorHAnsi" w:hAnsiTheme="minorHAnsi" w:cstheme="minorHAnsi"/>
          <w:bCs/>
          <w:sz w:val="22"/>
          <w:szCs w:val="22"/>
        </w:rPr>
        <w:t>Htv</w:t>
      </w:r>
      <w:proofErr w:type="spell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. 7.§ g) pontja értelmében az önkormányzat </w:t>
      </w:r>
      <w:r w:rsidRPr="008C60F5">
        <w:rPr>
          <w:rFonts w:asciiTheme="minorHAnsi" w:hAnsiTheme="minorHAnsi" w:cstheme="minorHAnsi"/>
          <w:sz w:val="22"/>
          <w:szCs w:val="22"/>
        </w:rPr>
        <w:t xml:space="preserve">az adóalap fajtáját, az adó mértékét, a rendeleti adómentességet és adókedvezményt úgy állapíthatja meg, hogy azok összességükben egyaránt megfeleljenek a helyi sajátosságoknak, az önkormányzat gazdálkodási követelményeinek és az adóalanyok széles körét érintően az adóalanyok teherviselő képességének. </w:t>
      </w:r>
    </w:p>
    <w:p w14:paraId="1600EFF4" w14:textId="77777777" w:rsidR="008C60F5" w:rsidRPr="008C60F5" w:rsidRDefault="008C60F5" w:rsidP="008C60F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javaslat eleget tesz a fenti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adómegállapítási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 xml:space="preserve"> követelményeknek, korlátozásoknak. Az adó mértékét differenciáltan, építmény fajtánként határozza meg, továbbá figyelemmel van az önkormányzat gazdálkodására és az adóalanyok teherbíró képességére. </w:t>
      </w:r>
    </w:p>
    <w:p w14:paraId="3D020E5A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ED5AB4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 xml:space="preserve">Építményadó tekintetében az adóalanyiság és az adókötelezettség megállapítása a naptári év első napján fennálló állapothoz kötődik. Az önkormányzati adóhatóság adóévre állapít meg az adózók részére adókötelezettséget. A </w:t>
      </w:r>
      <w:proofErr w:type="spellStart"/>
      <w:r w:rsidRPr="008C60F5">
        <w:rPr>
          <w:rFonts w:asciiTheme="minorHAnsi" w:hAnsiTheme="minorHAnsi" w:cstheme="minorHAnsi"/>
          <w:bCs/>
          <w:sz w:val="22"/>
          <w:szCs w:val="22"/>
        </w:rPr>
        <w:t>Htv</w:t>
      </w:r>
      <w:proofErr w:type="spell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. 6. § a) bekezdése szerint az önkormányzat </w:t>
      </w:r>
      <w:proofErr w:type="spellStart"/>
      <w:r w:rsidRPr="008C60F5">
        <w:rPr>
          <w:rFonts w:asciiTheme="minorHAnsi" w:hAnsiTheme="minorHAnsi" w:cstheme="minorHAnsi"/>
          <w:bCs/>
          <w:sz w:val="22"/>
          <w:szCs w:val="22"/>
        </w:rPr>
        <w:t>adómegállapítási</w:t>
      </w:r>
      <w:proofErr w:type="spell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 joga arra terjed ki, hogy a </w:t>
      </w:r>
      <w:proofErr w:type="spellStart"/>
      <w:r w:rsidRPr="008C60F5">
        <w:rPr>
          <w:rFonts w:asciiTheme="minorHAnsi" w:hAnsiTheme="minorHAnsi" w:cstheme="minorHAnsi"/>
          <w:bCs/>
          <w:sz w:val="22"/>
          <w:szCs w:val="22"/>
        </w:rPr>
        <w:t>Htv.-ben</w:t>
      </w:r>
      <w:proofErr w:type="spell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 meghatározott adókat vagy azok valamelyikét bevezesse, a már bevezetett adót hatályon kívül helyezze, illetőleg módosítsa, azonban az évközi módosítás naptári éven belül nem súlyosbíthatja az adóalanyok adóterheit.</w:t>
      </w:r>
    </w:p>
    <w:p w14:paraId="36BD7439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>A Magyarország gazdasági stabilitásáról szóló 2011. évi CXCIV. törvény (továbbiakban: Stabilitási tv.) 32. §</w:t>
      </w:r>
      <w:proofErr w:type="spellStart"/>
      <w:r w:rsidRPr="008C60F5">
        <w:rPr>
          <w:rFonts w:asciiTheme="minorHAnsi" w:hAnsiTheme="minorHAnsi" w:cstheme="minorHAnsi"/>
          <w:bCs/>
          <w:sz w:val="22"/>
          <w:szCs w:val="22"/>
        </w:rPr>
        <w:t>-</w:t>
      </w:r>
      <w:proofErr w:type="gramStart"/>
      <w:r w:rsidRPr="008C60F5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proofErr w:type="gram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 értelmében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1D207777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93D206" w14:textId="76895B9E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 xml:space="preserve">A rendelettervezetben megfogalmazott adómérték módosítás az érintett adóalanyok esetében adókötelezettség emelkedést eredményez, ezért a </w:t>
      </w:r>
      <w:proofErr w:type="spellStart"/>
      <w:r w:rsidRPr="008C60F5">
        <w:rPr>
          <w:rFonts w:asciiTheme="minorHAnsi" w:hAnsiTheme="minorHAnsi" w:cstheme="minorHAnsi"/>
          <w:bCs/>
          <w:sz w:val="22"/>
          <w:szCs w:val="22"/>
        </w:rPr>
        <w:t>Htv</w:t>
      </w:r>
      <w:proofErr w:type="spell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. és a Stabilitási tv. </w:t>
      </w:r>
      <w:proofErr w:type="gramStart"/>
      <w:r w:rsidRPr="008C60F5">
        <w:rPr>
          <w:rFonts w:asciiTheme="minorHAnsi" w:hAnsiTheme="minorHAnsi" w:cstheme="minorHAnsi"/>
          <w:bCs/>
          <w:sz w:val="22"/>
          <w:szCs w:val="22"/>
        </w:rPr>
        <w:t>fenti</w:t>
      </w:r>
      <w:proofErr w:type="gramEnd"/>
      <w:r w:rsidRPr="008C60F5">
        <w:rPr>
          <w:rFonts w:asciiTheme="minorHAnsi" w:hAnsiTheme="minorHAnsi" w:cstheme="minorHAnsi"/>
          <w:bCs/>
          <w:sz w:val="22"/>
          <w:szCs w:val="22"/>
        </w:rPr>
        <w:t xml:space="preserve"> előírásaira figyelemmel a 202</w:t>
      </w:r>
      <w:r w:rsidR="00656AA8">
        <w:rPr>
          <w:rFonts w:asciiTheme="minorHAnsi" w:hAnsiTheme="minorHAnsi" w:cstheme="minorHAnsi"/>
          <w:bCs/>
          <w:sz w:val="22"/>
          <w:szCs w:val="22"/>
        </w:rPr>
        <w:t>3</w:t>
      </w:r>
      <w:r w:rsidRPr="008C60F5">
        <w:rPr>
          <w:rFonts w:asciiTheme="minorHAnsi" w:hAnsiTheme="minorHAnsi" w:cstheme="minorHAnsi"/>
          <w:bCs/>
          <w:sz w:val="22"/>
          <w:szCs w:val="22"/>
        </w:rPr>
        <w:t>. január 1. nappal hatályba lépő rendeletet legkésőbb 202</w:t>
      </w:r>
      <w:r w:rsidR="00656AA8">
        <w:rPr>
          <w:rFonts w:asciiTheme="minorHAnsi" w:hAnsiTheme="minorHAnsi" w:cstheme="minorHAnsi"/>
          <w:bCs/>
          <w:sz w:val="22"/>
          <w:szCs w:val="22"/>
        </w:rPr>
        <w:t>2</w:t>
      </w:r>
      <w:r w:rsidRPr="008C60F5">
        <w:rPr>
          <w:rFonts w:asciiTheme="minorHAnsi" w:hAnsiTheme="minorHAnsi" w:cstheme="minorHAnsi"/>
          <w:bCs/>
          <w:sz w:val="22"/>
          <w:szCs w:val="22"/>
        </w:rPr>
        <w:t>. december 1. napjáig kell kihirdetni.</w:t>
      </w:r>
    </w:p>
    <w:p w14:paraId="1EECCFBA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8ED436" w14:textId="3F04FF8B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1E29D2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="001E29D2">
        <w:rPr>
          <w:rFonts w:asciiTheme="minorHAnsi" w:hAnsiTheme="minorHAnsi" w:cstheme="minorHAnsi"/>
          <w:sz w:val="22"/>
          <w:szCs w:val="22"/>
        </w:rPr>
        <w:t>. 51/P. §</w:t>
      </w:r>
      <w:proofErr w:type="spellStart"/>
      <w:r w:rsidR="001E29D2">
        <w:rPr>
          <w:rFonts w:asciiTheme="minorHAnsi" w:hAnsiTheme="minorHAnsi" w:cstheme="minorHAnsi"/>
          <w:sz w:val="22"/>
          <w:szCs w:val="22"/>
        </w:rPr>
        <w:t>-</w:t>
      </w:r>
      <w:r w:rsidRPr="008C60F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 xml:space="preserve"> 202</w:t>
      </w:r>
      <w:r w:rsidR="001E29D2">
        <w:rPr>
          <w:rFonts w:asciiTheme="minorHAnsi" w:hAnsiTheme="minorHAnsi" w:cstheme="minorHAnsi"/>
          <w:sz w:val="22"/>
          <w:szCs w:val="22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 évben végződő adóévre fogalmazott meg helyi adó mérték emelésére vonatkozó tilalmat. A jelenleg hatályban lévő jogszabályi előírások a 202</w:t>
      </w:r>
      <w:r w:rsidR="00656AA8">
        <w:rPr>
          <w:rFonts w:asciiTheme="minorHAnsi" w:hAnsiTheme="minorHAnsi" w:cstheme="minorHAnsi"/>
          <w:sz w:val="22"/>
          <w:szCs w:val="22"/>
        </w:rPr>
        <w:t>3</w:t>
      </w:r>
      <w:r w:rsidRPr="008C60F5">
        <w:rPr>
          <w:rFonts w:asciiTheme="minorHAnsi" w:hAnsiTheme="minorHAnsi" w:cstheme="minorHAnsi"/>
          <w:sz w:val="22"/>
          <w:szCs w:val="22"/>
        </w:rPr>
        <w:t xml:space="preserve">. adóév tekintetében nem rögzítenek az önkormányzatok részére </w:t>
      </w:r>
      <w:r w:rsidR="001E29D2">
        <w:rPr>
          <w:rFonts w:asciiTheme="minorHAnsi" w:hAnsiTheme="minorHAnsi" w:cstheme="minorHAnsi"/>
          <w:sz w:val="22"/>
          <w:szCs w:val="22"/>
        </w:rPr>
        <w:t>adószabályozási moratóriumot</w:t>
      </w:r>
      <w:r w:rsidR="00E14516">
        <w:rPr>
          <w:rFonts w:asciiTheme="minorHAnsi" w:hAnsiTheme="minorHAnsi" w:cstheme="minorHAnsi"/>
          <w:sz w:val="22"/>
          <w:szCs w:val="22"/>
        </w:rPr>
        <w:t>.</w:t>
      </w:r>
    </w:p>
    <w:p w14:paraId="746FC8B9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E2D146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>A gazdasági kamarákról szóló 1999. évi CXXI. törvény 37. § (4) bekezdése alapján a rendeleti javaslatról a Vas Megyei Kereskedelmi és Iparkamara véleményét szükséges kikérni. Ennek kézhezvételét követően kerülhet sor a döntés meghozatalára. A Kamara véleményéről az ülésen tájékoztatom a Tisztelt Közgyűlést.</w:t>
      </w:r>
    </w:p>
    <w:p w14:paraId="46831C08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D74230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8C60F5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8C60F5">
        <w:rPr>
          <w:rFonts w:asciiTheme="minorHAnsi" w:hAnsiTheme="minorHAnsi" w:cstheme="minorHAnsi"/>
          <w:sz w:val="22"/>
          <w:szCs w:val="22"/>
        </w:rPr>
        <w:t>. 18. § (1) bekezdése alapján a jogszabály tervezetéhez a jogszabály előkészítője indokolást csatol. Erre tekintettel az előterjesztés mellékletét képezi a rendelet-módosítás tervezete mellett a hatásvizsgálati lap és indokolás.</w:t>
      </w:r>
    </w:p>
    <w:p w14:paraId="1312F8C4" w14:textId="77777777" w:rsidR="008C60F5" w:rsidRPr="008C60F5" w:rsidRDefault="008C60F5" w:rsidP="008C60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DE3C10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Kérem a Tisztelt Közgyűlést, hogy a rendelet tervezetét megtárgyalni, a rendeletet megalkotni szíveskedjék.</w:t>
      </w:r>
    </w:p>
    <w:p w14:paraId="3DB308E1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87C21" w14:textId="1A690667" w:rsidR="008C60F5" w:rsidRDefault="008C60F5" w:rsidP="008C60F5">
      <w:pPr>
        <w:rPr>
          <w:rFonts w:asciiTheme="minorHAnsi" w:hAnsiTheme="minorHAnsi" w:cstheme="minorHAnsi"/>
          <w:b/>
          <w:sz w:val="22"/>
          <w:szCs w:val="22"/>
        </w:rPr>
      </w:pPr>
      <w:r w:rsidRPr="008C60F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56AA8">
        <w:rPr>
          <w:rFonts w:asciiTheme="minorHAnsi" w:hAnsiTheme="minorHAnsi" w:cstheme="minorHAnsi"/>
          <w:b/>
          <w:sz w:val="22"/>
          <w:szCs w:val="22"/>
        </w:rPr>
        <w:t>2</w:t>
      </w:r>
      <w:r w:rsidRPr="008C60F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56AA8">
        <w:rPr>
          <w:rFonts w:asciiTheme="minorHAnsi" w:hAnsiTheme="minorHAnsi" w:cstheme="minorHAnsi"/>
          <w:b/>
          <w:sz w:val="22"/>
          <w:szCs w:val="22"/>
        </w:rPr>
        <w:t>október</w:t>
      </w:r>
      <w:r w:rsidRPr="008C60F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C60F5">
        <w:rPr>
          <w:rFonts w:asciiTheme="minorHAnsi" w:hAnsiTheme="minorHAnsi" w:cstheme="minorHAnsi"/>
          <w:b/>
          <w:sz w:val="22"/>
          <w:szCs w:val="22"/>
        </w:rPr>
        <w:t xml:space="preserve">„       </w:t>
      </w:r>
      <w:r w:rsidR="00656AA8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8C60F5">
        <w:rPr>
          <w:rFonts w:asciiTheme="minorHAnsi" w:hAnsiTheme="minorHAnsi" w:cstheme="minorHAnsi"/>
          <w:b/>
          <w:sz w:val="22"/>
          <w:szCs w:val="22"/>
        </w:rPr>
        <w:t>”</w:t>
      </w:r>
    </w:p>
    <w:p w14:paraId="4A276C18" w14:textId="77777777" w:rsidR="00656AA8" w:rsidRPr="00BC6BE2" w:rsidRDefault="00656AA8" w:rsidP="008C60F5">
      <w:pPr>
        <w:rPr>
          <w:rFonts w:asciiTheme="minorHAnsi" w:hAnsiTheme="minorHAnsi" w:cstheme="minorHAnsi"/>
          <w:b/>
          <w:sz w:val="16"/>
          <w:szCs w:val="16"/>
        </w:rPr>
      </w:pPr>
    </w:p>
    <w:p w14:paraId="10683852" w14:textId="77777777" w:rsidR="00656AA8" w:rsidRPr="00BC6BE2" w:rsidRDefault="00656AA8" w:rsidP="008C60F5">
      <w:pPr>
        <w:rPr>
          <w:rFonts w:asciiTheme="minorHAnsi" w:hAnsiTheme="minorHAnsi" w:cstheme="minorHAnsi"/>
          <w:b/>
          <w:sz w:val="20"/>
          <w:szCs w:val="20"/>
        </w:rPr>
      </w:pPr>
    </w:p>
    <w:p w14:paraId="6064565C" w14:textId="77777777" w:rsidR="008C60F5" w:rsidRPr="008C60F5" w:rsidRDefault="008C60F5" w:rsidP="00656AA8">
      <w:pPr>
        <w:ind w:left="1418" w:firstLine="709"/>
        <w:rPr>
          <w:rFonts w:asciiTheme="minorHAnsi" w:hAnsiTheme="minorHAnsi" w:cstheme="minorHAnsi"/>
          <w:b/>
          <w:sz w:val="22"/>
          <w:szCs w:val="22"/>
        </w:rPr>
      </w:pPr>
      <w:r w:rsidRPr="008C60F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/: Dr. </w:t>
      </w:r>
      <w:proofErr w:type="spellStart"/>
      <w:r w:rsidRPr="008C60F5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8C60F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C60F5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8C60F5">
        <w:rPr>
          <w:rFonts w:asciiTheme="minorHAnsi" w:hAnsiTheme="minorHAnsi" w:cstheme="minorHAnsi"/>
          <w:b/>
          <w:sz w:val="22"/>
          <w:szCs w:val="22"/>
        </w:rPr>
        <w:t xml:space="preserve">/ </w:t>
      </w:r>
    </w:p>
    <w:sectPr w:rsidR="008C60F5" w:rsidRPr="008C60F5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1660B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1660B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</w:p>
  <w:p w14:paraId="366FE9B2" w14:textId="49403CD8" w:rsidR="00760F4C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6DC4C14" w14:textId="77777777" w:rsidR="008C60F5" w:rsidRPr="008C60F5" w:rsidRDefault="008C60F5" w:rsidP="008C60F5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8C60F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C5F5FFA" w14:textId="77777777" w:rsidR="008C60F5" w:rsidRPr="008C60F5" w:rsidRDefault="008C60F5" w:rsidP="008C60F5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8C60F5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</w:p>
  <w:p w14:paraId="31F1C2F4" w14:textId="1C89FE86" w:rsidR="008C60F5" w:rsidRPr="008C60F5" w:rsidRDefault="008C60F5" w:rsidP="008C60F5">
    <w:pPr>
      <w:pStyle w:val="Listaszerbekezds"/>
      <w:numPr>
        <w:ilvl w:val="0"/>
        <w:numId w:val="3"/>
      </w:numPr>
      <w:rPr>
        <w:rFonts w:asciiTheme="minorHAnsi" w:hAnsiTheme="minorHAnsi" w:cstheme="minorHAnsi"/>
        <w:bCs/>
        <w:sz w:val="22"/>
        <w:szCs w:val="22"/>
      </w:rPr>
    </w:pPr>
    <w:r w:rsidRPr="008C60F5">
      <w:rPr>
        <w:rFonts w:asciiTheme="minorHAnsi" w:hAnsiTheme="minorHAnsi" w:cstheme="minorHAnsi"/>
        <w:bCs/>
        <w:sz w:val="22"/>
        <w:szCs w:val="22"/>
      </w:rPr>
      <w:t>Gazdasági és Jogi Bizottság</w:t>
    </w:r>
  </w:p>
  <w:p w14:paraId="22D0C8E8" w14:textId="3F9F6D55" w:rsidR="008C60F5" w:rsidRDefault="008C60F5" w:rsidP="008C60F5">
    <w:pPr>
      <w:pStyle w:val="Listaszerbekezds"/>
      <w:numPr>
        <w:ilvl w:val="0"/>
        <w:numId w:val="3"/>
      </w:numPr>
      <w:rPr>
        <w:rFonts w:asciiTheme="minorHAnsi" w:hAnsiTheme="minorHAnsi" w:cstheme="minorHAnsi"/>
        <w:bCs/>
        <w:sz w:val="22"/>
        <w:szCs w:val="22"/>
      </w:rPr>
    </w:pPr>
    <w:r w:rsidRPr="008C60F5">
      <w:rPr>
        <w:rFonts w:asciiTheme="minorHAnsi" w:hAnsiTheme="minorHAnsi" w:cstheme="minorHAnsi"/>
        <w:bCs/>
        <w:sz w:val="22"/>
        <w:szCs w:val="22"/>
      </w:rPr>
      <w:t>Városstratégiai, Idegenforgalmi és Sport Bizottság</w:t>
    </w:r>
  </w:p>
  <w:p w14:paraId="6AF3E746" w14:textId="0E3209FA" w:rsidR="00E14516" w:rsidRPr="00E14516" w:rsidRDefault="00E14516" w:rsidP="00E14516">
    <w:pPr>
      <w:pStyle w:val="Listaszerbekezds"/>
      <w:numPr>
        <w:ilvl w:val="0"/>
        <w:numId w:val="3"/>
      </w:numPr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  <w:sz w:val="22"/>
        <w:szCs w:val="22"/>
      </w:rPr>
      <w:t>Költségvetési Ellenőrző Szakmai Bizottság</w:t>
    </w:r>
  </w:p>
  <w:p w14:paraId="3EB843F3" w14:textId="77777777" w:rsidR="008C60F5" w:rsidRPr="008C60F5" w:rsidRDefault="008C60F5" w:rsidP="008C60F5">
    <w:pPr>
      <w:rPr>
        <w:rFonts w:asciiTheme="minorHAnsi" w:hAnsiTheme="minorHAnsi" w:cstheme="minorHAnsi"/>
        <w:bCs/>
        <w:i/>
        <w:sz w:val="22"/>
        <w:szCs w:val="22"/>
      </w:rPr>
    </w:pPr>
  </w:p>
  <w:p w14:paraId="3E1388AF" w14:textId="77777777" w:rsidR="008C60F5" w:rsidRPr="008C60F5" w:rsidRDefault="008C60F5" w:rsidP="008C60F5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8C60F5">
      <w:rPr>
        <w:rFonts w:asciiTheme="minorHAnsi" w:hAnsiTheme="minorHAnsi" w:cstheme="minorHAnsi"/>
        <w:b/>
        <w:sz w:val="22"/>
        <w:szCs w:val="22"/>
        <w:u w:val="single"/>
      </w:rPr>
      <w:t>A rendelettervezetet törvényességi szempontból megvizsgáltam:</w:t>
    </w:r>
  </w:p>
  <w:p w14:paraId="0E6F7F63" w14:textId="77777777" w:rsidR="008C60F5" w:rsidRPr="008C60F5" w:rsidRDefault="008C60F5" w:rsidP="008C60F5">
    <w:pPr>
      <w:rPr>
        <w:rFonts w:asciiTheme="minorHAnsi" w:hAnsiTheme="minorHAnsi" w:cstheme="minorHAnsi"/>
        <w:bCs/>
        <w:sz w:val="22"/>
        <w:szCs w:val="22"/>
      </w:rPr>
    </w:pPr>
  </w:p>
  <w:p w14:paraId="6676BC53" w14:textId="77777777" w:rsidR="008C60F5" w:rsidRPr="008C60F5" w:rsidRDefault="008C60F5" w:rsidP="008C60F5">
    <w:pPr>
      <w:rPr>
        <w:rFonts w:asciiTheme="minorHAnsi" w:hAnsiTheme="minorHAnsi" w:cstheme="minorHAnsi"/>
        <w:bCs/>
        <w:sz w:val="22"/>
        <w:szCs w:val="22"/>
      </w:rPr>
    </w:pPr>
  </w:p>
  <w:p w14:paraId="7423A14D" w14:textId="77777777" w:rsidR="008C60F5" w:rsidRPr="008C60F5" w:rsidRDefault="008C60F5" w:rsidP="008C60F5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8C60F5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8C60F5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8C60F5">
      <w:rPr>
        <w:rFonts w:asciiTheme="minorHAnsi" w:hAnsiTheme="minorHAnsi" w:cstheme="minorHAnsi"/>
        <w:bCs/>
        <w:sz w:val="22"/>
        <w:szCs w:val="22"/>
      </w:rPr>
      <w:t>/</w:t>
    </w:r>
  </w:p>
  <w:p w14:paraId="15F00F6C" w14:textId="77777777" w:rsidR="008C60F5" w:rsidRPr="008C60F5" w:rsidRDefault="008C60F5" w:rsidP="008C60F5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8C60F5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8C60F5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14E03AD"/>
    <w:multiLevelType w:val="hybridMultilevel"/>
    <w:tmpl w:val="623403C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1E75"/>
    <w:multiLevelType w:val="hybridMultilevel"/>
    <w:tmpl w:val="CE622EEC"/>
    <w:lvl w:ilvl="0" w:tplc="EB8E4E78">
      <w:start w:val="3"/>
      <w:numFmt w:val="bullet"/>
      <w:lvlText w:val="-"/>
      <w:lvlJc w:val="left"/>
      <w:pPr>
        <w:ind w:left="489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A0D6F"/>
    <w:rsid w:val="000C593A"/>
    <w:rsid w:val="000D5554"/>
    <w:rsid w:val="000F0700"/>
    <w:rsid w:val="00132161"/>
    <w:rsid w:val="00181799"/>
    <w:rsid w:val="001A4648"/>
    <w:rsid w:val="001E29D2"/>
    <w:rsid w:val="002E0E60"/>
    <w:rsid w:val="003152E7"/>
    <w:rsid w:val="003160A0"/>
    <w:rsid w:val="00325973"/>
    <w:rsid w:val="0032649B"/>
    <w:rsid w:val="0034130E"/>
    <w:rsid w:val="00356256"/>
    <w:rsid w:val="00387E79"/>
    <w:rsid w:val="00415A39"/>
    <w:rsid w:val="0041660B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56AA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350CB"/>
    <w:rsid w:val="008728D0"/>
    <w:rsid w:val="008C4D8C"/>
    <w:rsid w:val="008C60F5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610E8"/>
    <w:rsid w:val="00B61FD7"/>
    <w:rsid w:val="00BA710A"/>
    <w:rsid w:val="00BC46F6"/>
    <w:rsid w:val="00BC6BE2"/>
    <w:rsid w:val="00BD2D29"/>
    <w:rsid w:val="00BE370B"/>
    <w:rsid w:val="00C71215"/>
    <w:rsid w:val="00C71580"/>
    <w:rsid w:val="00CA483B"/>
    <w:rsid w:val="00D54DF8"/>
    <w:rsid w:val="00D713B0"/>
    <w:rsid w:val="00D77A22"/>
    <w:rsid w:val="00DA14B3"/>
    <w:rsid w:val="00DA4443"/>
    <w:rsid w:val="00E05BAB"/>
    <w:rsid w:val="00E14516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014C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6FC21996-5331-41B5-905D-B170F8A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6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semiHidden/>
    <w:rsid w:val="008C60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C60F5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C60F5"/>
    <w:pPr>
      <w:ind w:left="708"/>
    </w:pPr>
    <w:rPr>
      <w:sz w:val="20"/>
    </w:rPr>
  </w:style>
  <w:style w:type="paragraph" w:customStyle="1" w:styleId="Default">
    <w:name w:val="Default"/>
    <w:rsid w:val="008C60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8C60F5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8C60F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1369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cp:keywords/>
  <dc:description/>
  <cp:lastModifiedBy>Németh Klaudia</cp:lastModifiedBy>
  <cp:revision>5</cp:revision>
  <cp:lastPrinted>2022-10-17T11:47:00Z</cp:lastPrinted>
  <dcterms:created xsi:type="dcterms:W3CDTF">2022-10-17T11:44:00Z</dcterms:created>
  <dcterms:modified xsi:type="dcterms:W3CDTF">2022-10-17T11:50:00Z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