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5FB8C399" w14:textId="77777777" w:rsidR="00196BD5" w:rsidRPr="00004B5A" w:rsidRDefault="00196BD5" w:rsidP="00196BD5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5D5B74">
        <w:rPr>
          <w:rFonts w:eastAsia="MS Mincho" w:cs="Arial"/>
          <w:bCs/>
          <w:color w:val="000000"/>
          <w:sz w:val="22"/>
          <w:szCs w:val="22"/>
        </w:rPr>
        <w:t xml:space="preserve">8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4E34B353" w14:textId="77777777" w:rsidR="00196BD5" w:rsidRPr="00004B5A" w:rsidRDefault="00196BD5" w:rsidP="00196BD5">
      <w:pPr>
        <w:rPr>
          <w:rFonts w:eastAsia="MS Mincho" w:cs="Arial"/>
          <w:color w:val="000000"/>
          <w:sz w:val="22"/>
          <w:szCs w:val="22"/>
        </w:rPr>
      </w:pPr>
    </w:p>
    <w:p w14:paraId="56D062D3" w14:textId="77777777" w:rsidR="00196BD5" w:rsidRPr="00004B5A" w:rsidRDefault="00196BD5" w:rsidP="00196BD5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155</w:t>
      </w:r>
      <w:r w:rsidRPr="00004B5A">
        <w:rPr>
          <w:rFonts w:cs="Arial"/>
          <w:b/>
          <w:bCs/>
          <w:sz w:val="22"/>
          <w:szCs w:val="22"/>
          <w:u w:val="single"/>
        </w:rPr>
        <w:t>/2022. (IX. 28.) SzLB sz. határozat</w:t>
      </w:r>
    </w:p>
    <w:p w14:paraId="136C132B" w14:textId="77777777" w:rsidR="00196BD5" w:rsidRPr="00004B5A" w:rsidRDefault="00196BD5" w:rsidP="00196BD5">
      <w:pPr>
        <w:jc w:val="center"/>
        <w:rPr>
          <w:rFonts w:cs="Arial"/>
          <w:b/>
          <w:bCs/>
          <w:sz w:val="22"/>
          <w:szCs w:val="22"/>
        </w:rPr>
      </w:pPr>
    </w:p>
    <w:p w14:paraId="34281C48" w14:textId="77777777" w:rsidR="00196BD5" w:rsidRPr="00004B5A" w:rsidRDefault="00196BD5" w:rsidP="00196BD5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A Szociális és Lakás Bizottság a rendszeres gyermekvédelmi kedvezménnyel kapcsolatos jogszabályi változásokról szóló tájékoztatót megtárgyalta és elfogadta. </w:t>
      </w:r>
    </w:p>
    <w:p w14:paraId="01D1D0D3" w14:textId="77777777" w:rsidR="00196BD5" w:rsidRPr="00004B5A" w:rsidRDefault="00196BD5" w:rsidP="00196BD5">
      <w:pPr>
        <w:jc w:val="both"/>
        <w:rPr>
          <w:rFonts w:cs="Arial"/>
          <w:sz w:val="22"/>
          <w:szCs w:val="22"/>
        </w:rPr>
      </w:pPr>
    </w:p>
    <w:p w14:paraId="6944D9E2" w14:textId="77777777" w:rsidR="00196BD5" w:rsidRPr="00004B5A" w:rsidRDefault="00196BD5" w:rsidP="00196BD5">
      <w:pPr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1167ABE4" w14:textId="77777777" w:rsidR="00196BD5" w:rsidRPr="00004B5A" w:rsidRDefault="00196BD5" w:rsidP="00196BD5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513A0CD0" w14:textId="77777777" w:rsidR="00196BD5" w:rsidRPr="00004B5A" w:rsidRDefault="00196BD5" w:rsidP="00196BD5">
      <w:pPr>
        <w:ind w:left="708" w:firstLine="708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Szentkirályi Bernadett, a Szociális és Lakás Iroda vezetője/</w:t>
      </w:r>
    </w:p>
    <w:p w14:paraId="3B0A703D" w14:textId="77777777" w:rsidR="00196BD5" w:rsidRPr="00004B5A" w:rsidRDefault="00196BD5" w:rsidP="00196BD5">
      <w:pPr>
        <w:ind w:left="708" w:firstLine="708"/>
        <w:rPr>
          <w:rFonts w:cs="Arial"/>
          <w:sz w:val="22"/>
          <w:szCs w:val="22"/>
        </w:rPr>
      </w:pPr>
    </w:p>
    <w:p w14:paraId="1A80A47C" w14:textId="77777777" w:rsidR="00196BD5" w:rsidRPr="00004B5A" w:rsidRDefault="00196BD5" w:rsidP="00196BD5">
      <w:pPr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sz w:val="22"/>
          <w:szCs w:val="22"/>
        </w:rPr>
        <w:tab/>
        <w:t>azonnal</w:t>
      </w:r>
    </w:p>
    <w:p w14:paraId="5432F818" w14:textId="77777777" w:rsidR="00196BD5" w:rsidRPr="00004B5A" w:rsidRDefault="00196BD5" w:rsidP="00196BD5">
      <w:pPr>
        <w:jc w:val="both"/>
        <w:rPr>
          <w:rFonts w:cs="Arial"/>
          <w:iCs/>
          <w:sz w:val="22"/>
          <w:szCs w:val="22"/>
        </w:rPr>
      </w:pP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p w14:paraId="014EB2D1" w14:textId="77777777" w:rsidR="009A51F2" w:rsidRDefault="009A51F2" w:rsidP="009A51F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6BD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400D7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