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1A220B" w:rsidRDefault="00B70336" w:rsidP="00255BA4">
      <w:pPr>
        <w:spacing w:after="160" w:line="276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20B231B8" w14:textId="4CAA04A7" w:rsidR="00833F1A" w:rsidRPr="00833F1A" w:rsidRDefault="003A5A08" w:rsidP="00EA199F">
      <w:pPr>
        <w:suppressAutoHyphens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336CD3">
        <w:rPr>
          <w:rFonts w:ascii="Arial" w:hAnsi="Arial" w:cs="Arial"/>
          <w:b/>
          <w:spacing w:val="-3"/>
        </w:rPr>
        <w:t xml:space="preserve">a </w:t>
      </w:r>
      <w:r w:rsidR="00EA199F">
        <w:rPr>
          <w:rFonts w:ascii="Arial" w:hAnsi="Arial" w:cs="Arial"/>
          <w:b/>
          <w:spacing w:val="-3"/>
        </w:rPr>
        <w:t>települési támogatás keretében nyújtott ellátások és a szociális szolgáltatások helyi szabályzásáról szóló 8/2015.(II.27.)</w:t>
      </w:r>
      <w:r>
        <w:rPr>
          <w:rFonts w:ascii="Arial" w:hAnsi="Arial" w:cs="Arial"/>
          <w:b/>
          <w:spacing w:val="-3"/>
        </w:rPr>
        <w:t xml:space="preserve"> önkormányzati rendelet módosításához</w:t>
      </w:r>
    </w:p>
    <w:p w14:paraId="6F2A26CC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3F1F60D6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7A12EA35" w14:textId="523049EE" w:rsidR="000A6F1D" w:rsidRDefault="00E51AA7" w:rsidP="000A6F1D">
      <w:pPr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9204F4" w:rsidRPr="009204F4">
        <w:rPr>
          <w:rFonts w:ascii="Arial" w:hAnsi="Arial" w:cs="Arial"/>
        </w:rPr>
        <w:t>nek</w:t>
      </w:r>
      <w:r w:rsidR="00FC5133" w:rsidRPr="009204F4">
        <w:rPr>
          <w:rFonts w:ascii="Arial" w:hAnsi="Arial" w:cs="Arial"/>
        </w:rPr>
        <w:t xml:space="preserve"> </w:t>
      </w:r>
      <w:r w:rsidR="003A5A08">
        <w:rPr>
          <w:rFonts w:ascii="Arial" w:hAnsi="Arial" w:cs="Arial"/>
        </w:rPr>
        <w:t xml:space="preserve">pozitív társadalmi hatása van. </w:t>
      </w:r>
      <w:r w:rsidR="000A6F1D">
        <w:rPr>
          <w:rFonts w:ascii="Arial" w:hAnsi="Arial" w:cs="Arial"/>
        </w:rPr>
        <w:t>A</w:t>
      </w:r>
      <w:r w:rsidR="000A6F1D">
        <w:rPr>
          <w:rFonts w:ascii="Arial" w:eastAsiaTheme="minorHAnsi" w:hAnsi="Arial" w:cs="Arial"/>
          <w:lang w:eastAsia="en-US"/>
        </w:rPr>
        <w:t xml:space="preserve"> jelenlegi rendszerben megállapított támogatási formák lényegi elemeit nem érinti, nem állapít meg plusz terheket, kötelezettségeket, nem szüntet meg ellátási formákat. Ugyanakkor</w:t>
      </w:r>
      <w:r w:rsidR="003C49DA">
        <w:rPr>
          <w:rFonts w:ascii="Arial" w:eastAsiaTheme="minorHAnsi" w:hAnsi="Arial" w:cs="Arial"/>
          <w:lang w:eastAsia="en-US"/>
        </w:rPr>
        <w:t xml:space="preserve"> új támogatási formákat vezet be, </w:t>
      </w:r>
      <w:r w:rsidR="000A6F1D">
        <w:rPr>
          <w:rFonts w:ascii="Arial" w:eastAsiaTheme="minorHAnsi" w:hAnsi="Arial" w:cs="Arial"/>
          <w:lang w:eastAsia="en-US"/>
        </w:rPr>
        <w:t xml:space="preserve">az egyes támogatások szabályozását az eljárások gyakorlata során tapasztalt valós szükségletekhez igazítja, a jogosultak körét egyes támogatások esetében bővíti. </w:t>
      </w:r>
    </w:p>
    <w:p w14:paraId="7F34E0A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A9BA25D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</w:p>
    <w:p w14:paraId="64767715" w14:textId="4582FD27" w:rsidR="008B760D" w:rsidRDefault="008B760D" w:rsidP="008B760D">
      <w:pPr>
        <w:jc w:val="both"/>
        <w:rPr>
          <w:rFonts w:cs="Arial"/>
        </w:rPr>
      </w:pPr>
      <w:r w:rsidRPr="00FF3E5D">
        <w:rPr>
          <w:rFonts w:ascii="Arial" w:hAnsi="Arial" w:cs="Arial"/>
        </w:rPr>
        <w:t>A</w:t>
      </w:r>
      <w:r>
        <w:rPr>
          <w:rFonts w:ascii="Arial" w:hAnsi="Arial" w:cs="Arial"/>
        </w:rPr>
        <w:t>z új</w:t>
      </w:r>
      <w:r w:rsidRPr="00FF3E5D">
        <w:rPr>
          <w:rFonts w:ascii="Arial" w:hAnsi="Arial" w:cs="Arial"/>
        </w:rPr>
        <w:t xml:space="preserve"> támogatás</w:t>
      </w:r>
      <w:r>
        <w:rPr>
          <w:rFonts w:ascii="Arial" w:hAnsi="Arial" w:cs="Arial"/>
        </w:rPr>
        <w:t>i formák bevezetése és működése érdekében</w:t>
      </w:r>
      <w:r w:rsidRPr="00FF3E5D">
        <w:rPr>
          <w:rFonts w:ascii="Arial" w:hAnsi="Arial" w:cs="Arial"/>
        </w:rPr>
        <w:t xml:space="preserve"> az Önkormányzat </w:t>
      </w:r>
      <w:r>
        <w:rPr>
          <w:rFonts w:ascii="Arial" w:hAnsi="Arial" w:cs="Arial"/>
        </w:rPr>
        <w:t>20</w:t>
      </w:r>
      <w:r w:rsidRPr="00FF3E5D">
        <w:rPr>
          <w:rFonts w:ascii="Arial" w:hAnsi="Arial" w:cs="Arial"/>
        </w:rPr>
        <w:t xml:space="preserve">0 </w:t>
      </w:r>
      <w:r w:rsidR="00081950">
        <w:rPr>
          <w:rFonts w:ascii="Arial" w:hAnsi="Arial" w:cs="Arial"/>
        </w:rPr>
        <w:t>MFt költségvetési forrást</w:t>
      </w:r>
      <w:r>
        <w:rPr>
          <w:rFonts w:ascii="Arial" w:hAnsi="Arial" w:cs="Arial"/>
        </w:rPr>
        <w:t xml:space="preserve"> különít el</w:t>
      </w:r>
      <w:r w:rsidR="00651C6D">
        <w:rPr>
          <w:rFonts w:ascii="Arial" w:hAnsi="Arial" w:cs="Arial"/>
        </w:rPr>
        <w:t xml:space="preserve"> azzal, hogy</w:t>
      </w:r>
      <w:r>
        <w:rPr>
          <w:rFonts w:ascii="Arial" w:hAnsi="Arial" w:cs="Arial"/>
        </w:rPr>
        <w:t xml:space="preserve"> a </w:t>
      </w:r>
      <w:r w:rsidRPr="00FF3E5D">
        <w:rPr>
          <w:rFonts w:ascii="Arial" w:hAnsi="Arial" w:cs="Arial"/>
        </w:rPr>
        <w:t>támogatás</w:t>
      </w:r>
      <w:r>
        <w:rPr>
          <w:rFonts w:ascii="Arial" w:hAnsi="Arial" w:cs="Arial"/>
        </w:rPr>
        <w:t>ok</w:t>
      </w:r>
      <w:r w:rsidRPr="00FF3E5D">
        <w:rPr>
          <w:rFonts w:ascii="Arial" w:hAnsi="Arial" w:cs="Arial"/>
        </w:rPr>
        <w:t xml:space="preserve"> megállapítására a Közgyűlés által megállapított keretösszeg erejéig kerülhet sor. </w:t>
      </w:r>
      <w:r>
        <w:rPr>
          <w:rFonts w:ascii="Arial" w:hAnsi="Arial" w:cs="Arial"/>
        </w:rPr>
        <w:t>A gyógyszer és gyógyászati segédeszközök viseléséhez nyújtott</w:t>
      </w:r>
      <w:r w:rsidRPr="00EB7780">
        <w:rPr>
          <w:rFonts w:ascii="Arial" w:hAnsi="Arial" w:cs="Arial"/>
        </w:rPr>
        <w:t xml:space="preserve"> támogatás jogosultsági feltételeinek és maximális támogatási összegének változása által jelentkező többlet költségvetési forrásigény egzakt módon előre nem jelezhető</w:t>
      </w:r>
      <w:r>
        <w:rPr>
          <w:rFonts w:ascii="Arial" w:hAnsi="Arial" w:cs="Arial"/>
        </w:rPr>
        <w:t xml:space="preserve"> -</w:t>
      </w:r>
      <w:r w:rsidRPr="00EB7780">
        <w:rPr>
          <w:rFonts w:ascii="Arial" w:hAnsi="Arial" w:cs="Arial"/>
        </w:rPr>
        <w:t xml:space="preserve"> mivel a támogatási rendszer természeténél fogva a jogosulti kör</w:t>
      </w:r>
      <w:r>
        <w:rPr>
          <w:rFonts w:ascii="Arial" w:hAnsi="Arial" w:cs="Arial"/>
        </w:rPr>
        <w:t>, annak pontos szociális helyzete</w:t>
      </w:r>
      <w:r w:rsidRPr="00EB7780">
        <w:rPr>
          <w:rFonts w:ascii="Arial" w:hAnsi="Arial" w:cs="Arial"/>
        </w:rPr>
        <w:t xml:space="preserve"> előre nem meghatározható</w:t>
      </w:r>
      <w:r>
        <w:rPr>
          <w:rFonts w:ascii="Arial" w:hAnsi="Arial" w:cs="Arial"/>
        </w:rPr>
        <w:t xml:space="preserve"> -, a szakmai becslés </w:t>
      </w:r>
      <w:r w:rsidRPr="008B760D">
        <w:rPr>
          <w:rFonts w:ascii="Arial" w:hAnsi="Arial" w:cs="Arial"/>
        </w:rPr>
        <w:t>10 - 15</w:t>
      </w:r>
      <w:r>
        <w:rPr>
          <w:rFonts w:ascii="Arial" w:hAnsi="Arial" w:cs="Arial"/>
        </w:rPr>
        <w:t xml:space="preserve"> millió forintos többletköltséget prognosztizál intézkedéshez kapcsolódóan.</w:t>
      </w:r>
    </w:p>
    <w:p w14:paraId="162D7633" w14:textId="77777777" w:rsidR="000A6F1D" w:rsidRPr="000A6F1D" w:rsidRDefault="000A6F1D" w:rsidP="000A6F1D">
      <w:pPr>
        <w:spacing w:after="60"/>
        <w:contextualSpacing/>
        <w:jc w:val="both"/>
        <w:rPr>
          <w:rFonts w:ascii="Arial" w:hAnsi="Arial" w:cs="Arial"/>
        </w:rPr>
      </w:pPr>
    </w:p>
    <w:p w14:paraId="7A58A0D7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3. Környezeti </w:t>
      </w:r>
      <w:r w:rsidR="00276A8C" w:rsidRPr="009204F4">
        <w:rPr>
          <w:rFonts w:ascii="Arial" w:hAnsi="Arial" w:cs="Arial"/>
          <w:b/>
        </w:rPr>
        <w:t>következmények</w:t>
      </w:r>
    </w:p>
    <w:p w14:paraId="351F4EF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környezet</w:t>
      </w:r>
      <w:r w:rsidR="00255DA4" w:rsidRPr="009204F4">
        <w:rPr>
          <w:rFonts w:ascii="Arial" w:hAnsi="Arial" w:cs="Arial"/>
        </w:rPr>
        <w:t>re gyakorolt hatása</w:t>
      </w:r>
      <w:r w:rsidR="00D35788" w:rsidRPr="009204F4">
        <w:rPr>
          <w:rFonts w:ascii="Arial" w:hAnsi="Arial" w:cs="Arial"/>
        </w:rPr>
        <w:t>i</w:t>
      </w:r>
      <w:r w:rsidR="00276A8C" w:rsidRPr="009204F4">
        <w:rPr>
          <w:rFonts w:ascii="Arial" w:hAnsi="Arial" w:cs="Arial"/>
        </w:rPr>
        <w:t xml:space="preserve"> nincsen</w:t>
      </w:r>
      <w:r w:rsidR="00D35788" w:rsidRPr="009204F4">
        <w:rPr>
          <w:rFonts w:ascii="Arial" w:hAnsi="Arial" w:cs="Arial"/>
        </w:rPr>
        <w:t>ek</w:t>
      </w:r>
      <w:r w:rsidRPr="009204F4">
        <w:rPr>
          <w:rFonts w:ascii="Arial" w:hAnsi="Arial" w:cs="Arial"/>
        </w:rPr>
        <w:t>.</w:t>
      </w:r>
    </w:p>
    <w:p w14:paraId="0D2450B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4538414F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1A2E5795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egészségügyi következményei nincsenek.</w:t>
      </w:r>
    </w:p>
    <w:p w14:paraId="7EE2A77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583FBD93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5. Adminisztratív terheket befolyásoló hatások</w:t>
      </w:r>
    </w:p>
    <w:p w14:paraId="20588A8B" w14:textId="61A35654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</w:t>
      </w:r>
      <w:r w:rsidR="00125FAC" w:rsidRPr="009204F4">
        <w:rPr>
          <w:rFonts w:ascii="Arial" w:hAnsi="Arial" w:cs="Arial"/>
        </w:rPr>
        <w:t>z</w:t>
      </w:r>
      <w:r w:rsidRPr="009204F4">
        <w:rPr>
          <w:rFonts w:ascii="Arial" w:hAnsi="Arial" w:cs="Arial"/>
        </w:rPr>
        <w:t xml:space="preserve"> adminisztratív </w:t>
      </w:r>
      <w:r w:rsidR="006B5196" w:rsidRPr="009204F4">
        <w:rPr>
          <w:rFonts w:ascii="Arial" w:hAnsi="Arial" w:cs="Arial"/>
        </w:rPr>
        <w:t xml:space="preserve">terheket </w:t>
      </w:r>
      <w:r w:rsidR="00EA199F">
        <w:rPr>
          <w:rFonts w:ascii="Arial" w:hAnsi="Arial" w:cs="Arial"/>
        </w:rPr>
        <w:t>növeli</w:t>
      </w:r>
      <w:r w:rsidR="003677B6">
        <w:rPr>
          <w:rFonts w:ascii="Arial" w:hAnsi="Arial" w:cs="Arial"/>
        </w:rPr>
        <w:t>, de ahhoz a tárgyi és személyi feltételek adottak.</w:t>
      </w:r>
      <w:bookmarkStart w:id="0" w:name="_GoBack"/>
      <w:bookmarkEnd w:id="0"/>
    </w:p>
    <w:p w14:paraId="7FC7BDAD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CC4851E" w14:textId="7DAA23F3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megalkotásának szükségess</w:t>
      </w:r>
      <w:r w:rsidR="00D55D71">
        <w:rPr>
          <w:rFonts w:ascii="Arial" w:hAnsi="Arial" w:cs="Arial"/>
          <w:b/>
        </w:rPr>
        <w:t xml:space="preserve">ége, a jogalkotás elmaradásának </w:t>
      </w:r>
      <w:r w:rsidR="00E51AA7" w:rsidRPr="009204F4">
        <w:rPr>
          <w:rFonts w:ascii="Arial" w:hAnsi="Arial" w:cs="Arial"/>
          <w:b/>
        </w:rPr>
        <w:t>várható következményei</w:t>
      </w:r>
    </w:p>
    <w:p w14:paraId="0964CF52" w14:textId="59517FF2" w:rsidR="00EA199F" w:rsidRDefault="006B5196" w:rsidP="00D55D71">
      <w:pPr>
        <w:spacing w:line="276" w:lineRule="auto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Figyelemmel a lakosság szociális helyzetére, a felmerülő szociális szükségletekre, továbbá az elmúlt évek gyakorlati tapasztalataira</w:t>
      </w:r>
      <w:r>
        <w:rPr>
          <w:rFonts w:ascii="Arial" w:eastAsiaTheme="minorHAnsi" w:hAnsi="Arial" w:cs="Arial"/>
          <w:lang w:eastAsia="en-US"/>
        </w:rPr>
        <w:t xml:space="preserve"> szükséges a rendelet módosítása. </w:t>
      </w:r>
    </w:p>
    <w:p w14:paraId="26A643E7" w14:textId="77777777" w:rsidR="006B5196" w:rsidRPr="009204F4" w:rsidRDefault="006B5196" w:rsidP="00D55D71">
      <w:pPr>
        <w:spacing w:line="276" w:lineRule="auto"/>
        <w:jc w:val="both"/>
        <w:rPr>
          <w:rFonts w:ascii="Arial" w:hAnsi="Arial" w:cs="Arial"/>
        </w:rPr>
      </w:pPr>
    </w:p>
    <w:p w14:paraId="6EA03931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alkalmazásához szükséges személyi, szervezeti</w:t>
      </w:r>
      <w:r w:rsidR="00A85A4B" w:rsidRPr="009204F4">
        <w:rPr>
          <w:rFonts w:ascii="Arial" w:hAnsi="Arial" w:cs="Arial"/>
          <w:b/>
        </w:rPr>
        <w:t>, tárgyi és pénzügyi feltételek</w:t>
      </w:r>
    </w:p>
    <w:p w14:paraId="13BF116D" w14:textId="04EE7FD1" w:rsidR="00E51AA7" w:rsidRDefault="00E51AA7" w:rsidP="008B760D">
      <w:pPr>
        <w:spacing w:after="60"/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 xml:space="preserve">A rendelet </w:t>
      </w:r>
      <w:r w:rsidR="0011754A" w:rsidRPr="009204F4">
        <w:rPr>
          <w:rFonts w:ascii="Arial" w:hAnsi="Arial" w:cs="Arial"/>
        </w:rPr>
        <w:t xml:space="preserve">alkalmazásához </w:t>
      </w:r>
      <w:r w:rsidRPr="009204F4">
        <w:rPr>
          <w:rFonts w:ascii="Arial" w:hAnsi="Arial" w:cs="Arial"/>
        </w:rPr>
        <w:t xml:space="preserve">szükséges személyi, szervezeti, tárgyi </w:t>
      </w:r>
      <w:r w:rsidR="00A051E9">
        <w:rPr>
          <w:rFonts w:ascii="Arial" w:hAnsi="Arial" w:cs="Arial"/>
        </w:rPr>
        <w:t xml:space="preserve">feltételek rendelkezésre állnak. </w:t>
      </w:r>
    </w:p>
    <w:p w14:paraId="066EA6F4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5E07945D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509BA" w14:textId="77777777" w:rsidR="00C8285B" w:rsidRDefault="00C8285B" w:rsidP="0053248D">
      <w:r>
        <w:separator/>
      </w:r>
    </w:p>
  </w:endnote>
  <w:endnote w:type="continuationSeparator" w:id="0">
    <w:p w14:paraId="47728F5D" w14:textId="77777777" w:rsidR="00C8285B" w:rsidRDefault="00C8285B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7D4E6" w14:textId="77777777" w:rsidR="00C8285B" w:rsidRDefault="00C8285B" w:rsidP="0053248D">
      <w:r>
        <w:separator/>
      </w:r>
    </w:p>
  </w:footnote>
  <w:footnote w:type="continuationSeparator" w:id="0">
    <w:p w14:paraId="7E79EE3F" w14:textId="77777777" w:rsidR="00C8285B" w:rsidRDefault="00C8285B" w:rsidP="0053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81950"/>
    <w:rsid w:val="000A6F1D"/>
    <w:rsid w:val="000F6037"/>
    <w:rsid w:val="00111D75"/>
    <w:rsid w:val="0011754A"/>
    <w:rsid w:val="001200B1"/>
    <w:rsid w:val="00125FAC"/>
    <w:rsid w:val="001A220B"/>
    <w:rsid w:val="00202A75"/>
    <w:rsid w:val="00255BA4"/>
    <w:rsid w:val="00255DA4"/>
    <w:rsid w:val="00276A8C"/>
    <w:rsid w:val="00284117"/>
    <w:rsid w:val="002D663F"/>
    <w:rsid w:val="0034480A"/>
    <w:rsid w:val="003677B6"/>
    <w:rsid w:val="00372F3A"/>
    <w:rsid w:val="00374586"/>
    <w:rsid w:val="003A5A08"/>
    <w:rsid w:val="003C29E5"/>
    <w:rsid w:val="003C49DA"/>
    <w:rsid w:val="004057B5"/>
    <w:rsid w:val="00414B2C"/>
    <w:rsid w:val="004241AE"/>
    <w:rsid w:val="00432A77"/>
    <w:rsid w:val="00436BBE"/>
    <w:rsid w:val="00453B25"/>
    <w:rsid w:val="0048342B"/>
    <w:rsid w:val="004A32A4"/>
    <w:rsid w:val="004D51DC"/>
    <w:rsid w:val="004D5C7A"/>
    <w:rsid w:val="0053248D"/>
    <w:rsid w:val="00533A6E"/>
    <w:rsid w:val="005809CA"/>
    <w:rsid w:val="00595C1F"/>
    <w:rsid w:val="005A5AA0"/>
    <w:rsid w:val="005C050E"/>
    <w:rsid w:val="006429C5"/>
    <w:rsid w:val="00643AA1"/>
    <w:rsid w:val="00651C6D"/>
    <w:rsid w:val="006B5196"/>
    <w:rsid w:val="006E06E9"/>
    <w:rsid w:val="00725AE2"/>
    <w:rsid w:val="00786620"/>
    <w:rsid w:val="007B3F6C"/>
    <w:rsid w:val="007C1274"/>
    <w:rsid w:val="007C354E"/>
    <w:rsid w:val="0082480B"/>
    <w:rsid w:val="00825666"/>
    <w:rsid w:val="00833F1A"/>
    <w:rsid w:val="008A67FC"/>
    <w:rsid w:val="008B1E47"/>
    <w:rsid w:val="008B760D"/>
    <w:rsid w:val="008D0E2B"/>
    <w:rsid w:val="008E4644"/>
    <w:rsid w:val="009204F4"/>
    <w:rsid w:val="00951C8E"/>
    <w:rsid w:val="009F4CA5"/>
    <w:rsid w:val="009F7467"/>
    <w:rsid w:val="00A051E9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7314C"/>
    <w:rsid w:val="00C8285B"/>
    <w:rsid w:val="00D02C41"/>
    <w:rsid w:val="00D35788"/>
    <w:rsid w:val="00D46143"/>
    <w:rsid w:val="00D53B36"/>
    <w:rsid w:val="00D54195"/>
    <w:rsid w:val="00D55D71"/>
    <w:rsid w:val="00D56E53"/>
    <w:rsid w:val="00D571A0"/>
    <w:rsid w:val="00D8651C"/>
    <w:rsid w:val="00DC17A7"/>
    <w:rsid w:val="00DC4082"/>
    <w:rsid w:val="00DF562B"/>
    <w:rsid w:val="00DF7F73"/>
    <w:rsid w:val="00E01408"/>
    <w:rsid w:val="00E26D55"/>
    <w:rsid w:val="00E40D62"/>
    <w:rsid w:val="00E51AA7"/>
    <w:rsid w:val="00E9006D"/>
    <w:rsid w:val="00EA199F"/>
    <w:rsid w:val="00EE064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Szentkirályi Bernadett</cp:lastModifiedBy>
  <cp:revision>8</cp:revision>
  <cp:lastPrinted>2020-03-17T13:49:00Z</cp:lastPrinted>
  <dcterms:created xsi:type="dcterms:W3CDTF">2022-08-11T07:09:00Z</dcterms:created>
  <dcterms:modified xsi:type="dcterms:W3CDTF">2022-08-31T13:29:00Z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