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B3A77" w14:textId="77777777" w:rsidR="00E732D4" w:rsidRDefault="00764FB9">
      <w:pPr>
        <w:spacing w:line="360" w:lineRule="auto"/>
        <w:rPr>
          <w:rFonts w:ascii="Arial" w:eastAsia="Arial" w:hAnsi="Arial" w:cs="Arial"/>
          <w:b/>
          <w:sz w:val="24"/>
          <w:szCs w:val="24"/>
        </w:rPr>
      </w:pPr>
      <w:r>
        <w:rPr>
          <w:rFonts w:ascii="Arial" w:eastAsia="Arial" w:hAnsi="Arial" w:cs="Arial"/>
          <w:b/>
          <w:sz w:val="24"/>
          <w:szCs w:val="24"/>
        </w:rPr>
        <w:t>EGYÜTTMŰKÖDÉSI MEGÁLLAPODÁS</w:t>
      </w:r>
    </w:p>
    <w:p w14:paraId="33AEB4C8" w14:textId="77777777" w:rsidR="00E732D4" w:rsidRDefault="00E732D4">
      <w:pPr>
        <w:spacing w:line="276" w:lineRule="auto"/>
        <w:rPr>
          <w:rFonts w:ascii="Arial" w:eastAsia="Arial" w:hAnsi="Arial" w:cs="Arial"/>
        </w:rPr>
      </w:pPr>
    </w:p>
    <w:p w14:paraId="505A366B" w14:textId="77777777" w:rsidR="00E732D4" w:rsidRDefault="00764FB9">
      <w:pPr>
        <w:spacing w:line="276" w:lineRule="auto"/>
        <w:jc w:val="both"/>
        <w:rPr>
          <w:rFonts w:ascii="Arial" w:eastAsia="Arial" w:hAnsi="Arial" w:cs="Arial"/>
        </w:rPr>
      </w:pPr>
      <w:r>
        <w:rPr>
          <w:rFonts w:ascii="Arial" w:eastAsia="Arial" w:hAnsi="Arial" w:cs="Arial"/>
        </w:rPr>
        <w:t>amely létrejött egyrészt</w:t>
      </w:r>
    </w:p>
    <w:p w14:paraId="2FE697F0" w14:textId="77777777" w:rsidR="00E732D4" w:rsidRDefault="00E732D4">
      <w:pPr>
        <w:spacing w:line="276" w:lineRule="auto"/>
        <w:jc w:val="both"/>
        <w:rPr>
          <w:rFonts w:ascii="Arial" w:eastAsia="Arial" w:hAnsi="Arial" w:cs="Arial"/>
        </w:rPr>
      </w:pPr>
    </w:p>
    <w:p w14:paraId="3C5FAFB3" w14:textId="77777777" w:rsidR="00E732D4" w:rsidRDefault="00764FB9">
      <w:pPr>
        <w:spacing w:line="276" w:lineRule="auto"/>
        <w:jc w:val="both"/>
        <w:rPr>
          <w:rFonts w:ascii="Arial" w:eastAsia="Arial" w:hAnsi="Arial" w:cs="Arial"/>
        </w:rPr>
      </w:pPr>
      <w:r>
        <w:rPr>
          <w:rFonts w:ascii="Arial" w:eastAsia="Arial" w:hAnsi="Arial" w:cs="Arial"/>
        </w:rPr>
        <w:t>Cégnév</w:t>
      </w:r>
      <w:proofErr w:type="gramStart"/>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b/>
        </w:rPr>
        <w:t>Lime</w:t>
      </w:r>
      <w:proofErr w:type="gramEnd"/>
      <w:r>
        <w:rPr>
          <w:rFonts w:ascii="Arial" w:eastAsia="Arial" w:hAnsi="Arial" w:cs="Arial"/>
          <w:b/>
        </w:rPr>
        <w:t xml:space="preserve"> </w:t>
      </w:r>
      <w:proofErr w:type="spellStart"/>
      <w:r>
        <w:rPr>
          <w:rFonts w:ascii="Arial" w:eastAsia="Arial" w:hAnsi="Arial" w:cs="Arial"/>
          <w:b/>
        </w:rPr>
        <w:t>Technology</w:t>
      </w:r>
      <w:proofErr w:type="spellEnd"/>
      <w:r>
        <w:rPr>
          <w:rFonts w:ascii="Arial" w:eastAsia="Arial" w:hAnsi="Arial" w:cs="Arial"/>
          <w:b/>
        </w:rPr>
        <w:t xml:space="preserve"> Kft.</w:t>
      </w:r>
      <w:r>
        <w:rPr>
          <w:rFonts w:ascii="Arial" w:eastAsia="Arial" w:hAnsi="Arial" w:cs="Arial"/>
        </w:rPr>
        <w:t xml:space="preserve">                     </w:t>
      </w:r>
    </w:p>
    <w:p w14:paraId="3DE433E1" w14:textId="77777777" w:rsidR="00E732D4" w:rsidRDefault="00764FB9">
      <w:pPr>
        <w:spacing w:line="276" w:lineRule="auto"/>
        <w:jc w:val="both"/>
        <w:rPr>
          <w:rFonts w:ascii="Arial" w:eastAsia="Arial" w:hAnsi="Arial" w:cs="Arial"/>
        </w:rPr>
      </w:pPr>
      <w:r>
        <w:rPr>
          <w:rFonts w:ascii="Arial" w:eastAsia="Arial" w:hAnsi="Arial" w:cs="Arial"/>
        </w:rPr>
        <w:t>Székhely</w:t>
      </w:r>
      <w:proofErr w:type="gramStart"/>
      <w:r>
        <w:rPr>
          <w:rFonts w:ascii="Arial" w:eastAsia="Arial" w:hAnsi="Arial" w:cs="Arial"/>
        </w:rPr>
        <w:t xml:space="preserve">:     </w:t>
      </w:r>
      <w:r>
        <w:rPr>
          <w:rFonts w:ascii="Arial" w:eastAsia="Arial" w:hAnsi="Arial" w:cs="Arial"/>
        </w:rPr>
        <w:tab/>
      </w:r>
      <w:r>
        <w:rPr>
          <w:rFonts w:ascii="Arial" w:eastAsia="Arial" w:hAnsi="Arial" w:cs="Arial"/>
        </w:rPr>
        <w:tab/>
        <w:t>Budapest</w:t>
      </w:r>
      <w:proofErr w:type="gramEnd"/>
      <w:r>
        <w:rPr>
          <w:rFonts w:ascii="Arial" w:eastAsia="Arial" w:hAnsi="Arial" w:cs="Arial"/>
        </w:rPr>
        <w:t xml:space="preserve">, 1055 Bajcsy-Zsilinszky út 78.                 </w:t>
      </w:r>
    </w:p>
    <w:p w14:paraId="76A70E02" w14:textId="77777777" w:rsidR="00E732D4" w:rsidRDefault="00764FB9">
      <w:pPr>
        <w:spacing w:line="276" w:lineRule="auto"/>
        <w:jc w:val="both"/>
        <w:rPr>
          <w:rFonts w:ascii="Arial" w:eastAsia="Arial" w:hAnsi="Arial" w:cs="Arial"/>
        </w:rPr>
      </w:pPr>
      <w:r>
        <w:rPr>
          <w:rFonts w:ascii="Arial" w:eastAsia="Arial" w:hAnsi="Arial" w:cs="Arial"/>
        </w:rPr>
        <w:t>Cégjegyzékszám</w:t>
      </w:r>
      <w:proofErr w:type="gramStart"/>
      <w:r>
        <w:rPr>
          <w:rFonts w:ascii="Arial" w:eastAsia="Arial" w:hAnsi="Arial" w:cs="Arial"/>
        </w:rPr>
        <w:t>:       01-09-332596</w:t>
      </w:r>
      <w:proofErr w:type="gramEnd"/>
    </w:p>
    <w:p w14:paraId="01D169AD" w14:textId="77777777" w:rsidR="00E732D4" w:rsidRDefault="00764FB9">
      <w:pPr>
        <w:spacing w:line="276" w:lineRule="auto"/>
        <w:jc w:val="both"/>
        <w:rPr>
          <w:rFonts w:ascii="Arial" w:eastAsia="Arial" w:hAnsi="Arial" w:cs="Arial"/>
        </w:rPr>
      </w:pPr>
      <w:r>
        <w:rPr>
          <w:rFonts w:ascii="Arial" w:eastAsia="Arial" w:hAnsi="Arial" w:cs="Arial"/>
        </w:rPr>
        <w:t>Adószám</w:t>
      </w:r>
      <w:proofErr w:type="gramStart"/>
      <w:r>
        <w:rPr>
          <w:rFonts w:ascii="Arial" w:eastAsia="Arial" w:hAnsi="Arial" w:cs="Arial"/>
        </w:rPr>
        <w:t xml:space="preserve">:          </w:t>
      </w:r>
      <w:r>
        <w:rPr>
          <w:rFonts w:ascii="Arial" w:eastAsia="Arial" w:hAnsi="Arial" w:cs="Arial"/>
        </w:rPr>
        <w:tab/>
        <w:t>26569242-2-41</w:t>
      </w:r>
      <w:proofErr w:type="gramEnd"/>
      <w:r>
        <w:rPr>
          <w:rFonts w:ascii="Arial" w:eastAsia="Arial" w:hAnsi="Arial" w:cs="Arial"/>
        </w:rPr>
        <w:t xml:space="preserve">     </w:t>
      </w:r>
    </w:p>
    <w:p w14:paraId="59CFCA91" w14:textId="77777777" w:rsidR="00E732D4" w:rsidRDefault="00764FB9">
      <w:pPr>
        <w:spacing w:line="276" w:lineRule="auto"/>
        <w:jc w:val="both"/>
        <w:rPr>
          <w:rFonts w:ascii="Arial" w:eastAsia="Arial" w:hAnsi="Arial" w:cs="Arial"/>
        </w:rPr>
      </w:pPr>
      <w:r>
        <w:rPr>
          <w:rFonts w:ascii="Arial" w:eastAsia="Arial" w:hAnsi="Arial" w:cs="Arial"/>
        </w:rPr>
        <w:t>Képviseli</w:t>
      </w:r>
      <w:proofErr w:type="gramStart"/>
      <w:r>
        <w:rPr>
          <w:rFonts w:ascii="Arial" w:eastAsia="Arial" w:hAnsi="Arial" w:cs="Arial"/>
        </w:rPr>
        <w:t xml:space="preserve">:        </w:t>
      </w:r>
      <w:r>
        <w:rPr>
          <w:rFonts w:ascii="Arial" w:eastAsia="Arial" w:hAnsi="Arial" w:cs="Arial"/>
        </w:rPr>
        <w:tab/>
        <w:t>Andrea</w:t>
      </w:r>
      <w:proofErr w:type="gramEnd"/>
      <w:r>
        <w:rPr>
          <w:rFonts w:ascii="Arial" w:eastAsia="Arial" w:hAnsi="Arial" w:cs="Arial"/>
        </w:rPr>
        <w:t xml:space="preserve"> John Ellis és </w:t>
      </w:r>
      <w:proofErr w:type="spellStart"/>
      <w:r>
        <w:rPr>
          <w:rFonts w:ascii="Arial" w:eastAsia="Arial" w:hAnsi="Arial" w:cs="Arial"/>
          <w:highlight w:val="white"/>
        </w:rPr>
        <w:t>Wayne</w:t>
      </w:r>
      <w:proofErr w:type="spellEnd"/>
      <w:r>
        <w:rPr>
          <w:rFonts w:ascii="Arial" w:eastAsia="Arial" w:hAnsi="Arial" w:cs="Arial"/>
          <w:highlight w:val="white"/>
        </w:rPr>
        <w:t xml:space="preserve"> </w:t>
      </w:r>
      <w:proofErr w:type="spellStart"/>
      <w:r>
        <w:rPr>
          <w:rFonts w:ascii="Arial" w:eastAsia="Arial" w:hAnsi="Arial" w:cs="Arial"/>
          <w:highlight w:val="white"/>
        </w:rPr>
        <w:t>Hsing-Yuan</w:t>
      </w:r>
      <w:proofErr w:type="spellEnd"/>
      <w:r>
        <w:rPr>
          <w:rFonts w:ascii="Arial" w:eastAsia="Arial" w:hAnsi="Arial" w:cs="Arial"/>
          <w:highlight w:val="white"/>
        </w:rPr>
        <w:t xml:space="preserve"> </w:t>
      </w:r>
      <w:proofErr w:type="spellStart"/>
      <w:r>
        <w:rPr>
          <w:rFonts w:ascii="Arial" w:eastAsia="Arial" w:hAnsi="Arial" w:cs="Arial"/>
          <w:highlight w:val="white"/>
        </w:rPr>
        <w:t>Ting</w:t>
      </w:r>
      <w:proofErr w:type="spellEnd"/>
      <w:r>
        <w:rPr>
          <w:rFonts w:ascii="Arial" w:eastAsia="Arial" w:hAnsi="Arial" w:cs="Arial"/>
          <w:highlight w:val="white"/>
        </w:rPr>
        <w:t xml:space="preserve"> ügyvezetők</w:t>
      </w:r>
    </w:p>
    <w:p w14:paraId="139B09C7" w14:textId="77777777" w:rsidR="00E732D4" w:rsidRDefault="00764FB9">
      <w:pPr>
        <w:spacing w:line="276" w:lineRule="auto"/>
        <w:jc w:val="both"/>
        <w:rPr>
          <w:rFonts w:ascii="Arial" w:eastAsia="Arial" w:hAnsi="Arial" w:cs="Arial"/>
        </w:rPr>
      </w:pPr>
      <w:r>
        <w:rPr>
          <w:rFonts w:ascii="Arial" w:eastAsia="Arial" w:hAnsi="Arial" w:cs="Arial"/>
        </w:rPr>
        <w:t xml:space="preserve">mint együttműködő partner – a továbbiakban: </w:t>
      </w:r>
      <w:r>
        <w:rPr>
          <w:rFonts w:ascii="Arial" w:eastAsia="Arial" w:hAnsi="Arial" w:cs="Arial"/>
          <w:b/>
        </w:rPr>
        <w:t xml:space="preserve">Lime Kft. </w:t>
      </w:r>
      <w:r>
        <w:rPr>
          <w:rFonts w:ascii="Arial" w:eastAsia="Arial" w:hAnsi="Arial" w:cs="Arial"/>
        </w:rPr>
        <w:t>-</w:t>
      </w:r>
    </w:p>
    <w:p w14:paraId="3DD2CD64" w14:textId="77777777" w:rsidR="00E732D4" w:rsidRDefault="00E732D4">
      <w:pPr>
        <w:spacing w:line="276" w:lineRule="auto"/>
        <w:jc w:val="both"/>
        <w:rPr>
          <w:rFonts w:ascii="Arial" w:eastAsia="Arial" w:hAnsi="Arial" w:cs="Arial"/>
        </w:rPr>
      </w:pPr>
    </w:p>
    <w:p w14:paraId="5B1E54B6" w14:textId="77777777" w:rsidR="00E732D4" w:rsidRDefault="00764FB9">
      <w:pPr>
        <w:spacing w:line="276" w:lineRule="auto"/>
        <w:jc w:val="both"/>
        <w:rPr>
          <w:rFonts w:ascii="Arial" w:eastAsia="Arial" w:hAnsi="Arial" w:cs="Arial"/>
        </w:rPr>
      </w:pPr>
      <w:r>
        <w:rPr>
          <w:rFonts w:ascii="Arial" w:eastAsia="Arial" w:hAnsi="Arial" w:cs="Arial"/>
        </w:rPr>
        <w:t xml:space="preserve">másrészről a </w:t>
      </w:r>
    </w:p>
    <w:p w14:paraId="35A4ACB9" w14:textId="77777777" w:rsidR="00E732D4" w:rsidRDefault="00E732D4">
      <w:pPr>
        <w:spacing w:line="276" w:lineRule="auto"/>
        <w:jc w:val="both"/>
        <w:rPr>
          <w:rFonts w:ascii="Arial" w:eastAsia="Arial" w:hAnsi="Arial" w:cs="Arial"/>
        </w:rPr>
      </w:pPr>
    </w:p>
    <w:p w14:paraId="0983108C" w14:textId="77777777" w:rsidR="00E732D4" w:rsidRDefault="00764FB9">
      <w:pPr>
        <w:spacing w:line="276" w:lineRule="auto"/>
        <w:jc w:val="both"/>
        <w:rPr>
          <w:rFonts w:ascii="Arial" w:eastAsia="Arial" w:hAnsi="Arial" w:cs="Arial"/>
          <w:b/>
        </w:rPr>
      </w:pPr>
      <w:r>
        <w:rPr>
          <w:rFonts w:ascii="Arial" w:eastAsia="Arial" w:hAnsi="Arial" w:cs="Arial"/>
        </w:rPr>
        <w:t>Szervezet neve:</w:t>
      </w:r>
      <w:r>
        <w:rPr>
          <w:rFonts w:ascii="Arial" w:eastAsia="Arial" w:hAnsi="Arial" w:cs="Arial"/>
        </w:rPr>
        <w:tab/>
      </w:r>
      <w:r>
        <w:rPr>
          <w:rFonts w:ascii="Arial" w:eastAsia="Arial" w:hAnsi="Arial" w:cs="Arial"/>
          <w:b/>
        </w:rPr>
        <w:t>Szombathely Megyei Jogú Város Önkormányzata</w:t>
      </w:r>
      <w:r>
        <w:rPr>
          <w:rFonts w:ascii="Arial" w:eastAsia="Arial" w:hAnsi="Arial" w:cs="Arial"/>
          <w:b/>
        </w:rPr>
        <w:tab/>
      </w:r>
    </w:p>
    <w:p w14:paraId="041E8E73" w14:textId="77777777" w:rsidR="00E732D4" w:rsidRDefault="00764FB9">
      <w:pPr>
        <w:spacing w:line="276" w:lineRule="auto"/>
        <w:jc w:val="both"/>
        <w:rPr>
          <w:rFonts w:ascii="Arial" w:eastAsia="Arial" w:hAnsi="Arial" w:cs="Arial"/>
        </w:rPr>
      </w:pPr>
      <w:r>
        <w:rPr>
          <w:rFonts w:ascii="Arial" w:eastAsia="Arial" w:hAnsi="Arial" w:cs="Arial"/>
        </w:rPr>
        <w:t>Székhely:</w:t>
      </w:r>
      <w:r>
        <w:rPr>
          <w:rFonts w:ascii="Arial" w:eastAsia="Arial" w:hAnsi="Arial" w:cs="Arial"/>
        </w:rPr>
        <w:tab/>
      </w:r>
      <w:r>
        <w:rPr>
          <w:rFonts w:ascii="Arial" w:eastAsia="Arial" w:hAnsi="Arial" w:cs="Arial"/>
        </w:rPr>
        <w:tab/>
        <w:t>9700 Szombathely, Kossuth Lajos u. 1-3.</w:t>
      </w:r>
    </w:p>
    <w:p w14:paraId="234B7F1C" w14:textId="77777777" w:rsidR="00E732D4" w:rsidRDefault="00764FB9">
      <w:pPr>
        <w:spacing w:line="276" w:lineRule="auto"/>
        <w:jc w:val="both"/>
        <w:rPr>
          <w:rFonts w:ascii="Arial" w:eastAsia="Arial" w:hAnsi="Arial" w:cs="Arial"/>
        </w:rPr>
      </w:pPr>
      <w:r>
        <w:rPr>
          <w:rFonts w:ascii="Arial" w:eastAsia="Arial" w:hAnsi="Arial" w:cs="Arial"/>
        </w:rPr>
        <w:t>Adószám:</w:t>
      </w:r>
      <w:r>
        <w:rPr>
          <w:rFonts w:ascii="Arial" w:eastAsia="Arial" w:hAnsi="Arial" w:cs="Arial"/>
        </w:rPr>
        <w:tab/>
      </w:r>
      <w:r>
        <w:rPr>
          <w:rFonts w:ascii="Arial" w:eastAsia="Arial" w:hAnsi="Arial" w:cs="Arial"/>
        </w:rPr>
        <w:tab/>
        <w:t>15733658-2-18</w:t>
      </w:r>
    </w:p>
    <w:p w14:paraId="22582AE4" w14:textId="77777777" w:rsidR="00E732D4" w:rsidRDefault="00764FB9">
      <w:pPr>
        <w:spacing w:line="276" w:lineRule="auto"/>
        <w:jc w:val="both"/>
        <w:rPr>
          <w:rFonts w:ascii="Arial" w:eastAsia="Arial" w:hAnsi="Arial" w:cs="Arial"/>
        </w:rPr>
      </w:pPr>
      <w:r>
        <w:rPr>
          <w:rFonts w:ascii="Arial" w:eastAsia="Arial" w:hAnsi="Arial" w:cs="Arial"/>
        </w:rPr>
        <w:t>Képviseli:</w:t>
      </w:r>
      <w:r>
        <w:rPr>
          <w:rFonts w:ascii="Arial" w:eastAsia="Arial" w:hAnsi="Arial" w:cs="Arial"/>
        </w:rPr>
        <w:tab/>
      </w:r>
      <w:r>
        <w:rPr>
          <w:rFonts w:ascii="Arial" w:eastAsia="Arial" w:hAnsi="Arial" w:cs="Arial"/>
        </w:rPr>
        <w:tab/>
        <w:t>Dr. Nemény András polgármester</w:t>
      </w:r>
    </w:p>
    <w:p w14:paraId="2B723EE0" w14:textId="77777777" w:rsidR="00E732D4" w:rsidRDefault="00764FB9">
      <w:pPr>
        <w:spacing w:line="276" w:lineRule="auto"/>
        <w:jc w:val="both"/>
        <w:rPr>
          <w:rFonts w:ascii="Arial" w:eastAsia="Arial" w:hAnsi="Arial" w:cs="Arial"/>
        </w:rPr>
      </w:pPr>
      <w:r>
        <w:rPr>
          <w:rFonts w:ascii="Arial" w:eastAsia="Arial" w:hAnsi="Arial" w:cs="Arial"/>
        </w:rPr>
        <w:t xml:space="preserve">mint együttműködő partner – a továbbiakban: </w:t>
      </w:r>
      <w:r>
        <w:rPr>
          <w:rFonts w:ascii="Arial" w:eastAsia="Arial" w:hAnsi="Arial" w:cs="Arial"/>
          <w:b/>
        </w:rPr>
        <w:t>Önkormányzat</w:t>
      </w:r>
      <w:r>
        <w:rPr>
          <w:rFonts w:ascii="Arial" w:eastAsia="Arial" w:hAnsi="Arial" w:cs="Arial"/>
        </w:rPr>
        <w:t xml:space="preserve"> –</w:t>
      </w:r>
    </w:p>
    <w:p w14:paraId="58E2ED3E" w14:textId="77777777" w:rsidR="00E732D4" w:rsidRDefault="00E732D4">
      <w:pPr>
        <w:spacing w:line="276" w:lineRule="auto"/>
        <w:jc w:val="both"/>
        <w:rPr>
          <w:rFonts w:ascii="Arial" w:eastAsia="Arial" w:hAnsi="Arial" w:cs="Arial"/>
        </w:rPr>
      </w:pPr>
    </w:p>
    <w:p w14:paraId="14B44382" w14:textId="77777777" w:rsidR="00E732D4" w:rsidRDefault="00764FB9">
      <w:pPr>
        <w:spacing w:line="276" w:lineRule="auto"/>
        <w:jc w:val="both"/>
        <w:rPr>
          <w:rFonts w:ascii="Arial" w:eastAsia="Arial" w:hAnsi="Arial" w:cs="Arial"/>
        </w:rPr>
      </w:pPr>
      <w:r>
        <w:rPr>
          <w:rFonts w:ascii="Arial" w:eastAsia="Arial" w:hAnsi="Arial" w:cs="Arial"/>
        </w:rPr>
        <w:t>együttesen a továbbiakban: Felek között alulírott helyen és napon, az alábbi feltételek mellett.</w:t>
      </w:r>
    </w:p>
    <w:p w14:paraId="628E9FDA" w14:textId="77777777" w:rsidR="00E732D4" w:rsidRDefault="00E732D4">
      <w:pPr>
        <w:spacing w:line="276" w:lineRule="auto"/>
        <w:jc w:val="both"/>
        <w:rPr>
          <w:rFonts w:ascii="Arial" w:eastAsia="Arial" w:hAnsi="Arial" w:cs="Arial"/>
        </w:rPr>
      </w:pPr>
    </w:p>
    <w:p w14:paraId="14974EEE" w14:textId="77777777" w:rsidR="00E732D4" w:rsidRDefault="00764FB9">
      <w:pPr>
        <w:spacing w:line="276" w:lineRule="auto"/>
        <w:jc w:val="both"/>
        <w:rPr>
          <w:rFonts w:ascii="Arial" w:eastAsia="Arial" w:hAnsi="Arial" w:cs="Arial"/>
          <w:b/>
          <w:u w:val="single"/>
        </w:rPr>
      </w:pPr>
      <w:r>
        <w:rPr>
          <w:rFonts w:ascii="Arial" w:eastAsia="Arial" w:hAnsi="Arial" w:cs="Arial"/>
          <w:b/>
          <w:u w:val="single"/>
        </w:rPr>
        <w:t>A MEGÁLLAPODÁS TÁRGYA</w:t>
      </w:r>
    </w:p>
    <w:p w14:paraId="0BBBC70C" w14:textId="77777777" w:rsidR="00E732D4" w:rsidRDefault="00E732D4">
      <w:pPr>
        <w:spacing w:line="276" w:lineRule="auto"/>
        <w:jc w:val="both"/>
        <w:rPr>
          <w:rFonts w:ascii="Arial" w:eastAsia="Arial" w:hAnsi="Arial" w:cs="Arial"/>
          <w:u w:val="single"/>
        </w:rPr>
      </w:pPr>
    </w:p>
    <w:p w14:paraId="3DCFCEE2" w14:textId="77777777" w:rsidR="00E732D4" w:rsidRDefault="00764FB9">
      <w:pPr>
        <w:numPr>
          <w:ilvl w:val="0"/>
          <w:numId w:val="4"/>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 xml:space="preserve">A Lime Kft. az egészségesebb, tisztább és élhetőbb városok létrehozása érdekében szorosan együttműködik az ebben érdekelt felekkel a fejlődő közlekedési igényeknek a kezelése érdekében, hogy ezáltal biztosítsa az emberek és közösségek közötti zavartalan, gyors, fenntartható és biztonságos közlekedést. Öt kontinensen több mint 200 millió utazáshoz járult hozzá, elektromos rollereket és kerékpárokat biztosítva az autózás alternatívájaként. </w:t>
      </w:r>
    </w:p>
    <w:p w14:paraId="68407E6E" w14:textId="77777777" w:rsidR="00E732D4" w:rsidRDefault="00E732D4">
      <w:pPr>
        <w:pBdr>
          <w:top w:val="nil"/>
          <w:left w:val="nil"/>
          <w:bottom w:val="nil"/>
          <w:right w:val="nil"/>
          <w:between w:val="nil"/>
        </w:pBdr>
        <w:ind w:left="284"/>
        <w:jc w:val="both"/>
        <w:rPr>
          <w:rFonts w:ascii="Arial" w:eastAsia="Arial" w:hAnsi="Arial" w:cs="Arial"/>
          <w:color w:val="000000"/>
        </w:rPr>
      </w:pPr>
    </w:p>
    <w:p w14:paraId="0D3F22FF" w14:textId="77777777" w:rsidR="00E732D4" w:rsidRDefault="00764FB9">
      <w:pPr>
        <w:ind w:left="284"/>
        <w:jc w:val="both"/>
        <w:rPr>
          <w:rFonts w:ascii="Arial" w:eastAsia="Arial" w:hAnsi="Arial" w:cs="Arial"/>
        </w:rPr>
      </w:pPr>
      <w:r>
        <w:rPr>
          <w:rFonts w:ascii="Arial" w:eastAsia="Arial" w:hAnsi="Arial" w:cs="Arial"/>
        </w:rPr>
        <w:t xml:space="preserve">Az Önkormányzat Közgyűlése a 244/2022. (VI.27.) Kgy. számú határozatában – tekintettel arra, hogy a </w:t>
      </w:r>
      <w:proofErr w:type="spellStart"/>
      <w:r>
        <w:rPr>
          <w:rFonts w:ascii="Arial" w:eastAsia="Arial" w:hAnsi="Arial" w:cs="Arial"/>
        </w:rPr>
        <w:t>mikromobilitási</w:t>
      </w:r>
      <w:proofErr w:type="spellEnd"/>
      <w:r>
        <w:rPr>
          <w:rFonts w:ascii="Arial" w:eastAsia="Arial" w:hAnsi="Arial" w:cs="Arial"/>
        </w:rPr>
        <w:t xml:space="preserve"> eszközök kölcsönzési lehetősége összhangban van Szombathely Megyei Jogú Város fenntartható mobilitási tervével (SUMP) - felhatalmazta a Városstratégiai, Idegenforgalmi és Sport Bizottságot, a Gazdasági és Jogi Bizottságot, valamint a Bűnmegelőzési, Közbiztonsági és Közrendvédelmi Bizottságot, hogy a </w:t>
      </w:r>
      <w:proofErr w:type="spellStart"/>
      <w:r>
        <w:rPr>
          <w:rFonts w:ascii="Arial" w:eastAsia="Arial" w:hAnsi="Arial" w:cs="Arial"/>
        </w:rPr>
        <w:t>mikromobilitási</w:t>
      </w:r>
      <w:proofErr w:type="spellEnd"/>
      <w:r>
        <w:rPr>
          <w:rFonts w:ascii="Arial" w:eastAsia="Arial" w:hAnsi="Arial" w:cs="Arial"/>
        </w:rPr>
        <w:t xml:space="preserve"> járművek kölcsönzési célú közterületi elhelyezésének részleteiről szóló megállapodást a Lime Kft. és az Önkormányzat között jóváhagyja. </w:t>
      </w:r>
    </w:p>
    <w:p w14:paraId="4A2E4CBB" w14:textId="77777777" w:rsidR="00E732D4" w:rsidRDefault="00764FB9">
      <w:pPr>
        <w:ind w:left="284"/>
        <w:jc w:val="both"/>
        <w:rPr>
          <w:rFonts w:ascii="Arial" w:eastAsia="Arial" w:hAnsi="Arial" w:cs="Arial"/>
        </w:rPr>
      </w:pPr>
      <w:r>
        <w:rPr>
          <w:rFonts w:ascii="Arial" w:eastAsia="Arial" w:hAnsi="Arial" w:cs="Arial"/>
        </w:rPr>
        <w:t xml:space="preserve">A Városstratégiai, Idegenforgalmi és Sport Bizottság </w:t>
      </w:r>
      <w:proofErr w:type="gramStart"/>
      <w:r>
        <w:rPr>
          <w:rFonts w:ascii="Arial" w:eastAsia="Arial" w:hAnsi="Arial" w:cs="Arial"/>
        </w:rPr>
        <w:t>a …</w:t>
      </w:r>
      <w:proofErr w:type="gramEnd"/>
      <w:r>
        <w:rPr>
          <w:rFonts w:ascii="Arial" w:eastAsia="Arial" w:hAnsi="Arial" w:cs="Arial"/>
        </w:rPr>
        <w:t>…………… VISB sz. határozatában, a Gazdasági és Jogi Bizottság a ………………..GJB sz. határozatában, valamint a Bűnmegelőzési, Közbiztonsági és Közrendvédelmi Bizottság a …………………….. határozatában az együttműködésnek a jelen megállapodásban foglalt feltételeit jóváhagyta, amelyre tekintettel a Felek az alábbi megállapodást kötik egymással:</w:t>
      </w:r>
    </w:p>
    <w:p w14:paraId="6D426F55" w14:textId="77777777" w:rsidR="00E732D4" w:rsidRDefault="00E732D4">
      <w:pPr>
        <w:jc w:val="both"/>
        <w:rPr>
          <w:rFonts w:ascii="Arial" w:eastAsia="Arial" w:hAnsi="Arial" w:cs="Arial"/>
        </w:rPr>
      </w:pPr>
    </w:p>
    <w:p w14:paraId="28B60212" w14:textId="77777777" w:rsidR="00E732D4" w:rsidRDefault="00764FB9">
      <w:pPr>
        <w:numPr>
          <w:ilvl w:val="0"/>
          <w:numId w:val="4"/>
        </w:numPr>
        <w:pBdr>
          <w:top w:val="nil"/>
          <w:left w:val="nil"/>
          <w:bottom w:val="nil"/>
          <w:right w:val="nil"/>
          <w:between w:val="nil"/>
        </w:pBdr>
        <w:ind w:left="284" w:right="65" w:hanging="284"/>
        <w:jc w:val="both"/>
        <w:rPr>
          <w:rFonts w:ascii="Arial" w:eastAsia="Arial" w:hAnsi="Arial" w:cs="Arial"/>
          <w:color w:val="000000"/>
        </w:rPr>
      </w:pPr>
      <w:r>
        <w:rPr>
          <w:rFonts w:ascii="Arial" w:eastAsia="Arial" w:hAnsi="Arial" w:cs="Arial"/>
          <w:color w:val="000000"/>
        </w:rPr>
        <w:lastRenderedPageBreak/>
        <w:t xml:space="preserve">A Lime Kft. a jelen megállapodás alapján 300 db elektromos roller lakossági kölcsönzését biztosítja Szombathely Megyei Jogú Város közigazgatási területén belül (üzemelési zóna), ahol összesen 72 darab gyűjtőpont (a továbbiakban: </w:t>
      </w:r>
      <w:proofErr w:type="spellStart"/>
      <w:r>
        <w:rPr>
          <w:rFonts w:ascii="Arial" w:eastAsia="Arial" w:hAnsi="Arial" w:cs="Arial"/>
          <w:color w:val="000000"/>
        </w:rPr>
        <w:t>hotspot</w:t>
      </w:r>
      <w:proofErr w:type="spellEnd"/>
      <w:r>
        <w:rPr>
          <w:rFonts w:ascii="Arial" w:eastAsia="Arial" w:hAnsi="Arial" w:cs="Arial"/>
          <w:color w:val="000000"/>
        </w:rPr>
        <w:t xml:space="preserve">) kerül kialakításra. A jelen megállapodás alapján az üzemelési zónát, a mobilitási zónát, a tilos parkoló zónákat, a </w:t>
      </w:r>
      <w:proofErr w:type="spellStart"/>
      <w:r>
        <w:rPr>
          <w:rFonts w:ascii="Arial" w:eastAsia="Arial" w:hAnsi="Arial" w:cs="Arial"/>
          <w:color w:val="000000"/>
        </w:rPr>
        <w:t>hotspotokat</w:t>
      </w:r>
      <w:proofErr w:type="spellEnd"/>
      <w:r>
        <w:rPr>
          <w:rFonts w:ascii="Arial" w:eastAsia="Arial" w:hAnsi="Arial" w:cs="Arial"/>
          <w:color w:val="000000"/>
        </w:rPr>
        <w:t xml:space="preserve">, a lassító zónát/behajtani tilos zónát és a kötelező parkoló zónákat a Felek a </w:t>
      </w:r>
      <w:hyperlink r:id="rId8">
        <w:r>
          <w:rPr>
            <w:rFonts w:ascii="Arial" w:eastAsia="Arial" w:hAnsi="Arial" w:cs="Arial"/>
            <w:color w:val="0563C1"/>
            <w:u w:val="single"/>
          </w:rPr>
          <w:t>https://www.google.com/maps/d/viewer?mid=1qlG_JnH74E189h0g0nKOSIwPzNilIKM6&amp;ll=47.22679413176138%2C16.6315940368107&amp;z=15</w:t>
        </w:r>
      </w:hyperlink>
      <w:r>
        <w:rPr>
          <w:rFonts w:ascii="Arial" w:eastAsia="Arial" w:hAnsi="Arial" w:cs="Arial"/>
          <w:color w:val="000000"/>
        </w:rPr>
        <w:t xml:space="preserve"> link tartalma alapján rögzítik. Szerződő felek megállapodnak abban, hogy a </w:t>
      </w:r>
      <w:proofErr w:type="spellStart"/>
      <w:r>
        <w:rPr>
          <w:rFonts w:ascii="Arial" w:eastAsia="Arial" w:hAnsi="Arial" w:cs="Arial"/>
          <w:color w:val="000000"/>
        </w:rPr>
        <w:t>hotspotok</w:t>
      </w:r>
      <w:proofErr w:type="spellEnd"/>
      <w:r>
        <w:rPr>
          <w:rFonts w:ascii="Arial" w:eastAsia="Arial" w:hAnsi="Arial" w:cs="Arial"/>
          <w:color w:val="000000"/>
        </w:rPr>
        <w:t xml:space="preserve"> helyszínét a működtetés első 2 hónapjának tapasztalata alapján egyező akarattal véglegesítik, amelyet követően a Lime Kft. saját költségén, az Önkormányzattal előzetesen írásban egyeztetett módon gondoskodik a </w:t>
      </w:r>
      <w:proofErr w:type="spellStart"/>
      <w:r>
        <w:rPr>
          <w:rFonts w:ascii="Arial" w:eastAsia="Arial" w:hAnsi="Arial" w:cs="Arial"/>
          <w:color w:val="000000"/>
        </w:rPr>
        <w:t>hotspotok</w:t>
      </w:r>
      <w:proofErr w:type="spellEnd"/>
      <w:r>
        <w:rPr>
          <w:rFonts w:ascii="Arial" w:eastAsia="Arial" w:hAnsi="Arial" w:cs="Arial"/>
          <w:color w:val="000000"/>
        </w:rPr>
        <w:t xml:space="preserve"> megjelöléséről a használók számára észlelhető módon (pl.: táblázás vagy felfestés).</w:t>
      </w:r>
    </w:p>
    <w:p w14:paraId="697A3F7C" w14:textId="77777777" w:rsidR="00E732D4" w:rsidRDefault="00E732D4">
      <w:pPr>
        <w:ind w:right="65"/>
        <w:jc w:val="both"/>
        <w:rPr>
          <w:rFonts w:ascii="Arial" w:eastAsia="Arial" w:hAnsi="Arial" w:cs="Arial"/>
        </w:rPr>
      </w:pPr>
    </w:p>
    <w:p w14:paraId="11E254D0" w14:textId="77777777" w:rsidR="00E732D4" w:rsidRDefault="00764FB9">
      <w:pPr>
        <w:spacing w:line="276" w:lineRule="auto"/>
        <w:jc w:val="both"/>
        <w:rPr>
          <w:rFonts w:ascii="Arial" w:eastAsia="Arial" w:hAnsi="Arial" w:cs="Arial"/>
          <w:b/>
          <w:u w:val="single"/>
        </w:rPr>
      </w:pPr>
      <w:r>
        <w:rPr>
          <w:rFonts w:ascii="Arial" w:eastAsia="Arial" w:hAnsi="Arial" w:cs="Arial"/>
          <w:b/>
          <w:u w:val="single"/>
        </w:rPr>
        <w:t>A MEGÁLLAPODÁS IDŐTARTAMA</w:t>
      </w:r>
    </w:p>
    <w:p w14:paraId="32DC5E18" w14:textId="77777777" w:rsidR="00E732D4" w:rsidRDefault="00E732D4">
      <w:pPr>
        <w:spacing w:line="276" w:lineRule="auto"/>
        <w:jc w:val="both"/>
        <w:rPr>
          <w:rFonts w:ascii="Arial" w:eastAsia="Arial" w:hAnsi="Arial" w:cs="Arial"/>
        </w:rPr>
      </w:pPr>
    </w:p>
    <w:p w14:paraId="4B1290D7" w14:textId="77777777" w:rsidR="00E732D4" w:rsidRDefault="00764FB9">
      <w:pPr>
        <w:numPr>
          <w:ilvl w:val="0"/>
          <w:numId w:val="4"/>
        </w:numPr>
        <w:pBdr>
          <w:top w:val="nil"/>
          <w:left w:val="nil"/>
          <w:bottom w:val="nil"/>
          <w:right w:val="nil"/>
          <w:between w:val="nil"/>
        </w:pBdr>
        <w:ind w:left="284" w:hanging="284"/>
        <w:jc w:val="both"/>
        <w:rPr>
          <w:rFonts w:ascii="Arial" w:eastAsia="Arial" w:hAnsi="Arial" w:cs="Arial"/>
          <w:color w:val="000000"/>
        </w:rPr>
      </w:pPr>
      <w:r>
        <w:rPr>
          <w:rFonts w:ascii="Arial" w:eastAsia="Arial" w:hAnsi="Arial" w:cs="Arial"/>
          <w:color w:val="000000"/>
        </w:rPr>
        <w:t>Jelen megállapodást Felek 2022. augusztus 1. napjától 2022. december 31. napjáig kötik.</w:t>
      </w:r>
    </w:p>
    <w:p w14:paraId="224B64F2" w14:textId="77777777" w:rsidR="00E732D4" w:rsidRDefault="00E732D4">
      <w:pPr>
        <w:pBdr>
          <w:top w:val="nil"/>
          <w:left w:val="nil"/>
          <w:bottom w:val="nil"/>
          <w:right w:val="nil"/>
          <w:between w:val="nil"/>
        </w:pBdr>
        <w:jc w:val="both"/>
        <w:rPr>
          <w:rFonts w:ascii="Arial" w:eastAsia="Arial" w:hAnsi="Arial" w:cs="Arial"/>
          <w:color w:val="000000"/>
        </w:rPr>
      </w:pPr>
    </w:p>
    <w:p w14:paraId="416C4D6A" w14:textId="77777777" w:rsidR="00E732D4" w:rsidRDefault="00764FB9">
      <w:pPr>
        <w:spacing w:line="276" w:lineRule="auto"/>
        <w:jc w:val="both"/>
        <w:rPr>
          <w:rFonts w:ascii="Arial" w:eastAsia="Arial" w:hAnsi="Arial" w:cs="Arial"/>
          <w:b/>
          <w:u w:val="single"/>
        </w:rPr>
      </w:pPr>
      <w:r>
        <w:rPr>
          <w:rFonts w:ascii="Arial" w:eastAsia="Arial" w:hAnsi="Arial" w:cs="Arial"/>
          <w:b/>
          <w:u w:val="single"/>
        </w:rPr>
        <w:t>A FELEK JOGAI ÉS KÖTELEZETTSÉGEI</w:t>
      </w:r>
    </w:p>
    <w:p w14:paraId="72E2A981" w14:textId="77777777" w:rsidR="00E732D4" w:rsidRDefault="00E732D4">
      <w:pPr>
        <w:spacing w:line="276" w:lineRule="auto"/>
        <w:jc w:val="both"/>
        <w:rPr>
          <w:rFonts w:ascii="Arial" w:eastAsia="Arial" w:hAnsi="Arial" w:cs="Arial"/>
        </w:rPr>
      </w:pPr>
    </w:p>
    <w:p w14:paraId="7C8DBD6F" w14:textId="1FFD5CD3"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Lime Kft. kötelezettséget vállal arra, hogy a </w:t>
      </w:r>
      <w:proofErr w:type="spellStart"/>
      <w:r>
        <w:rPr>
          <w:rFonts w:ascii="Arial" w:eastAsia="Arial" w:hAnsi="Arial" w:cs="Arial"/>
          <w:color w:val="000000"/>
        </w:rPr>
        <w:t>hotspotokon</w:t>
      </w:r>
      <w:proofErr w:type="spellEnd"/>
      <w:r>
        <w:rPr>
          <w:rFonts w:ascii="Arial" w:eastAsia="Arial" w:hAnsi="Arial" w:cs="Arial"/>
          <w:color w:val="000000"/>
        </w:rPr>
        <w:t xml:space="preserve"> a jelen megállapodás alapján az elektromos rollereket elhelyezi, és kölcsönzésüket a jelen megállapodás időtartama alatt biztosítja a lakosság számára. A Lime Kft. a jelen megállapodás aláírásával kijelenti, hogy az elektromos rollerek elhelyezésére biztosított </w:t>
      </w:r>
      <w:proofErr w:type="spellStart"/>
      <w:r>
        <w:rPr>
          <w:rFonts w:ascii="Arial" w:eastAsia="Arial" w:hAnsi="Arial" w:cs="Arial"/>
          <w:color w:val="000000"/>
        </w:rPr>
        <w:t>hotspotok</w:t>
      </w:r>
      <w:proofErr w:type="spellEnd"/>
      <w:r>
        <w:rPr>
          <w:rFonts w:ascii="Arial" w:eastAsia="Arial" w:hAnsi="Arial" w:cs="Arial"/>
          <w:color w:val="000000"/>
        </w:rPr>
        <w:t xml:space="preserve"> és az üzemeltetési zóna helyszíneit, területét ismeri és kijelenti, hogy az általa folytatni kívánt tevékenység végzésére azok alkalmasak. Az Önkormányzat szavatol azért, hogy harmadik személynek nincs a </w:t>
      </w:r>
      <w:proofErr w:type="spellStart"/>
      <w:r>
        <w:rPr>
          <w:rFonts w:ascii="Arial" w:eastAsia="Arial" w:hAnsi="Arial" w:cs="Arial"/>
          <w:color w:val="000000"/>
        </w:rPr>
        <w:t>hotspotokra</w:t>
      </w:r>
      <w:proofErr w:type="spellEnd"/>
      <w:r>
        <w:rPr>
          <w:rFonts w:ascii="Arial" w:eastAsia="Arial" w:hAnsi="Arial" w:cs="Arial"/>
          <w:color w:val="000000"/>
        </w:rPr>
        <w:t xml:space="preserve"> vonatkozóan olyan joga, amely a Lime Kft-t a használatban korlátozza vagy megakadályozza. Amennyiben bármely okból – különösen városi rendezvény miatt - szükséges a </w:t>
      </w:r>
      <w:proofErr w:type="spellStart"/>
      <w:r>
        <w:rPr>
          <w:rFonts w:ascii="Arial" w:eastAsia="Arial" w:hAnsi="Arial" w:cs="Arial"/>
          <w:color w:val="000000"/>
        </w:rPr>
        <w:t>hotspot</w:t>
      </w:r>
      <w:proofErr w:type="spellEnd"/>
      <w:r>
        <w:rPr>
          <w:rFonts w:ascii="Arial" w:eastAsia="Arial" w:hAnsi="Arial" w:cs="Arial"/>
          <w:color w:val="000000"/>
        </w:rPr>
        <w:t xml:space="preserve">(ok) áthelyezése vagy működtetésének felfüggesztése, úgy e körülményt az Önkormányzat írásban jelzi a Lime Kft. felé, legalább az áthelyezés vagy felfüggesztés időpontját megelőzően 3 nappal. A Lime Kft. a hozzá eljuttatott értesítése alapján köteles a </w:t>
      </w:r>
      <w:proofErr w:type="spellStart"/>
      <w:r>
        <w:rPr>
          <w:rFonts w:ascii="Arial" w:eastAsia="Arial" w:hAnsi="Arial" w:cs="Arial"/>
          <w:color w:val="000000"/>
        </w:rPr>
        <w:t>hotspot</w:t>
      </w:r>
      <w:proofErr w:type="spellEnd"/>
      <w:r>
        <w:rPr>
          <w:rFonts w:ascii="Arial" w:eastAsia="Arial" w:hAnsi="Arial" w:cs="Arial"/>
          <w:color w:val="000000"/>
        </w:rPr>
        <w:t>(ok) Önkormányzattal előzetesen egyeztetett áthelyezéséről vagy felfüggesztéséről gondoskodni.</w:t>
      </w:r>
    </w:p>
    <w:p w14:paraId="64A94A07" w14:textId="77777777" w:rsidR="00E732D4" w:rsidRDefault="00E732D4">
      <w:pPr>
        <w:jc w:val="both"/>
        <w:rPr>
          <w:rFonts w:ascii="Arial" w:eastAsia="Arial" w:hAnsi="Arial" w:cs="Arial"/>
        </w:rPr>
      </w:pPr>
    </w:p>
    <w:p w14:paraId="4D89CE60"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Lime Kft. a jelen megállapodás fennállása alatt köteles a </w:t>
      </w:r>
      <w:proofErr w:type="spellStart"/>
      <w:r>
        <w:rPr>
          <w:rFonts w:ascii="Arial" w:eastAsia="Arial" w:hAnsi="Arial" w:cs="Arial"/>
          <w:color w:val="000000"/>
        </w:rPr>
        <w:t>hotspotok</w:t>
      </w:r>
      <w:proofErr w:type="spellEnd"/>
      <w:r>
        <w:rPr>
          <w:rFonts w:ascii="Arial" w:eastAsia="Arial" w:hAnsi="Arial" w:cs="Arial"/>
          <w:color w:val="000000"/>
        </w:rPr>
        <w:t xml:space="preserve"> területét a rendeltetésüknek megfelelően használni, és köteles megtéríteni mindazt a kárt, amely a rendeltetésellenes használat, vagy más szerződésellenes magatartás következménye. Ha a Lime Kft. az Önkormányzat felhívása ellenére folytatja a nem rendeltetésszerű vagy a szerződésnek egyébként nem megfelelő használatot, az Önkormányzat azonnali hatállyal felmondhatja a jelen megállapodást. A Lime Kft. kizárólag az Önkormányzat előzetes írásbeli hozzájárulása alapján végezhet átalakítást a </w:t>
      </w:r>
      <w:proofErr w:type="spellStart"/>
      <w:r>
        <w:rPr>
          <w:rFonts w:ascii="Arial" w:eastAsia="Arial" w:hAnsi="Arial" w:cs="Arial"/>
          <w:color w:val="000000"/>
        </w:rPr>
        <w:t>hotspotok</w:t>
      </w:r>
      <w:proofErr w:type="spellEnd"/>
      <w:r>
        <w:rPr>
          <w:rFonts w:ascii="Arial" w:eastAsia="Arial" w:hAnsi="Arial" w:cs="Arial"/>
          <w:color w:val="000000"/>
        </w:rPr>
        <w:t xml:space="preserve"> területén.  </w:t>
      </w:r>
    </w:p>
    <w:p w14:paraId="3ABF1EEE"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p w14:paraId="51125312"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Lime Kft. viseli az elektromos rollerek fenntartásával, üzemeltetésével, karbantartásával és tisztántartásával kapcsolatos terheket.</w:t>
      </w:r>
    </w:p>
    <w:p w14:paraId="4709C5BC" w14:textId="77777777" w:rsidR="00E732D4" w:rsidRDefault="00764FB9">
      <w:pPr>
        <w:pBdr>
          <w:top w:val="nil"/>
          <w:left w:val="nil"/>
          <w:bottom w:val="nil"/>
          <w:right w:val="nil"/>
          <w:between w:val="nil"/>
        </w:pBdr>
        <w:ind w:left="360"/>
        <w:jc w:val="both"/>
        <w:rPr>
          <w:rFonts w:ascii="Arial" w:eastAsia="Arial" w:hAnsi="Arial" w:cs="Arial"/>
          <w:color w:val="000000"/>
        </w:rPr>
      </w:pPr>
      <w:r>
        <w:rPr>
          <w:rFonts w:ascii="Arial" w:eastAsia="Arial" w:hAnsi="Arial" w:cs="Arial"/>
          <w:color w:val="000000"/>
        </w:rPr>
        <w:t>A Lime Kft. tudomásul veszi, hogy az Önkormányzat az elektromos rollerek esetleges rongálásáért, megsemmisüléséért vagy egyéb károsulásáért, az elektromos rollerek lakosság általi használatával bekövetkező balesetekért és károkért nem vállal semmilyen felelősséget. Az elektromos rollerekben bekövetkezett ká</w:t>
      </w:r>
      <w:r>
        <w:rPr>
          <w:rFonts w:ascii="Arial" w:eastAsia="Arial" w:hAnsi="Arial" w:cs="Arial"/>
          <w:color w:val="000000"/>
        </w:rPr>
        <w:lastRenderedPageBreak/>
        <w:t>rok esetén a Lime Kft. vállalja rövid időn belül a helyreállítást, pótlást. Az elektromos rollerek bármely okból történő balesetveszélyessé válása esetén a Lime Kft. köteles azok használatát fizikailag megakadályozni és a lehető legrövidebb időn belül a balesetveszély megszűntetéséről gondoskodni. A Lime Kft. jelen szerződés aláírásával kifejezetten vállalja, hogy amennyiben az Önkormányzatnak bármilyen fizetési kötelezettsége keletkezne az elektromos rollerek használatával bármilyen összefüggésben, úgy azt legkésőbb az Önkormányzat fizetési kötelezettségének teljesítésétől számított 30 napon belül maradéktalanul megtéríti az Önkormányzat számára.</w:t>
      </w:r>
    </w:p>
    <w:p w14:paraId="5CF3A239" w14:textId="77777777" w:rsidR="00E732D4" w:rsidRDefault="00E732D4">
      <w:pPr>
        <w:pBdr>
          <w:top w:val="nil"/>
          <w:left w:val="nil"/>
          <w:bottom w:val="nil"/>
          <w:right w:val="nil"/>
          <w:between w:val="nil"/>
        </w:pBdr>
        <w:ind w:left="360"/>
        <w:jc w:val="both"/>
        <w:rPr>
          <w:rFonts w:ascii="Arial" w:eastAsia="Arial" w:hAnsi="Arial" w:cs="Arial"/>
          <w:color w:val="000000"/>
        </w:rPr>
      </w:pPr>
    </w:p>
    <w:p w14:paraId="09A35840" w14:textId="77777777" w:rsidR="00E732D4" w:rsidRDefault="00764FB9">
      <w:pPr>
        <w:numPr>
          <w:ilvl w:val="0"/>
          <w:numId w:val="6"/>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A Lime Kft. kötelezettséget vállal a rollerek olyan módon történő elhelyezésére, hogy a járdákon a gyalogosforgalmat, illetve a közös gyalog- és kerékpárutakon a kerékpáros forgalmat ne akadályozzák. Ennek érdekében a járdák esetében a 1,5 m hasznos szélességet biztosítani kell. Zöldterületeken, gyepesített felületeken nem lehet az eszközöket tárolni.</w:t>
      </w:r>
    </w:p>
    <w:p w14:paraId="5A7D462C" w14:textId="77777777" w:rsidR="00E732D4" w:rsidRDefault="00E732D4">
      <w:pPr>
        <w:jc w:val="both"/>
        <w:rPr>
          <w:rFonts w:ascii="Arial" w:eastAsia="Arial" w:hAnsi="Arial" w:cs="Arial"/>
        </w:rPr>
      </w:pPr>
    </w:p>
    <w:p w14:paraId="12F9E54C" w14:textId="77777777" w:rsidR="00E732D4" w:rsidRDefault="00764FB9">
      <w:pPr>
        <w:numPr>
          <w:ilvl w:val="0"/>
          <w:numId w:val="6"/>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 xml:space="preserve">A </w:t>
      </w:r>
      <w:proofErr w:type="spellStart"/>
      <w:r>
        <w:rPr>
          <w:rFonts w:ascii="Arial" w:eastAsia="Arial" w:hAnsi="Arial" w:cs="Arial"/>
          <w:color w:val="000000"/>
        </w:rPr>
        <w:t>hotspotok</w:t>
      </w:r>
      <w:proofErr w:type="spellEnd"/>
      <w:r>
        <w:rPr>
          <w:rFonts w:ascii="Arial" w:eastAsia="Arial" w:hAnsi="Arial" w:cs="Arial"/>
          <w:color w:val="000000"/>
        </w:rPr>
        <w:t xml:space="preserve"> területének fenntartási költségeihez történő hozzájárulásként a Lime Kft. az Önkormányzatnak 750.000,- Ft + ÁFA, azaz hétszázötvenezer forint + ÁFA összeget fizet, amelyet köteles a jelen megállapodás aláírását követő 15 napon belül az Önkormányzat számlája alapján, az Önkormányzat </w:t>
      </w:r>
      <w:proofErr w:type="spellStart"/>
      <w:r>
        <w:rPr>
          <w:rFonts w:ascii="Arial" w:eastAsia="Arial" w:hAnsi="Arial" w:cs="Arial"/>
          <w:color w:val="000000"/>
        </w:rPr>
        <w:t>UniCredit</w:t>
      </w:r>
      <w:proofErr w:type="spellEnd"/>
      <w:r>
        <w:rPr>
          <w:rFonts w:ascii="Arial" w:eastAsia="Arial" w:hAnsi="Arial" w:cs="Arial"/>
          <w:color w:val="000000"/>
        </w:rPr>
        <w:t xml:space="preserve"> Bank </w:t>
      </w:r>
      <w:proofErr w:type="spellStart"/>
      <w:r>
        <w:rPr>
          <w:rFonts w:ascii="Arial" w:eastAsia="Arial" w:hAnsi="Arial" w:cs="Arial"/>
          <w:color w:val="000000"/>
        </w:rPr>
        <w:t>Zrt-nél</w:t>
      </w:r>
      <w:proofErr w:type="spellEnd"/>
      <w:r>
        <w:rPr>
          <w:rFonts w:ascii="Arial" w:eastAsia="Arial" w:hAnsi="Arial" w:cs="Arial"/>
          <w:color w:val="000000"/>
        </w:rPr>
        <w:t xml:space="preserve"> vezetett 10918001-00000003-25300036 számú számlájára átutalással egy összegben teljesíteni. Ha a Lime Kft. előző kötelezettségét határidőre és maradéktalanul nem teljesíti, úgy az Önkormányzat felszólítás nélkül, azonnali hatállyal felmondhatja a jelen megállapodást.</w:t>
      </w:r>
    </w:p>
    <w:p w14:paraId="17DE49E3" w14:textId="77777777" w:rsidR="00E732D4" w:rsidRDefault="00E732D4">
      <w:pPr>
        <w:tabs>
          <w:tab w:val="left" w:pos="426"/>
        </w:tabs>
        <w:ind w:left="426" w:right="65" w:hanging="426"/>
        <w:jc w:val="both"/>
        <w:rPr>
          <w:rFonts w:ascii="Arial" w:eastAsia="Arial" w:hAnsi="Arial" w:cs="Arial"/>
        </w:rPr>
      </w:pPr>
    </w:p>
    <w:p w14:paraId="45C5428F" w14:textId="77777777" w:rsidR="00E732D4" w:rsidRDefault="00764FB9">
      <w:pPr>
        <w:numPr>
          <w:ilvl w:val="0"/>
          <w:numId w:val="6"/>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 xml:space="preserve">A Lime Kft. telefonos applikáción keresztül biztosítja a </w:t>
      </w:r>
      <w:proofErr w:type="spellStart"/>
      <w:r>
        <w:rPr>
          <w:rFonts w:ascii="Arial" w:eastAsia="Arial" w:hAnsi="Arial" w:cs="Arial"/>
          <w:color w:val="000000"/>
        </w:rPr>
        <w:t>hotspotok</w:t>
      </w:r>
      <w:proofErr w:type="spellEnd"/>
      <w:r>
        <w:rPr>
          <w:rFonts w:ascii="Arial" w:eastAsia="Arial" w:hAnsi="Arial" w:cs="Arial"/>
          <w:color w:val="000000"/>
        </w:rPr>
        <w:t xml:space="preserve"> helyéről, az elérhető szabad elektromos rollerekről történő lakossági tájékoztatást. A Lime applikáció letölthető a Play áruházból vagy az </w:t>
      </w:r>
      <w:proofErr w:type="spellStart"/>
      <w:r>
        <w:rPr>
          <w:rFonts w:ascii="Arial" w:eastAsia="Arial" w:hAnsi="Arial" w:cs="Arial"/>
          <w:color w:val="000000"/>
        </w:rPr>
        <w:t>App</w:t>
      </w:r>
      <w:proofErr w:type="spellEnd"/>
      <w:r>
        <w:rPr>
          <w:rFonts w:ascii="Arial" w:eastAsia="Arial" w:hAnsi="Arial" w:cs="Arial"/>
          <w:color w:val="000000"/>
        </w:rPr>
        <w:t xml:space="preserve"> </w:t>
      </w:r>
      <w:proofErr w:type="spellStart"/>
      <w:r>
        <w:rPr>
          <w:rFonts w:ascii="Arial" w:eastAsia="Arial" w:hAnsi="Arial" w:cs="Arial"/>
          <w:color w:val="000000"/>
        </w:rPr>
        <w:t>store-ból</w:t>
      </w:r>
      <w:proofErr w:type="spellEnd"/>
      <w:r>
        <w:rPr>
          <w:rFonts w:ascii="Arial" w:eastAsia="Arial" w:hAnsi="Arial" w:cs="Arial"/>
          <w:color w:val="000000"/>
        </w:rPr>
        <w:t>.</w:t>
      </w:r>
    </w:p>
    <w:p w14:paraId="3B975186" w14:textId="77777777" w:rsidR="00E732D4" w:rsidRDefault="00E732D4">
      <w:pPr>
        <w:pBdr>
          <w:top w:val="nil"/>
          <w:left w:val="nil"/>
          <w:bottom w:val="nil"/>
          <w:right w:val="nil"/>
          <w:between w:val="nil"/>
        </w:pBdr>
        <w:tabs>
          <w:tab w:val="left" w:pos="426"/>
        </w:tabs>
        <w:ind w:left="360" w:right="65"/>
        <w:jc w:val="both"/>
        <w:rPr>
          <w:rFonts w:ascii="Arial" w:eastAsia="Arial" w:hAnsi="Arial" w:cs="Arial"/>
          <w:color w:val="000000"/>
        </w:rPr>
      </w:pPr>
    </w:p>
    <w:p w14:paraId="371F58E6" w14:textId="1ACC7BB7" w:rsidR="00E732D4" w:rsidRDefault="00764FB9">
      <w:pPr>
        <w:numPr>
          <w:ilvl w:val="0"/>
          <w:numId w:val="6"/>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 xml:space="preserve">A Lime Kft. kötelezettséget vállal arra, hogy a kötelező parkoló zónákban a </w:t>
      </w:r>
      <w:proofErr w:type="spellStart"/>
      <w:r>
        <w:rPr>
          <w:rFonts w:ascii="Arial" w:eastAsia="Arial" w:hAnsi="Arial" w:cs="Arial"/>
          <w:color w:val="000000"/>
        </w:rPr>
        <w:t>hotspotokon</w:t>
      </w:r>
      <w:proofErr w:type="spellEnd"/>
      <w:r>
        <w:rPr>
          <w:rFonts w:ascii="Arial" w:eastAsia="Arial" w:hAnsi="Arial" w:cs="Arial"/>
          <w:color w:val="000000"/>
        </w:rPr>
        <w:t xml:space="preserve"> kívül hagyott elektromos rollereket, valamint a kötelező parkoló zónákon kívül a 7. pontban írtaknak nem megfelelően elhelyezett rollereket, az Önkormányzattól </w:t>
      </w:r>
      <w:r w:rsidR="007C01D3">
        <w:rPr>
          <w:rFonts w:ascii="Arial" w:eastAsia="Arial" w:hAnsi="Arial" w:cs="Arial"/>
          <w:color w:val="000000"/>
        </w:rPr>
        <w:t xml:space="preserve">a kapcsolattartó </w:t>
      </w:r>
      <w:r w:rsidR="00945E80">
        <w:rPr>
          <w:rFonts w:ascii="Arial" w:eastAsia="Arial" w:hAnsi="Arial" w:cs="Arial"/>
          <w:color w:val="000000"/>
        </w:rPr>
        <w:t xml:space="preserve">16. pont szerinti </w:t>
      </w:r>
      <w:r w:rsidR="007C01D3">
        <w:rPr>
          <w:rFonts w:ascii="Arial" w:eastAsia="Arial" w:hAnsi="Arial" w:cs="Arial"/>
          <w:color w:val="000000"/>
        </w:rPr>
        <w:t xml:space="preserve">e-mail címére </w:t>
      </w:r>
      <w:r>
        <w:rPr>
          <w:rFonts w:ascii="Arial" w:eastAsia="Arial" w:hAnsi="Arial" w:cs="Arial"/>
          <w:color w:val="000000"/>
        </w:rPr>
        <w:t xml:space="preserve">érkezett bejelentés kézhezvételétől számított 2 órán belül, egyéb esetekben 24 órán belül begyűjti, és valamelyik </w:t>
      </w:r>
      <w:proofErr w:type="spellStart"/>
      <w:r>
        <w:rPr>
          <w:rFonts w:ascii="Arial" w:eastAsia="Arial" w:hAnsi="Arial" w:cs="Arial"/>
          <w:color w:val="000000"/>
        </w:rPr>
        <w:t>hotspotra</w:t>
      </w:r>
      <w:proofErr w:type="spellEnd"/>
      <w:r>
        <w:rPr>
          <w:rFonts w:ascii="Arial" w:eastAsia="Arial" w:hAnsi="Arial" w:cs="Arial"/>
          <w:color w:val="000000"/>
        </w:rPr>
        <w:t xml:space="preserve"> visszaszállítja. A Lime Kft. ezen kötelezettségének teljesítéséhez alvállalkozó igénybevételére jogosult a Ptk.6:129. §-a alapján, akinek a magatartásáért úgy felel a Ptk.  6:148 §-a alapján, mintha maga járt volna el. </w:t>
      </w:r>
    </w:p>
    <w:p w14:paraId="48A23384" w14:textId="77777777" w:rsidR="00E732D4" w:rsidRDefault="00E732D4">
      <w:pPr>
        <w:jc w:val="both"/>
        <w:rPr>
          <w:rFonts w:ascii="Arial" w:eastAsia="Arial" w:hAnsi="Arial" w:cs="Arial"/>
        </w:rPr>
      </w:pPr>
    </w:p>
    <w:p w14:paraId="119F1F21" w14:textId="77777777" w:rsidR="00E732D4" w:rsidRDefault="00764FB9">
      <w:pPr>
        <w:numPr>
          <w:ilvl w:val="0"/>
          <w:numId w:val="6"/>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A Felek megállapodnak, hogy Szombathely Megyei Jogú Város közigazgatási területén</w:t>
      </w:r>
    </w:p>
    <w:p w14:paraId="2079F61A" w14:textId="77777777" w:rsidR="00E732D4" w:rsidRDefault="00764FB9">
      <w:pPr>
        <w:numPr>
          <w:ilvl w:val="0"/>
          <w:numId w:val="5"/>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behajtani tilos zóna: Fő tér területe,</w:t>
      </w:r>
    </w:p>
    <w:p w14:paraId="01E3175E" w14:textId="77777777" w:rsidR="00E732D4" w:rsidRDefault="00764FB9">
      <w:pPr>
        <w:numPr>
          <w:ilvl w:val="0"/>
          <w:numId w:val="5"/>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 xml:space="preserve">parkolni tilos zóna: Újtemető, Csónakázó-tó, Ezredévi park, </w:t>
      </w:r>
      <w:proofErr w:type="spellStart"/>
      <w:r>
        <w:rPr>
          <w:rFonts w:ascii="Arial" w:eastAsia="Arial" w:hAnsi="Arial" w:cs="Arial"/>
          <w:color w:val="000000"/>
        </w:rPr>
        <w:t>Kámoni</w:t>
      </w:r>
      <w:proofErr w:type="spellEnd"/>
      <w:r>
        <w:rPr>
          <w:rFonts w:ascii="Arial" w:eastAsia="Arial" w:hAnsi="Arial" w:cs="Arial"/>
          <w:color w:val="000000"/>
        </w:rPr>
        <w:t xml:space="preserve"> Arborétum, Herényi temető, </w:t>
      </w:r>
      <w:proofErr w:type="spellStart"/>
      <w:r>
        <w:rPr>
          <w:rFonts w:ascii="Arial" w:eastAsia="Arial" w:hAnsi="Arial" w:cs="Arial"/>
          <w:color w:val="000000"/>
        </w:rPr>
        <w:t>Jewish</w:t>
      </w:r>
      <w:proofErr w:type="spellEnd"/>
      <w:r>
        <w:rPr>
          <w:rFonts w:ascii="Arial" w:eastAsia="Arial" w:hAnsi="Arial" w:cs="Arial"/>
          <w:color w:val="000000"/>
        </w:rPr>
        <w:t xml:space="preserve"> temető, Brenner park, Potyondi mocsár, </w:t>
      </w:r>
      <w:proofErr w:type="spellStart"/>
      <w:r>
        <w:rPr>
          <w:rFonts w:ascii="Arial" w:eastAsia="Arial" w:hAnsi="Arial" w:cs="Arial"/>
          <w:color w:val="000000"/>
        </w:rPr>
        <w:t>Gayer</w:t>
      </w:r>
      <w:proofErr w:type="spellEnd"/>
      <w:r>
        <w:rPr>
          <w:rFonts w:ascii="Arial" w:eastAsia="Arial" w:hAnsi="Arial" w:cs="Arial"/>
          <w:color w:val="000000"/>
        </w:rPr>
        <w:t xml:space="preserve"> park, Szent Márton temető területe,</w:t>
      </w:r>
    </w:p>
    <w:p w14:paraId="0004356A" w14:textId="77777777" w:rsidR="00E732D4" w:rsidRDefault="00764FB9">
      <w:pPr>
        <w:numPr>
          <w:ilvl w:val="0"/>
          <w:numId w:val="5"/>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 xml:space="preserve">kötelező parkoló zóna: </w:t>
      </w:r>
    </w:p>
    <w:p w14:paraId="3C81C2D5"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highlight w:val="green"/>
        </w:rPr>
      </w:pPr>
      <w:r>
        <w:rPr>
          <w:rFonts w:ascii="Arial" w:eastAsia="Arial" w:hAnsi="Arial" w:cs="Arial"/>
          <w:color w:val="000000"/>
          <w:u w:val="single"/>
        </w:rPr>
        <w:t>Derkovits lakótelep</w:t>
      </w:r>
      <w:r>
        <w:rPr>
          <w:rFonts w:ascii="Arial" w:eastAsia="Arial" w:hAnsi="Arial" w:cs="Arial"/>
          <w:color w:val="000000"/>
        </w:rPr>
        <w:t xml:space="preserve"> (Váci M. u., Bem J. </w:t>
      </w:r>
      <w:proofErr w:type="gramStart"/>
      <w:r>
        <w:rPr>
          <w:rFonts w:ascii="Arial" w:eastAsia="Arial" w:hAnsi="Arial" w:cs="Arial"/>
          <w:color w:val="000000"/>
        </w:rPr>
        <w:t>u.</w:t>
      </w:r>
      <w:proofErr w:type="gramEnd"/>
      <w:r>
        <w:rPr>
          <w:rFonts w:ascii="Arial" w:eastAsia="Arial" w:hAnsi="Arial" w:cs="Arial"/>
          <w:color w:val="000000"/>
        </w:rPr>
        <w:t xml:space="preserve">; </w:t>
      </w:r>
      <w:proofErr w:type="spellStart"/>
      <w:r>
        <w:rPr>
          <w:rFonts w:ascii="Arial" w:eastAsia="Arial" w:hAnsi="Arial" w:cs="Arial"/>
          <w:color w:val="000000"/>
        </w:rPr>
        <w:t>Perintparti</w:t>
      </w:r>
      <w:proofErr w:type="spellEnd"/>
      <w:r>
        <w:rPr>
          <w:rFonts w:ascii="Arial" w:eastAsia="Arial" w:hAnsi="Arial" w:cs="Arial"/>
          <w:color w:val="000000"/>
        </w:rPr>
        <w:t xml:space="preserve"> sétány; Bartók B. krt.; </w:t>
      </w:r>
      <w:proofErr w:type="spellStart"/>
      <w:r>
        <w:rPr>
          <w:rFonts w:ascii="Arial" w:eastAsia="Arial" w:hAnsi="Arial" w:cs="Arial"/>
          <w:color w:val="000000"/>
        </w:rPr>
        <w:t>Rohonci</w:t>
      </w:r>
      <w:proofErr w:type="spellEnd"/>
      <w:r>
        <w:rPr>
          <w:rFonts w:ascii="Arial" w:eastAsia="Arial" w:hAnsi="Arial" w:cs="Arial"/>
          <w:color w:val="000000"/>
        </w:rPr>
        <w:t xml:space="preserve"> u.; Szűrcsapó u. ; Paragvári u.)</w:t>
      </w:r>
    </w:p>
    <w:p w14:paraId="591C2D01"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proofErr w:type="spellStart"/>
      <w:r>
        <w:rPr>
          <w:rFonts w:ascii="Arial" w:eastAsia="Arial" w:hAnsi="Arial" w:cs="Arial"/>
          <w:color w:val="000000"/>
          <w:u w:val="single"/>
        </w:rPr>
        <w:t>Joskar-Ola</w:t>
      </w:r>
      <w:proofErr w:type="spellEnd"/>
      <w:r>
        <w:rPr>
          <w:rFonts w:ascii="Arial" w:eastAsia="Arial" w:hAnsi="Arial" w:cs="Arial"/>
          <w:color w:val="000000"/>
          <w:u w:val="single"/>
        </w:rPr>
        <w:t xml:space="preserve"> lakótelep</w:t>
      </w:r>
      <w:r>
        <w:rPr>
          <w:rFonts w:ascii="Arial" w:eastAsia="Arial" w:hAnsi="Arial" w:cs="Arial"/>
          <w:color w:val="000000"/>
        </w:rPr>
        <w:t xml:space="preserve"> (Hunyadi J. u.; Károlyi A. u.; Kenyérvíz u.; Mikes K. u.; Barátság u.; Szent Márton u.)</w:t>
      </w:r>
    </w:p>
    <w:p w14:paraId="28F7614C"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r>
        <w:rPr>
          <w:rFonts w:ascii="Arial" w:eastAsia="Arial" w:hAnsi="Arial" w:cs="Arial"/>
          <w:color w:val="000000"/>
          <w:u w:val="single"/>
        </w:rPr>
        <w:t>KISZ lakótelep</w:t>
      </w:r>
      <w:r>
        <w:rPr>
          <w:rFonts w:ascii="Arial" w:eastAsia="Arial" w:hAnsi="Arial" w:cs="Arial"/>
          <w:color w:val="000000"/>
        </w:rPr>
        <w:t xml:space="preserve"> (Szent Flórián krt.; </w:t>
      </w:r>
      <w:proofErr w:type="spellStart"/>
      <w:r>
        <w:rPr>
          <w:rFonts w:ascii="Arial" w:eastAsia="Arial" w:hAnsi="Arial" w:cs="Arial"/>
          <w:color w:val="000000"/>
        </w:rPr>
        <w:t>Perint</w:t>
      </w:r>
      <w:proofErr w:type="spellEnd"/>
      <w:r>
        <w:rPr>
          <w:rFonts w:ascii="Arial" w:eastAsia="Arial" w:hAnsi="Arial" w:cs="Arial"/>
          <w:color w:val="000000"/>
        </w:rPr>
        <w:t xml:space="preserve"> patak; Szent Gellért u.; Jászai M. u.; Budai Nagy Antal u.; Muraszombat u.; Hajdú u.; Rumi u.)</w:t>
      </w:r>
    </w:p>
    <w:p w14:paraId="355C6399"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proofErr w:type="spellStart"/>
      <w:r w:rsidRPr="00033B6A">
        <w:rPr>
          <w:rFonts w:ascii="Arial" w:eastAsia="Arial" w:hAnsi="Arial" w:cs="Arial"/>
          <w:color w:val="000000"/>
          <w:u w:val="single"/>
        </w:rPr>
        <w:lastRenderedPageBreak/>
        <w:t>Oladi</w:t>
      </w:r>
      <w:proofErr w:type="spellEnd"/>
      <w:r w:rsidRPr="00033B6A">
        <w:rPr>
          <w:rFonts w:ascii="Arial" w:eastAsia="Arial" w:hAnsi="Arial" w:cs="Arial"/>
          <w:color w:val="000000"/>
          <w:u w:val="single"/>
        </w:rPr>
        <w:t xml:space="preserve"> lakótelep</w:t>
      </w:r>
      <w:r>
        <w:rPr>
          <w:rFonts w:ascii="Arial" w:eastAsia="Arial" w:hAnsi="Arial" w:cs="Arial"/>
          <w:color w:val="000000"/>
        </w:rPr>
        <w:t xml:space="preserve"> (Dolgozók u.; Kassák L. u.; Kodály Z. u.; Nagy L. u.; Simon I. u.; Kassák L. u.; Bakó J. u.; Faludi F. u.)</w:t>
      </w:r>
    </w:p>
    <w:p w14:paraId="3465A6E5"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r w:rsidRPr="00033B6A">
        <w:rPr>
          <w:rFonts w:ascii="Arial" w:eastAsia="Arial" w:hAnsi="Arial" w:cs="Arial"/>
          <w:color w:val="000000"/>
          <w:u w:val="single"/>
        </w:rPr>
        <w:t>Stromfeld lakótelep</w:t>
      </w:r>
      <w:r>
        <w:rPr>
          <w:rFonts w:ascii="Arial" w:eastAsia="Arial" w:hAnsi="Arial" w:cs="Arial"/>
          <w:color w:val="000000"/>
        </w:rPr>
        <w:t xml:space="preserve"> (Verseny u.; Repülők útja; Szombathely-Kőszeg vasút; Élmunkás u.)</w:t>
      </w:r>
    </w:p>
    <w:p w14:paraId="3AC06F84"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bookmarkStart w:id="0" w:name="_GoBack"/>
      <w:r w:rsidRPr="00033B6A">
        <w:rPr>
          <w:rFonts w:ascii="Arial" w:eastAsia="Arial" w:hAnsi="Arial" w:cs="Arial"/>
          <w:color w:val="000000"/>
          <w:u w:val="single"/>
        </w:rPr>
        <w:t>Mobilitási zóna</w:t>
      </w:r>
      <w:bookmarkEnd w:id="0"/>
      <w:r>
        <w:rPr>
          <w:rFonts w:ascii="Arial" w:eastAsia="Arial" w:hAnsi="Arial" w:cs="Arial"/>
          <w:color w:val="000000"/>
        </w:rPr>
        <w:t xml:space="preserve"> (Petőfi S. u.; Magyar L. u.; Nagykar u.; Sörház u.; </w:t>
      </w:r>
      <w:proofErr w:type="spellStart"/>
      <w:r>
        <w:rPr>
          <w:rFonts w:ascii="Arial" w:eastAsia="Arial" w:hAnsi="Arial" w:cs="Arial"/>
          <w:color w:val="000000"/>
        </w:rPr>
        <w:t>Hollán</w:t>
      </w:r>
      <w:proofErr w:type="spellEnd"/>
      <w:r>
        <w:rPr>
          <w:rFonts w:ascii="Arial" w:eastAsia="Arial" w:hAnsi="Arial" w:cs="Arial"/>
          <w:color w:val="000000"/>
        </w:rPr>
        <w:t xml:space="preserve"> E. u.; Kiskar u.; Mátyás király u.; Zrínyi I. u.; Hunyadi J. </w:t>
      </w:r>
      <w:proofErr w:type="gramStart"/>
      <w:r>
        <w:rPr>
          <w:rFonts w:ascii="Arial" w:eastAsia="Arial" w:hAnsi="Arial" w:cs="Arial"/>
          <w:color w:val="000000"/>
        </w:rPr>
        <w:t>u.</w:t>
      </w:r>
      <w:proofErr w:type="gramEnd"/>
      <w:r>
        <w:rPr>
          <w:rFonts w:ascii="Arial" w:eastAsia="Arial" w:hAnsi="Arial" w:cs="Arial"/>
          <w:color w:val="000000"/>
        </w:rPr>
        <w:t xml:space="preserve">; Szent Márton u.; Vörösmarty u.; </w:t>
      </w:r>
      <w:proofErr w:type="spellStart"/>
      <w:r>
        <w:rPr>
          <w:rFonts w:ascii="Arial" w:eastAsia="Arial" w:hAnsi="Arial" w:cs="Arial"/>
          <w:color w:val="000000"/>
        </w:rPr>
        <w:t>Szelestey</w:t>
      </w:r>
      <w:proofErr w:type="spellEnd"/>
      <w:r>
        <w:rPr>
          <w:rFonts w:ascii="Arial" w:eastAsia="Arial" w:hAnsi="Arial" w:cs="Arial"/>
          <w:color w:val="000000"/>
        </w:rPr>
        <w:t xml:space="preserve"> L. u.; Március 15. tér) </w:t>
      </w:r>
    </w:p>
    <w:p w14:paraId="0382EA02" w14:textId="77777777" w:rsidR="00E732D4" w:rsidRDefault="00764FB9">
      <w:pPr>
        <w:pBdr>
          <w:top w:val="nil"/>
          <w:left w:val="nil"/>
          <w:bottom w:val="nil"/>
          <w:right w:val="nil"/>
          <w:between w:val="nil"/>
        </w:pBdr>
        <w:tabs>
          <w:tab w:val="left" w:pos="426"/>
        </w:tabs>
        <w:ind w:left="720" w:right="65"/>
        <w:jc w:val="both"/>
        <w:rPr>
          <w:rFonts w:ascii="Arial" w:eastAsia="Arial" w:hAnsi="Arial" w:cs="Arial"/>
          <w:color w:val="000000"/>
        </w:rPr>
      </w:pPr>
      <w:r>
        <w:rPr>
          <w:rFonts w:ascii="Arial" w:eastAsia="Arial" w:hAnsi="Arial" w:cs="Arial"/>
          <w:color w:val="000000"/>
        </w:rPr>
        <w:t xml:space="preserve">Ezen zónák területén belül a használók a rollereket kizárólag a Lime Kft. által kialakításra kerülő </w:t>
      </w:r>
      <w:proofErr w:type="spellStart"/>
      <w:r>
        <w:rPr>
          <w:rFonts w:ascii="Arial" w:eastAsia="Arial" w:hAnsi="Arial" w:cs="Arial"/>
          <w:color w:val="000000"/>
        </w:rPr>
        <w:t>hotspoton</w:t>
      </w:r>
      <w:proofErr w:type="spellEnd"/>
      <w:r>
        <w:rPr>
          <w:rFonts w:ascii="Arial" w:eastAsia="Arial" w:hAnsi="Arial" w:cs="Arial"/>
          <w:color w:val="000000"/>
        </w:rPr>
        <w:t xml:space="preserve"> helyezhetik el, míg az üzemeltetési terület ezeken kívül eső részein az elektromos rollerek a KRESZ szabályainak betartása mellett, valamint a jelen megállapodásban rögzítettek figyelembevételével (pl.: 7. pontban írtak) bárhol elhelyezhetők. </w:t>
      </w:r>
    </w:p>
    <w:p w14:paraId="5057F40A" w14:textId="77777777" w:rsidR="00E732D4" w:rsidRDefault="00E732D4">
      <w:pPr>
        <w:pBdr>
          <w:top w:val="nil"/>
          <w:left w:val="nil"/>
          <w:bottom w:val="nil"/>
          <w:right w:val="nil"/>
          <w:between w:val="nil"/>
        </w:pBdr>
        <w:ind w:left="360"/>
        <w:jc w:val="both"/>
        <w:rPr>
          <w:rFonts w:ascii="Arial" w:eastAsia="Arial" w:hAnsi="Arial" w:cs="Arial"/>
          <w:color w:val="000000"/>
        </w:rPr>
      </w:pPr>
    </w:p>
    <w:p w14:paraId="593A0F01"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Lime Kft. kötelezettséget vállal arra, hogy az elektromos rollerek bármely okból kiváltott hangjelzését minden nap este 10 és reggel 7 óra között letiltja. </w:t>
      </w:r>
    </w:p>
    <w:p w14:paraId="235E7E5E"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p w14:paraId="7B22B04A"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Lime Kft. kötelezettséget vállal arra, hogy az Önkormányzat külön kérésére, az abban megjelölt határidőn belül és az abban megfogalmazott kritériumok alapján – különösen a </w:t>
      </w:r>
      <w:proofErr w:type="spellStart"/>
      <w:r>
        <w:rPr>
          <w:rFonts w:ascii="Arial" w:eastAsia="Arial" w:hAnsi="Arial" w:cs="Arial"/>
          <w:color w:val="000000"/>
        </w:rPr>
        <w:t>hotspotokon</w:t>
      </w:r>
      <w:proofErr w:type="spellEnd"/>
      <w:r>
        <w:rPr>
          <w:rFonts w:ascii="Arial" w:eastAsia="Arial" w:hAnsi="Arial" w:cs="Arial"/>
          <w:color w:val="000000"/>
        </w:rPr>
        <w:t xml:space="preserve"> kívül hagyott elektromos rollerek számára, a begyűjtés időtartamára vonatkozóan - az elektromos rollerek használatával kapcsolatosan kimutatást készít, és azt megküldi az Önkormányzat részére.</w:t>
      </w:r>
    </w:p>
    <w:p w14:paraId="7CD20668" w14:textId="77777777" w:rsidR="00E732D4" w:rsidRDefault="00E732D4">
      <w:pPr>
        <w:pBdr>
          <w:top w:val="nil"/>
          <w:left w:val="nil"/>
          <w:bottom w:val="nil"/>
          <w:right w:val="nil"/>
          <w:between w:val="nil"/>
        </w:pBdr>
        <w:ind w:left="720"/>
        <w:rPr>
          <w:rFonts w:ascii="Arial" w:eastAsia="Arial" w:hAnsi="Arial" w:cs="Arial"/>
          <w:color w:val="000000"/>
        </w:rPr>
      </w:pPr>
    </w:p>
    <w:p w14:paraId="204CC9FB"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Lime Kft. a jelen megállapodás aláírásával kijelenti, hogy az általa nyújtott szolgáltatás tekintetében megfelelő szaktudással, tapasztalattal és kapacitással rendelkezik, szolgáltatását a hatályos jogszabályi rendelkezéseknek megfelelően végzi.</w:t>
      </w:r>
    </w:p>
    <w:p w14:paraId="3CED61F3" w14:textId="77777777" w:rsidR="00E732D4" w:rsidRDefault="00E732D4">
      <w:pPr>
        <w:pBdr>
          <w:top w:val="nil"/>
          <w:left w:val="nil"/>
          <w:bottom w:val="nil"/>
          <w:right w:val="nil"/>
          <w:between w:val="nil"/>
        </w:pBdr>
        <w:spacing w:line="276" w:lineRule="auto"/>
        <w:ind w:left="720"/>
        <w:rPr>
          <w:rFonts w:ascii="Arial" w:eastAsia="Arial" w:hAnsi="Arial" w:cs="Arial"/>
          <w:color w:val="000000"/>
        </w:rPr>
      </w:pPr>
    </w:p>
    <w:p w14:paraId="79D370DB"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Lime Kft. kijelenti továbbá, hogy a tevékenységére vonatkozó hatósági és jogszabályi előírásokat ismeri, a szolgáltatásával kapcsolatos eszközök, igénybe vett személyek, esetleges alvállalkozók az előírásoknak mindenben megfelelnek mind minőségüket, jellegüket mind pedig mennyiségüket tekintve. A Lime Kft. a jelen szerződésben megjelölt tevékenysége gyakorlásához esetlegesen szükséges hatósági engedélyeket köteles beszerezni.</w:t>
      </w:r>
    </w:p>
    <w:p w14:paraId="14EA513C" w14:textId="77777777" w:rsidR="00E732D4" w:rsidRDefault="00E732D4">
      <w:pPr>
        <w:spacing w:line="276" w:lineRule="auto"/>
        <w:jc w:val="both"/>
        <w:rPr>
          <w:rFonts w:ascii="Arial" w:eastAsia="Arial" w:hAnsi="Arial" w:cs="Arial"/>
        </w:rPr>
      </w:pPr>
    </w:p>
    <w:p w14:paraId="7C3B150E" w14:textId="77777777" w:rsidR="00E732D4" w:rsidRDefault="00764FB9">
      <w:pPr>
        <w:spacing w:line="276" w:lineRule="auto"/>
        <w:jc w:val="both"/>
        <w:rPr>
          <w:rFonts w:ascii="Arial" w:eastAsia="Arial" w:hAnsi="Arial" w:cs="Arial"/>
          <w:b/>
          <w:u w:val="single"/>
        </w:rPr>
      </w:pPr>
      <w:r>
        <w:rPr>
          <w:rFonts w:ascii="Arial" w:eastAsia="Arial" w:hAnsi="Arial" w:cs="Arial"/>
          <w:b/>
          <w:u w:val="single"/>
        </w:rPr>
        <w:t>KAPCSOLATTARTÁS</w:t>
      </w:r>
    </w:p>
    <w:p w14:paraId="01A3A503" w14:textId="77777777" w:rsidR="00E732D4" w:rsidRDefault="00E732D4">
      <w:pPr>
        <w:spacing w:line="276" w:lineRule="auto"/>
        <w:jc w:val="both"/>
        <w:rPr>
          <w:rFonts w:ascii="Arial" w:eastAsia="Arial" w:hAnsi="Arial" w:cs="Arial"/>
        </w:rPr>
      </w:pPr>
    </w:p>
    <w:p w14:paraId="7DFE1F5B" w14:textId="77777777" w:rsidR="00E732D4" w:rsidRDefault="00764FB9">
      <w:pPr>
        <w:numPr>
          <w:ilvl w:val="0"/>
          <w:numId w:val="6"/>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 Felek részéről kapcsolattartásra kijelölt személyek:</w:t>
      </w:r>
    </w:p>
    <w:p w14:paraId="1905D9E7"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p w14:paraId="10852AE5"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tbl>
      <w:tblPr>
        <w:tblStyle w:val="a"/>
        <w:tblW w:w="11293"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3260"/>
        <w:gridCol w:w="3825"/>
        <w:gridCol w:w="2580"/>
        <w:gridCol w:w="920"/>
        <w:gridCol w:w="236"/>
        <w:gridCol w:w="236"/>
        <w:gridCol w:w="236"/>
      </w:tblGrid>
      <w:tr w:rsidR="00E732D4" w14:paraId="344DC44C" w14:textId="77777777">
        <w:trPr>
          <w:gridAfter w:val="4"/>
          <w:wAfter w:w="1628" w:type="dxa"/>
        </w:trPr>
        <w:tc>
          <w:tcPr>
            <w:tcW w:w="3261" w:type="dxa"/>
          </w:tcPr>
          <w:p w14:paraId="5FCB3A9A" w14:textId="77777777" w:rsidR="00E732D4" w:rsidRDefault="00764FB9">
            <w:pPr>
              <w:spacing w:line="276" w:lineRule="auto"/>
              <w:ind w:right="916"/>
              <w:jc w:val="both"/>
              <w:rPr>
                <w:rFonts w:ascii="Arial" w:eastAsia="Arial" w:hAnsi="Arial" w:cs="Arial"/>
                <w:u w:val="single"/>
              </w:rPr>
            </w:pPr>
            <w:r>
              <w:rPr>
                <w:rFonts w:ascii="Arial" w:eastAsia="Arial" w:hAnsi="Arial" w:cs="Arial"/>
                <w:u w:val="single"/>
              </w:rPr>
              <w:t>A Lime Kft. részéről:</w:t>
            </w:r>
          </w:p>
        </w:tc>
        <w:tc>
          <w:tcPr>
            <w:tcW w:w="3825" w:type="dxa"/>
          </w:tcPr>
          <w:p w14:paraId="1294149E" w14:textId="77777777" w:rsidR="00E732D4" w:rsidRDefault="00E732D4">
            <w:pPr>
              <w:spacing w:line="276" w:lineRule="auto"/>
              <w:ind w:left="426"/>
              <w:jc w:val="both"/>
              <w:rPr>
                <w:rFonts w:ascii="Arial" w:eastAsia="Arial" w:hAnsi="Arial" w:cs="Arial"/>
              </w:rPr>
            </w:pPr>
          </w:p>
        </w:tc>
        <w:tc>
          <w:tcPr>
            <w:tcW w:w="2580" w:type="dxa"/>
          </w:tcPr>
          <w:p w14:paraId="55E7AFBD" w14:textId="77777777" w:rsidR="00E732D4" w:rsidRDefault="00E732D4">
            <w:pPr>
              <w:spacing w:line="276" w:lineRule="auto"/>
              <w:ind w:left="426"/>
              <w:jc w:val="both"/>
              <w:rPr>
                <w:rFonts w:ascii="Arial" w:eastAsia="Arial" w:hAnsi="Arial" w:cs="Arial"/>
              </w:rPr>
            </w:pPr>
          </w:p>
        </w:tc>
      </w:tr>
      <w:tr w:rsidR="00E732D4" w14:paraId="740FFDD0" w14:textId="77777777">
        <w:trPr>
          <w:gridAfter w:val="4"/>
          <w:wAfter w:w="1628" w:type="dxa"/>
        </w:trPr>
        <w:tc>
          <w:tcPr>
            <w:tcW w:w="3261" w:type="dxa"/>
          </w:tcPr>
          <w:p w14:paraId="26705AE6" w14:textId="77777777" w:rsidR="00E732D4" w:rsidRDefault="00E732D4">
            <w:pPr>
              <w:spacing w:line="276" w:lineRule="auto"/>
              <w:ind w:left="426"/>
              <w:jc w:val="both"/>
              <w:rPr>
                <w:rFonts w:ascii="Arial" w:eastAsia="Arial" w:hAnsi="Arial" w:cs="Arial"/>
              </w:rPr>
            </w:pPr>
          </w:p>
        </w:tc>
        <w:tc>
          <w:tcPr>
            <w:tcW w:w="3825" w:type="dxa"/>
          </w:tcPr>
          <w:p w14:paraId="3F5BE160" w14:textId="77777777" w:rsidR="00E732D4" w:rsidRDefault="00764FB9">
            <w:pPr>
              <w:spacing w:line="276" w:lineRule="auto"/>
              <w:jc w:val="both"/>
              <w:rPr>
                <w:rFonts w:ascii="Arial" w:eastAsia="Arial" w:hAnsi="Arial" w:cs="Arial"/>
              </w:rPr>
            </w:pPr>
            <w:r>
              <w:rPr>
                <w:rFonts w:ascii="Arial" w:eastAsia="Arial" w:hAnsi="Arial" w:cs="Arial"/>
              </w:rPr>
              <w:t xml:space="preserve">   Név: Irmai Krisztián</w:t>
            </w:r>
          </w:p>
        </w:tc>
        <w:tc>
          <w:tcPr>
            <w:tcW w:w="2580" w:type="dxa"/>
          </w:tcPr>
          <w:p w14:paraId="42E20614" w14:textId="77777777" w:rsidR="00E732D4" w:rsidRDefault="00E732D4">
            <w:pPr>
              <w:spacing w:line="276" w:lineRule="auto"/>
              <w:jc w:val="both"/>
              <w:rPr>
                <w:rFonts w:ascii="Arial" w:eastAsia="Arial" w:hAnsi="Arial" w:cs="Arial"/>
              </w:rPr>
            </w:pPr>
          </w:p>
        </w:tc>
      </w:tr>
      <w:tr w:rsidR="00E732D4" w14:paraId="73CA7AC4" w14:textId="77777777">
        <w:trPr>
          <w:gridAfter w:val="4"/>
          <w:wAfter w:w="1628" w:type="dxa"/>
        </w:trPr>
        <w:tc>
          <w:tcPr>
            <w:tcW w:w="3261" w:type="dxa"/>
          </w:tcPr>
          <w:p w14:paraId="2488F885" w14:textId="77777777" w:rsidR="00E732D4" w:rsidRDefault="00E732D4">
            <w:pPr>
              <w:spacing w:line="276" w:lineRule="auto"/>
              <w:ind w:left="426"/>
              <w:jc w:val="both"/>
              <w:rPr>
                <w:rFonts w:ascii="Arial" w:eastAsia="Arial" w:hAnsi="Arial" w:cs="Arial"/>
              </w:rPr>
            </w:pPr>
          </w:p>
        </w:tc>
        <w:tc>
          <w:tcPr>
            <w:tcW w:w="3825" w:type="dxa"/>
          </w:tcPr>
          <w:p w14:paraId="35B2C5C8" w14:textId="77777777" w:rsidR="00E732D4" w:rsidRDefault="00764FB9">
            <w:pPr>
              <w:spacing w:line="276" w:lineRule="auto"/>
              <w:jc w:val="both"/>
              <w:rPr>
                <w:rFonts w:ascii="Arial" w:eastAsia="Arial" w:hAnsi="Arial" w:cs="Arial"/>
              </w:rPr>
            </w:pPr>
            <w:r>
              <w:rPr>
                <w:rFonts w:ascii="Arial" w:eastAsia="Arial" w:hAnsi="Arial" w:cs="Arial"/>
              </w:rPr>
              <w:t xml:space="preserve">   Telefon: +36 30 904 46 94</w:t>
            </w:r>
          </w:p>
        </w:tc>
        <w:tc>
          <w:tcPr>
            <w:tcW w:w="2580" w:type="dxa"/>
          </w:tcPr>
          <w:p w14:paraId="265A5DBA" w14:textId="77777777" w:rsidR="00E732D4" w:rsidRDefault="00E732D4">
            <w:pPr>
              <w:spacing w:line="276" w:lineRule="auto"/>
              <w:ind w:left="426"/>
              <w:jc w:val="both"/>
              <w:rPr>
                <w:rFonts w:ascii="Arial" w:eastAsia="Arial" w:hAnsi="Arial" w:cs="Arial"/>
              </w:rPr>
            </w:pPr>
          </w:p>
        </w:tc>
      </w:tr>
      <w:tr w:rsidR="00E732D4" w14:paraId="3B3B23C1" w14:textId="77777777">
        <w:trPr>
          <w:gridAfter w:val="4"/>
          <w:wAfter w:w="1628" w:type="dxa"/>
          <w:trHeight w:val="276"/>
        </w:trPr>
        <w:tc>
          <w:tcPr>
            <w:tcW w:w="3261" w:type="dxa"/>
          </w:tcPr>
          <w:p w14:paraId="39D49502" w14:textId="77777777" w:rsidR="00E732D4" w:rsidRDefault="00E732D4">
            <w:pPr>
              <w:spacing w:line="276" w:lineRule="auto"/>
              <w:jc w:val="both"/>
              <w:rPr>
                <w:rFonts w:ascii="Arial" w:eastAsia="Arial" w:hAnsi="Arial" w:cs="Arial"/>
              </w:rPr>
            </w:pPr>
          </w:p>
        </w:tc>
        <w:tc>
          <w:tcPr>
            <w:tcW w:w="3825" w:type="dxa"/>
          </w:tcPr>
          <w:p w14:paraId="2B654578" w14:textId="77777777" w:rsidR="00E732D4" w:rsidRDefault="00764FB9">
            <w:pPr>
              <w:spacing w:line="276" w:lineRule="auto"/>
              <w:jc w:val="both"/>
              <w:rPr>
                <w:rFonts w:ascii="Arial" w:eastAsia="Arial" w:hAnsi="Arial" w:cs="Arial"/>
              </w:rPr>
            </w:pPr>
            <w:r>
              <w:rPr>
                <w:rFonts w:ascii="Arial" w:eastAsia="Arial" w:hAnsi="Arial" w:cs="Arial"/>
              </w:rPr>
              <w:t xml:space="preserve">   E-mail: hu.support@li.me</w:t>
            </w:r>
          </w:p>
        </w:tc>
        <w:tc>
          <w:tcPr>
            <w:tcW w:w="2580" w:type="dxa"/>
          </w:tcPr>
          <w:p w14:paraId="6726DAF7" w14:textId="77777777" w:rsidR="00E732D4" w:rsidRDefault="00E732D4">
            <w:pPr>
              <w:spacing w:line="276" w:lineRule="auto"/>
              <w:ind w:left="426"/>
              <w:jc w:val="both"/>
              <w:rPr>
                <w:rFonts w:ascii="Arial" w:eastAsia="Arial" w:hAnsi="Arial" w:cs="Arial"/>
              </w:rPr>
            </w:pPr>
          </w:p>
          <w:p w14:paraId="58AB35C8" w14:textId="77777777" w:rsidR="00E732D4" w:rsidRDefault="00E732D4">
            <w:pPr>
              <w:spacing w:line="276" w:lineRule="auto"/>
              <w:ind w:left="426"/>
              <w:jc w:val="both"/>
              <w:rPr>
                <w:rFonts w:ascii="Arial" w:eastAsia="Arial" w:hAnsi="Arial" w:cs="Arial"/>
              </w:rPr>
            </w:pPr>
          </w:p>
        </w:tc>
      </w:tr>
      <w:tr w:rsidR="00E732D4" w14:paraId="534F68C1" w14:textId="77777777">
        <w:trPr>
          <w:trHeight w:val="911"/>
        </w:trPr>
        <w:tc>
          <w:tcPr>
            <w:tcW w:w="10586" w:type="dxa"/>
            <w:gridSpan w:val="4"/>
          </w:tcPr>
          <w:p w14:paraId="66D784BE" w14:textId="77777777" w:rsidR="00E732D4" w:rsidRDefault="00E732D4">
            <w:pPr>
              <w:widowControl w:val="0"/>
              <w:pBdr>
                <w:top w:val="nil"/>
                <w:left w:val="nil"/>
                <w:bottom w:val="nil"/>
                <w:right w:val="nil"/>
                <w:between w:val="nil"/>
              </w:pBdr>
              <w:spacing w:line="276" w:lineRule="auto"/>
              <w:jc w:val="left"/>
              <w:rPr>
                <w:rFonts w:ascii="Arial" w:eastAsia="Arial" w:hAnsi="Arial" w:cs="Arial"/>
              </w:rPr>
            </w:pPr>
          </w:p>
          <w:tbl>
            <w:tblPr>
              <w:tblStyle w:val="a0"/>
              <w:tblW w:w="1236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586"/>
              <w:gridCol w:w="1651"/>
              <w:gridCol w:w="241"/>
              <w:gridCol w:w="1651"/>
              <w:gridCol w:w="2268"/>
              <w:gridCol w:w="1656"/>
              <w:gridCol w:w="659"/>
              <w:gridCol w:w="1656"/>
            </w:tblGrid>
            <w:tr w:rsidR="00E732D4" w14:paraId="0C4A4B01" w14:textId="77777777">
              <w:trPr>
                <w:trHeight w:val="80"/>
              </w:trPr>
              <w:tc>
                <w:tcPr>
                  <w:tcW w:w="4237" w:type="dxa"/>
                  <w:gridSpan w:val="2"/>
                </w:tcPr>
                <w:p w14:paraId="750C60DC" w14:textId="77777777" w:rsidR="00E732D4" w:rsidRDefault="00764FB9">
                  <w:pPr>
                    <w:spacing w:line="276" w:lineRule="auto"/>
                    <w:ind w:right="1160"/>
                    <w:jc w:val="both"/>
                    <w:rPr>
                      <w:rFonts w:ascii="Arial" w:eastAsia="Arial" w:hAnsi="Arial" w:cs="Arial"/>
                      <w:u w:val="single"/>
                    </w:rPr>
                  </w:pPr>
                  <w:r>
                    <w:rPr>
                      <w:rFonts w:ascii="Arial" w:eastAsia="Arial" w:hAnsi="Arial" w:cs="Arial"/>
                      <w:u w:val="single"/>
                    </w:rPr>
                    <w:t>Az Önkormányzat részéről:</w:t>
                  </w:r>
                </w:p>
              </w:tc>
              <w:tc>
                <w:tcPr>
                  <w:tcW w:w="1892" w:type="dxa"/>
                  <w:gridSpan w:val="2"/>
                </w:tcPr>
                <w:p w14:paraId="76ECD114" w14:textId="77777777" w:rsidR="00E732D4" w:rsidRDefault="00E732D4">
                  <w:pPr>
                    <w:spacing w:line="276" w:lineRule="auto"/>
                    <w:ind w:left="426"/>
                    <w:jc w:val="both"/>
                    <w:rPr>
                      <w:rFonts w:ascii="Arial" w:eastAsia="Arial" w:hAnsi="Arial" w:cs="Arial"/>
                    </w:rPr>
                  </w:pPr>
                </w:p>
              </w:tc>
              <w:tc>
                <w:tcPr>
                  <w:tcW w:w="3924" w:type="dxa"/>
                  <w:gridSpan w:val="2"/>
                </w:tcPr>
                <w:p w14:paraId="761DE187" w14:textId="77777777" w:rsidR="00E732D4" w:rsidRDefault="00E732D4">
                  <w:pPr>
                    <w:spacing w:line="276" w:lineRule="auto"/>
                    <w:ind w:left="426"/>
                    <w:jc w:val="both"/>
                    <w:rPr>
                      <w:rFonts w:ascii="Arial" w:eastAsia="Arial" w:hAnsi="Arial" w:cs="Arial"/>
                    </w:rPr>
                  </w:pPr>
                </w:p>
              </w:tc>
              <w:tc>
                <w:tcPr>
                  <w:tcW w:w="2315" w:type="dxa"/>
                  <w:gridSpan w:val="2"/>
                </w:tcPr>
                <w:p w14:paraId="7361DC38" w14:textId="77777777" w:rsidR="00E732D4" w:rsidRDefault="00E732D4">
                  <w:pPr>
                    <w:spacing w:line="276" w:lineRule="auto"/>
                    <w:ind w:left="426"/>
                    <w:jc w:val="both"/>
                    <w:rPr>
                      <w:rFonts w:ascii="Arial" w:eastAsia="Arial" w:hAnsi="Arial" w:cs="Arial"/>
                    </w:rPr>
                  </w:pPr>
                </w:p>
              </w:tc>
            </w:tr>
            <w:tr w:rsidR="00E732D4" w14:paraId="3588D6E8" w14:textId="77777777">
              <w:trPr>
                <w:trHeight w:val="80"/>
              </w:trPr>
              <w:tc>
                <w:tcPr>
                  <w:tcW w:w="4237" w:type="dxa"/>
                  <w:gridSpan w:val="2"/>
                </w:tcPr>
                <w:p w14:paraId="192C262E" w14:textId="77777777" w:rsidR="00E732D4" w:rsidRDefault="00E732D4">
                  <w:pPr>
                    <w:spacing w:line="276" w:lineRule="auto"/>
                    <w:ind w:left="426"/>
                    <w:jc w:val="both"/>
                    <w:rPr>
                      <w:rFonts w:ascii="Arial" w:eastAsia="Arial" w:hAnsi="Arial" w:cs="Arial"/>
                    </w:rPr>
                  </w:pPr>
                </w:p>
              </w:tc>
              <w:tc>
                <w:tcPr>
                  <w:tcW w:w="1892" w:type="dxa"/>
                  <w:gridSpan w:val="2"/>
                </w:tcPr>
                <w:p w14:paraId="4DC16AC2" w14:textId="77777777" w:rsidR="00E732D4" w:rsidRDefault="00E732D4">
                  <w:pPr>
                    <w:spacing w:line="276" w:lineRule="auto"/>
                    <w:ind w:right="952"/>
                    <w:jc w:val="both"/>
                    <w:rPr>
                      <w:rFonts w:ascii="Arial" w:eastAsia="Arial" w:hAnsi="Arial" w:cs="Arial"/>
                    </w:rPr>
                  </w:pPr>
                </w:p>
              </w:tc>
              <w:tc>
                <w:tcPr>
                  <w:tcW w:w="3924" w:type="dxa"/>
                  <w:gridSpan w:val="2"/>
                </w:tcPr>
                <w:p w14:paraId="10296939" w14:textId="77777777" w:rsidR="00E732D4" w:rsidRDefault="00E732D4">
                  <w:pPr>
                    <w:spacing w:line="276" w:lineRule="auto"/>
                    <w:ind w:left="-1020"/>
                    <w:jc w:val="both"/>
                    <w:rPr>
                      <w:rFonts w:ascii="Arial" w:eastAsia="Arial" w:hAnsi="Arial" w:cs="Arial"/>
                    </w:rPr>
                  </w:pPr>
                </w:p>
              </w:tc>
              <w:tc>
                <w:tcPr>
                  <w:tcW w:w="2315" w:type="dxa"/>
                  <w:gridSpan w:val="2"/>
                </w:tcPr>
                <w:p w14:paraId="1FB673E5" w14:textId="77777777" w:rsidR="00E732D4" w:rsidRDefault="00E732D4">
                  <w:pPr>
                    <w:spacing w:line="276" w:lineRule="auto"/>
                    <w:jc w:val="both"/>
                    <w:rPr>
                      <w:rFonts w:ascii="Arial" w:eastAsia="Arial" w:hAnsi="Arial" w:cs="Arial"/>
                    </w:rPr>
                  </w:pPr>
                </w:p>
              </w:tc>
            </w:tr>
            <w:tr w:rsidR="00E732D4" w14:paraId="3DA9731D" w14:textId="77777777">
              <w:trPr>
                <w:gridAfter w:val="1"/>
                <w:wAfter w:w="1656" w:type="dxa"/>
              </w:trPr>
              <w:tc>
                <w:tcPr>
                  <w:tcW w:w="2586" w:type="dxa"/>
                </w:tcPr>
                <w:p w14:paraId="5DA95D64" w14:textId="77777777" w:rsidR="00E732D4" w:rsidRDefault="00E732D4">
                  <w:pPr>
                    <w:spacing w:line="276" w:lineRule="auto"/>
                    <w:jc w:val="both"/>
                    <w:rPr>
                      <w:rFonts w:ascii="Arial" w:eastAsia="Arial" w:hAnsi="Arial" w:cs="Arial"/>
                    </w:rPr>
                  </w:pPr>
                </w:p>
              </w:tc>
              <w:tc>
                <w:tcPr>
                  <w:tcW w:w="1892" w:type="dxa"/>
                  <w:gridSpan w:val="2"/>
                </w:tcPr>
                <w:p w14:paraId="4570C0BC" w14:textId="77777777" w:rsidR="00E732D4" w:rsidRDefault="00764FB9">
                  <w:pPr>
                    <w:spacing w:line="276" w:lineRule="auto"/>
                    <w:ind w:left="426"/>
                    <w:jc w:val="both"/>
                    <w:rPr>
                      <w:rFonts w:ascii="Arial" w:eastAsia="Arial" w:hAnsi="Arial" w:cs="Arial"/>
                    </w:rPr>
                  </w:pPr>
                  <w:r>
                    <w:rPr>
                      <w:rFonts w:ascii="Arial" w:eastAsia="Arial" w:hAnsi="Arial" w:cs="Arial"/>
                    </w:rPr>
                    <w:t xml:space="preserve">   Név:</w:t>
                  </w:r>
                </w:p>
              </w:tc>
              <w:tc>
                <w:tcPr>
                  <w:tcW w:w="3919" w:type="dxa"/>
                  <w:gridSpan w:val="2"/>
                </w:tcPr>
                <w:p w14:paraId="119ECC5C" w14:textId="77777777" w:rsidR="00E732D4" w:rsidRDefault="00764FB9">
                  <w:pPr>
                    <w:spacing w:line="276" w:lineRule="auto"/>
                    <w:ind w:left="426"/>
                    <w:jc w:val="left"/>
                    <w:rPr>
                      <w:rFonts w:ascii="Arial" w:eastAsia="Arial" w:hAnsi="Arial" w:cs="Arial"/>
                    </w:rPr>
                  </w:pPr>
                  <w:r>
                    <w:rPr>
                      <w:rFonts w:ascii="Arial" w:eastAsia="Arial" w:hAnsi="Arial" w:cs="Arial"/>
                    </w:rPr>
                    <w:t xml:space="preserve">Kalmár Ervin, </w:t>
                  </w:r>
                </w:p>
                <w:p w14:paraId="141293A8" w14:textId="77777777" w:rsidR="00E732D4" w:rsidRDefault="00764FB9">
                  <w:pPr>
                    <w:spacing w:line="276" w:lineRule="auto"/>
                    <w:ind w:left="426"/>
                    <w:jc w:val="left"/>
                    <w:rPr>
                      <w:rFonts w:ascii="Arial" w:eastAsia="Arial" w:hAnsi="Arial" w:cs="Arial"/>
                    </w:rPr>
                  </w:pPr>
                  <w:r>
                    <w:rPr>
                      <w:rFonts w:ascii="Arial" w:eastAsia="Arial" w:hAnsi="Arial" w:cs="Arial"/>
                    </w:rPr>
                    <w:t>a Városüzemeltetési Osztály vezetője</w:t>
                  </w:r>
                </w:p>
              </w:tc>
              <w:tc>
                <w:tcPr>
                  <w:tcW w:w="2315" w:type="dxa"/>
                  <w:gridSpan w:val="2"/>
                </w:tcPr>
                <w:p w14:paraId="27B74A48" w14:textId="77777777" w:rsidR="00E732D4" w:rsidRDefault="00E732D4">
                  <w:pPr>
                    <w:spacing w:line="276" w:lineRule="auto"/>
                    <w:jc w:val="both"/>
                    <w:rPr>
                      <w:rFonts w:ascii="Arial" w:eastAsia="Arial" w:hAnsi="Arial" w:cs="Arial"/>
                    </w:rPr>
                  </w:pPr>
                </w:p>
              </w:tc>
            </w:tr>
            <w:tr w:rsidR="00E732D4" w14:paraId="7F5C69A7" w14:textId="77777777">
              <w:trPr>
                <w:gridAfter w:val="1"/>
                <w:wAfter w:w="1656" w:type="dxa"/>
              </w:trPr>
              <w:tc>
                <w:tcPr>
                  <w:tcW w:w="2586" w:type="dxa"/>
                </w:tcPr>
                <w:p w14:paraId="28B1F9E7" w14:textId="77777777" w:rsidR="00E732D4" w:rsidRDefault="00E732D4">
                  <w:pPr>
                    <w:spacing w:line="276" w:lineRule="auto"/>
                    <w:jc w:val="both"/>
                    <w:rPr>
                      <w:rFonts w:ascii="Arial" w:eastAsia="Arial" w:hAnsi="Arial" w:cs="Arial"/>
                    </w:rPr>
                  </w:pPr>
                </w:p>
              </w:tc>
              <w:tc>
                <w:tcPr>
                  <w:tcW w:w="1892" w:type="dxa"/>
                  <w:gridSpan w:val="2"/>
                </w:tcPr>
                <w:p w14:paraId="4ECCC8A4" w14:textId="77777777" w:rsidR="00E732D4" w:rsidRDefault="00764FB9">
                  <w:pPr>
                    <w:spacing w:line="276" w:lineRule="auto"/>
                    <w:ind w:left="426"/>
                    <w:jc w:val="both"/>
                    <w:rPr>
                      <w:rFonts w:ascii="Arial" w:eastAsia="Arial" w:hAnsi="Arial" w:cs="Arial"/>
                    </w:rPr>
                  </w:pPr>
                  <w:r>
                    <w:rPr>
                      <w:rFonts w:ascii="Arial" w:eastAsia="Arial" w:hAnsi="Arial" w:cs="Arial"/>
                    </w:rPr>
                    <w:t xml:space="preserve">   Telefon:</w:t>
                  </w:r>
                </w:p>
              </w:tc>
              <w:tc>
                <w:tcPr>
                  <w:tcW w:w="3919" w:type="dxa"/>
                  <w:gridSpan w:val="2"/>
                </w:tcPr>
                <w:p w14:paraId="213A1E7C" w14:textId="77777777" w:rsidR="00E732D4" w:rsidRDefault="00764FB9">
                  <w:pPr>
                    <w:spacing w:line="276" w:lineRule="auto"/>
                    <w:ind w:left="426"/>
                    <w:jc w:val="both"/>
                    <w:rPr>
                      <w:rFonts w:ascii="Arial" w:eastAsia="Arial" w:hAnsi="Arial" w:cs="Arial"/>
                    </w:rPr>
                  </w:pPr>
                  <w:r>
                    <w:rPr>
                      <w:rFonts w:ascii="Arial" w:eastAsia="Arial" w:hAnsi="Arial" w:cs="Arial"/>
                    </w:rPr>
                    <w:t>+36 30 279 2548</w:t>
                  </w:r>
                </w:p>
              </w:tc>
              <w:tc>
                <w:tcPr>
                  <w:tcW w:w="2315" w:type="dxa"/>
                  <w:gridSpan w:val="2"/>
                </w:tcPr>
                <w:p w14:paraId="4DB04BE5" w14:textId="77777777" w:rsidR="00E732D4" w:rsidRDefault="00E732D4">
                  <w:pPr>
                    <w:spacing w:line="276" w:lineRule="auto"/>
                    <w:jc w:val="both"/>
                    <w:rPr>
                      <w:rFonts w:ascii="Arial" w:eastAsia="Arial" w:hAnsi="Arial" w:cs="Arial"/>
                    </w:rPr>
                  </w:pPr>
                </w:p>
              </w:tc>
            </w:tr>
            <w:tr w:rsidR="00E732D4" w14:paraId="56850015" w14:textId="77777777">
              <w:trPr>
                <w:gridAfter w:val="1"/>
                <w:wAfter w:w="1656" w:type="dxa"/>
              </w:trPr>
              <w:tc>
                <w:tcPr>
                  <w:tcW w:w="2586" w:type="dxa"/>
                </w:tcPr>
                <w:p w14:paraId="174E273A" w14:textId="77777777" w:rsidR="00E732D4" w:rsidRDefault="00E732D4">
                  <w:pPr>
                    <w:spacing w:line="276" w:lineRule="auto"/>
                    <w:jc w:val="both"/>
                    <w:rPr>
                      <w:rFonts w:ascii="Arial" w:eastAsia="Arial" w:hAnsi="Arial" w:cs="Arial"/>
                    </w:rPr>
                  </w:pPr>
                </w:p>
              </w:tc>
              <w:tc>
                <w:tcPr>
                  <w:tcW w:w="1892" w:type="dxa"/>
                  <w:gridSpan w:val="2"/>
                </w:tcPr>
                <w:p w14:paraId="2C43A3C7" w14:textId="77777777" w:rsidR="00E732D4" w:rsidRDefault="00764FB9">
                  <w:pPr>
                    <w:spacing w:line="276" w:lineRule="auto"/>
                    <w:ind w:left="426"/>
                    <w:jc w:val="both"/>
                    <w:rPr>
                      <w:rFonts w:ascii="Arial" w:eastAsia="Arial" w:hAnsi="Arial" w:cs="Arial"/>
                    </w:rPr>
                  </w:pPr>
                  <w:r>
                    <w:rPr>
                      <w:rFonts w:ascii="Arial" w:eastAsia="Arial" w:hAnsi="Arial" w:cs="Arial"/>
                    </w:rPr>
                    <w:t xml:space="preserve">   E-mail:</w:t>
                  </w:r>
                </w:p>
              </w:tc>
              <w:tc>
                <w:tcPr>
                  <w:tcW w:w="3919" w:type="dxa"/>
                  <w:gridSpan w:val="2"/>
                </w:tcPr>
                <w:p w14:paraId="39EEDC9D" w14:textId="77777777" w:rsidR="00E732D4" w:rsidRDefault="00764FB9">
                  <w:pPr>
                    <w:spacing w:line="276" w:lineRule="auto"/>
                    <w:ind w:left="426"/>
                    <w:jc w:val="both"/>
                    <w:rPr>
                      <w:rFonts w:ascii="Arial" w:eastAsia="Arial" w:hAnsi="Arial" w:cs="Arial"/>
                    </w:rPr>
                  </w:pPr>
                  <w:r>
                    <w:rPr>
                      <w:rFonts w:ascii="Arial" w:eastAsia="Arial" w:hAnsi="Arial" w:cs="Arial"/>
                    </w:rPr>
                    <w:t>kalmar.ervin@szombathely.hu</w:t>
                  </w:r>
                </w:p>
              </w:tc>
              <w:tc>
                <w:tcPr>
                  <w:tcW w:w="2315" w:type="dxa"/>
                  <w:gridSpan w:val="2"/>
                </w:tcPr>
                <w:p w14:paraId="1B924C47" w14:textId="77777777" w:rsidR="00E732D4" w:rsidRDefault="00E732D4">
                  <w:pPr>
                    <w:spacing w:line="276" w:lineRule="auto"/>
                    <w:jc w:val="both"/>
                    <w:rPr>
                      <w:rFonts w:ascii="Arial" w:eastAsia="Arial" w:hAnsi="Arial" w:cs="Arial"/>
                    </w:rPr>
                  </w:pPr>
                </w:p>
              </w:tc>
            </w:tr>
          </w:tbl>
          <w:p w14:paraId="4760F9A0" w14:textId="77777777" w:rsidR="00E732D4" w:rsidRDefault="00E732D4">
            <w:pPr>
              <w:spacing w:line="276" w:lineRule="auto"/>
              <w:ind w:right="1160"/>
              <w:jc w:val="both"/>
              <w:rPr>
                <w:rFonts w:ascii="Arial" w:eastAsia="Arial" w:hAnsi="Arial" w:cs="Arial"/>
                <w:u w:val="single"/>
              </w:rPr>
            </w:pPr>
          </w:p>
        </w:tc>
        <w:tc>
          <w:tcPr>
            <w:tcW w:w="236" w:type="dxa"/>
          </w:tcPr>
          <w:p w14:paraId="6E553A5A" w14:textId="77777777" w:rsidR="00E732D4" w:rsidRDefault="00E732D4">
            <w:pPr>
              <w:spacing w:line="276" w:lineRule="auto"/>
              <w:ind w:left="426"/>
              <w:jc w:val="both"/>
              <w:rPr>
                <w:rFonts w:ascii="Arial" w:eastAsia="Arial" w:hAnsi="Arial" w:cs="Arial"/>
              </w:rPr>
            </w:pPr>
          </w:p>
        </w:tc>
        <w:tc>
          <w:tcPr>
            <w:tcW w:w="236" w:type="dxa"/>
          </w:tcPr>
          <w:p w14:paraId="56AC769F" w14:textId="77777777" w:rsidR="00E732D4" w:rsidRDefault="00E732D4">
            <w:pPr>
              <w:spacing w:line="276" w:lineRule="auto"/>
              <w:ind w:left="426"/>
              <w:jc w:val="both"/>
              <w:rPr>
                <w:rFonts w:ascii="Arial" w:eastAsia="Arial" w:hAnsi="Arial" w:cs="Arial"/>
              </w:rPr>
            </w:pPr>
          </w:p>
        </w:tc>
        <w:tc>
          <w:tcPr>
            <w:tcW w:w="236" w:type="dxa"/>
          </w:tcPr>
          <w:p w14:paraId="314F8934" w14:textId="77777777" w:rsidR="00E732D4" w:rsidRDefault="00E732D4">
            <w:pPr>
              <w:spacing w:line="276" w:lineRule="auto"/>
              <w:ind w:left="426"/>
              <w:jc w:val="both"/>
              <w:rPr>
                <w:rFonts w:ascii="Arial" w:eastAsia="Arial" w:hAnsi="Arial" w:cs="Arial"/>
              </w:rPr>
            </w:pPr>
          </w:p>
        </w:tc>
      </w:tr>
      <w:tr w:rsidR="00E732D4" w14:paraId="7A6EC557" w14:textId="77777777">
        <w:trPr>
          <w:trHeight w:val="80"/>
        </w:trPr>
        <w:tc>
          <w:tcPr>
            <w:tcW w:w="10586" w:type="dxa"/>
            <w:gridSpan w:val="4"/>
          </w:tcPr>
          <w:p w14:paraId="28729E4A" w14:textId="77777777" w:rsidR="00E732D4" w:rsidRDefault="00E732D4">
            <w:pPr>
              <w:spacing w:line="276" w:lineRule="auto"/>
              <w:jc w:val="both"/>
              <w:rPr>
                <w:rFonts w:ascii="Arial" w:eastAsia="Arial" w:hAnsi="Arial" w:cs="Arial"/>
              </w:rPr>
            </w:pPr>
          </w:p>
        </w:tc>
        <w:tc>
          <w:tcPr>
            <w:tcW w:w="236" w:type="dxa"/>
          </w:tcPr>
          <w:p w14:paraId="502F3F1E" w14:textId="77777777" w:rsidR="00E732D4" w:rsidRDefault="00E732D4">
            <w:pPr>
              <w:spacing w:line="276" w:lineRule="auto"/>
              <w:ind w:left="426"/>
              <w:jc w:val="both"/>
              <w:rPr>
                <w:rFonts w:ascii="Arial" w:eastAsia="Arial" w:hAnsi="Arial" w:cs="Arial"/>
              </w:rPr>
            </w:pPr>
          </w:p>
        </w:tc>
        <w:tc>
          <w:tcPr>
            <w:tcW w:w="236" w:type="dxa"/>
          </w:tcPr>
          <w:p w14:paraId="3F95519E" w14:textId="77777777" w:rsidR="00E732D4" w:rsidRDefault="00E732D4">
            <w:pPr>
              <w:spacing w:line="276" w:lineRule="auto"/>
              <w:ind w:left="426"/>
              <w:jc w:val="both"/>
              <w:rPr>
                <w:rFonts w:ascii="Arial" w:eastAsia="Arial" w:hAnsi="Arial" w:cs="Arial"/>
              </w:rPr>
            </w:pPr>
          </w:p>
        </w:tc>
        <w:tc>
          <w:tcPr>
            <w:tcW w:w="236" w:type="dxa"/>
          </w:tcPr>
          <w:p w14:paraId="5E68ED91" w14:textId="77777777" w:rsidR="00E732D4" w:rsidRDefault="00E732D4">
            <w:pPr>
              <w:spacing w:line="276" w:lineRule="auto"/>
              <w:ind w:left="426"/>
              <w:jc w:val="both"/>
              <w:rPr>
                <w:rFonts w:ascii="Arial" w:eastAsia="Arial" w:hAnsi="Arial" w:cs="Arial"/>
              </w:rPr>
            </w:pPr>
          </w:p>
        </w:tc>
      </w:tr>
    </w:tbl>
    <w:p w14:paraId="06958981" w14:textId="77777777" w:rsidR="00E732D4" w:rsidRDefault="00E732D4">
      <w:pPr>
        <w:jc w:val="both"/>
        <w:rPr>
          <w:rFonts w:ascii="Arial" w:eastAsia="Arial" w:hAnsi="Arial" w:cs="Arial"/>
          <w:b/>
          <w:u w:val="single"/>
        </w:rPr>
      </w:pPr>
    </w:p>
    <w:p w14:paraId="31C8C6BF" w14:textId="77777777" w:rsidR="00E732D4" w:rsidRDefault="00764FB9">
      <w:pPr>
        <w:jc w:val="both"/>
        <w:rPr>
          <w:rFonts w:ascii="Arial" w:eastAsia="Arial" w:hAnsi="Arial" w:cs="Arial"/>
          <w:b/>
        </w:rPr>
      </w:pPr>
      <w:r>
        <w:rPr>
          <w:rFonts w:ascii="Arial" w:eastAsia="Arial" w:hAnsi="Arial" w:cs="Arial"/>
          <w:b/>
          <w:u w:val="single"/>
        </w:rPr>
        <w:t>A MEGÁLLAPODÁS MEGSZŰNÉSE, MEGSZÜNTETÉSE</w:t>
      </w:r>
    </w:p>
    <w:p w14:paraId="7E7D5FA8" w14:textId="77777777" w:rsidR="00E732D4" w:rsidRDefault="00E732D4">
      <w:pPr>
        <w:jc w:val="both"/>
        <w:rPr>
          <w:rFonts w:ascii="Arial" w:eastAsia="Arial" w:hAnsi="Arial" w:cs="Arial"/>
        </w:rPr>
      </w:pPr>
    </w:p>
    <w:p w14:paraId="2ACB9ACE" w14:textId="77777777" w:rsidR="00E732D4" w:rsidRDefault="00764FB9">
      <w:pPr>
        <w:numPr>
          <w:ilvl w:val="0"/>
          <w:numId w:val="6"/>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Felek közös megegyezéssel írásban bármikor módosíthatják a megállapodás tartalmát. A megállapodásnak a módosítással nem érintett része változatlanul hatályban marad.</w:t>
      </w:r>
    </w:p>
    <w:p w14:paraId="5FFEA487" w14:textId="77777777" w:rsidR="00E732D4" w:rsidRDefault="00E732D4">
      <w:pPr>
        <w:jc w:val="both"/>
        <w:rPr>
          <w:rFonts w:ascii="Arial" w:eastAsia="Arial" w:hAnsi="Arial" w:cs="Arial"/>
        </w:rPr>
      </w:pPr>
    </w:p>
    <w:p w14:paraId="46FACB20" w14:textId="77777777" w:rsidR="00E732D4" w:rsidRDefault="00764FB9">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Amennyiben valamelyik Fél a jelen megállapodásból eredő lényeges kötelezettségét súlyos mértékben megszegi, és a megállapodás megszegését elszenvedő fél felszólításában megszabott határidőn belül sem állítja helyre a szerződésszerű állapotot, úgy a megállapodás megszegését elszenvedő fél a megállapodást azonnali hatállyal felmondhatja, és az ezzel összefüggésben felmerült kárának megtérítését követelheti.</w:t>
      </w:r>
    </w:p>
    <w:p w14:paraId="1E4F5CAD" w14:textId="77777777" w:rsidR="00E732D4" w:rsidRDefault="00E732D4">
      <w:pPr>
        <w:pBdr>
          <w:top w:val="nil"/>
          <w:left w:val="nil"/>
          <w:bottom w:val="nil"/>
          <w:right w:val="nil"/>
          <w:between w:val="nil"/>
        </w:pBdr>
        <w:ind w:left="720"/>
        <w:rPr>
          <w:rFonts w:ascii="Arial" w:eastAsia="Arial" w:hAnsi="Arial" w:cs="Arial"/>
          <w:color w:val="000000"/>
        </w:rPr>
      </w:pPr>
    </w:p>
    <w:p w14:paraId="65A3085A" w14:textId="77777777" w:rsidR="00E732D4" w:rsidRDefault="00764FB9">
      <w:pPr>
        <w:numPr>
          <w:ilvl w:val="0"/>
          <w:numId w:val="3"/>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Amennyiben a megállapodás bármely egyéb okból megszűnik, úgy a Lime Kft. köteles a </w:t>
      </w:r>
      <w:proofErr w:type="spellStart"/>
      <w:r>
        <w:rPr>
          <w:rFonts w:ascii="Arial" w:eastAsia="Arial" w:hAnsi="Arial" w:cs="Arial"/>
          <w:color w:val="000000"/>
        </w:rPr>
        <w:t>hotspotokat</w:t>
      </w:r>
      <w:proofErr w:type="spellEnd"/>
      <w:r>
        <w:rPr>
          <w:rFonts w:ascii="Arial" w:eastAsia="Arial" w:hAnsi="Arial" w:cs="Arial"/>
          <w:color w:val="000000"/>
        </w:rPr>
        <w:t xml:space="preserve"> az elektromos rollerektől kiürítve, rendeltetésszerű használatra alkalmas, az átvételkorinak megfelelő állapotban az Önkormányzatnak 30 napon belül visszaadni, a </w:t>
      </w:r>
      <w:proofErr w:type="spellStart"/>
      <w:r>
        <w:rPr>
          <w:rFonts w:ascii="Arial" w:eastAsia="Arial" w:hAnsi="Arial" w:cs="Arial"/>
          <w:color w:val="000000"/>
        </w:rPr>
        <w:t>hotspotokon</w:t>
      </w:r>
      <w:proofErr w:type="spellEnd"/>
      <w:r>
        <w:rPr>
          <w:rFonts w:ascii="Arial" w:eastAsia="Arial" w:hAnsi="Arial" w:cs="Arial"/>
          <w:color w:val="000000"/>
        </w:rPr>
        <w:t xml:space="preserve"> kívül hagyott elektromos rollereket a város területéről 30 napon belül begyűjteni és elszállítani. </w:t>
      </w:r>
    </w:p>
    <w:p w14:paraId="3A8444AE" w14:textId="77777777" w:rsidR="00E732D4" w:rsidRDefault="00764FB9">
      <w:pPr>
        <w:tabs>
          <w:tab w:val="left" w:pos="426"/>
        </w:tabs>
        <w:ind w:left="360" w:right="65"/>
        <w:jc w:val="both"/>
        <w:rPr>
          <w:rFonts w:ascii="Arial" w:eastAsia="Arial" w:hAnsi="Arial" w:cs="Arial"/>
        </w:rPr>
      </w:pPr>
      <w:r>
        <w:rPr>
          <w:rFonts w:ascii="Arial" w:eastAsia="Arial" w:hAnsi="Arial" w:cs="Arial"/>
        </w:rPr>
        <w:t>A Lime Kft. a megállapodás megszűnésekor ráfordításai, illetve azok időarányos részének megtérítésére nem tarthat igényt. A megállapodás megszűnésével kapcsolatban a Lime Kft. semmilyen igénnyel nem léphet fel az Önkormányzattal szemben.</w:t>
      </w:r>
    </w:p>
    <w:p w14:paraId="7F4B94D5" w14:textId="77777777" w:rsidR="00E732D4" w:rsidRDefault="00E732D4">
      <w:pPr>
        <w:spacing w:line="276" w:lineRule="auto"/>
        <w:jc w:val="both"/>
        <w:rPr>
          <w:rFonts w:ascii="Arial" w:eastAsia="Arial" w:hAnsi="Arial" w:cs="Arial"/>
          <w:b/>
          <w:u w:val="single"/>
        </w:rPr>
      </w:pPr>
    </w:p>
    <w:p w14:paraId="1199B67A" w14:textId="77777777" w:rsidR="00E732D4" w:rsidRDefault="00764FB9">
      <w:pPr>
        <w:spacing w:line="276" w:lineRule="auto"/>
        <w:jc w:val="both"/>
        <w:rPr>
          <w:rFonts w:ascii="Arial" w:eastAsia="Arial" w:hAnsi="Arial" w:cs="Arial"/>
          <w:b/>
          <w:u w:val="single"/>
        </w:rPr>
      </w:pPr>
      <w:r>
        <w:rPr>
          <w:rFonts w:ascii="Arial" w:eastAsia="Arial" w:hAnsi="Arial" w:cs="Arial"/>
          <w:b/>
          <w:u w:val="single"/>
        </w:rPr>
        <w:t>ZÁRÓ RENDELKEZÉSEK</w:t>
      </w:r>
    </w:p>
    <w:p w14:paraId="50FA2CFA" w14:textId="77777777" w:rsidR="00E732D4" w:rsidRDefault="00E732D4">
      <w:pPr>
        <w:spacing w:line="276" w:lineRule="auto"/>
        <w:jc w:val="both"/>
        <w:rPr>
          <w:rFonts w:ascii="Arial" w:eastAsia="Arial" w:hAnsi="Arial" w:cs="Arial"/>
          <w:u w:val="single"/>
        </w:rPr>
      </w:pPr>
    </w:p>
    <w:p w14:paraId="289C57AD" w14:textId="77777777" w:rsidR="00E732D4" w:rsidRDefault="00764FB9">
      <w:pPr>
        <w:tabs>
          <w:tab w:val="left" w:pos="426"/>
        </w:tabs>
        <w:ind w:left="360" w:right="65" w:hanging="360"/>
        <w:jc w:val="both"/>
        <w:rPr>
          <w:rFonts w:ascii="Arial" w:eastAsia="Arial" w:hAnsi="Arial" w:cs="Arial"/>
        </w:rPr>
      </w:pPr>
      <w:r>
        <w:rPr>
          <w:rFonts w:ascii="Arial" w:eastAsia="Arial" w:hAnsi="Arial" w:cs="Arial"/>
        </w:rPr>
        <w:t>20.</w:t>
      </w:r>
      <w:r>
        <w:rPr>
          <w:rFonts w:ascii="Arial" w:eastAsia="Arial" w:hAnsi="Arial" w:cs="Arial"/>
        </w:rPr>
        <w:tab/>
        <w:t>A jelen megállapodásban nem szabályozott kérdésekben a Ptk. és a vonatkozó jogszabályok rendelkezései az irányadók.</w:t>
      </w:r>
    </w:p>
    <w:p w14:paraId="10DC4E0F"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p w14:paraId="6EAB507D" w14:textId="77777777" w:rsidR="00E732D4" w:rsidRDefault="00764FB9">
      <w:pPr>
        <w:numPr>
          <w:ilvl w:val="0"/>
          <w:numId w:val="1"/>
        </w:numPr>
        <w:pBdr>
          <w:top w:val="nil"/>
          <w:left w:val="nil"/>
          <w:bottom w:val="nil"/>
          <w:right w:val="nil"/>
          <w:between w:val="nil"/>
        </w:pBdr>
        <w:spacing w:line="276" w:lineRule="auto"/>
        <w:jc w:val="both"/>
        <w:rPr>
          <w:rFonts w:ascii="Arial" w:eastAsia="Arial" w:hAnsi="Arial" w:cs="Arial"/>
          <w:color w:val="000000"/>
        </w:rPr>
      </w:pPr>
      <w:r>
        <w:rPr>
          <w:rFonts w:ascii="Arial" w:eastAsia="Arial" w:hAnsi="Arial" w:cs="Arial"/>
          <w:color w:val="000000"/>
        </w:rPr>
        <w:t>A jelen megállapodás kizárólag írásban, közös megegyezéssel módosítható.</w:t>
      </w:r>
    </w:p>
    <w:p w14:paraId="3D3BD0B5" w14:textId="77777777" w:rsidR="00E732D4" w:rsidRDefault="00E732D4">
      <w:pPr>
        <w:pBdr>
          <w:top w:val="nil"/>
          <w:left w:val="nil"/>
          <w:bottom w:val="nil"/>
          <w:right w:val="nil"/>
          <w:between w:val="nil"/>
        </w:pBdr>
        <w:spacing w:line="276" w:lineRule="auto"/>
        <w:ind w:left="360"/>
        <w:jc w:val="both"/>
        <w:rPr>
          <w:rFonts w:ascii="Arial" w:eastAsia="Arial" w:hAnsi="Arial" w:cs="Arial"/>
          <w:color w:val="000000"/>
        </w:rPr>
      </w:pPr>
    </w:p>
    <w:p w14:paraId="3AC28EFD" w14:textId="77777777" w:rsidR="00E732D4" w:rsidRDefault="00764FB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Felek megállapodnak abban, hogy a jelen szerződés idejének tapasztalatai alapján együttműködésüket újratárgyalják annak 2023. január 1. napjától történő esetleges folytatása érdekében. A Lime Kft. vállalja, hogy tartós jogviszony létrejötte esetén kidolgozza a szombathelyi lakosok számára kedvezmény igénybevételének a lehetőségét.</w:t>
      </w:r>
    </w:p>
    <w:p w14:paraId="54F45494" w14:textId="77777777" w:rsidR="00E732D4" w:rsidRDefault="00E732D4">
      <w:pPr>
        <w:pBdr>
          <w:top w:val="nil"/>
          <w:left w:val="nil"/>
          <w:bottom w:val="nil"/>
          <w:right w:val="nil"/>
          <w:between w:val="nil"/>
        </w:pBdr>
        <w:ind w:left="360"/>
        <w:jc w:val="both"/>
        <w:rPr>
          <w:rFonts w:ascii="Arial" w:eastAsia="Arial" w:hAnsi="Arial" w:cs="Arial"/>
          <w:color w:val="000000"/>
        </w:rPr>
      </w:pPr>
    </w:p>
    <w:p w14:paraId="3C5D9559" w14:textId="77777777" w:rsidR="00E732D4" w:rsidRDefault="00764FB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A megállapodás teljesítése érdekében Felek a jóhiszeműség és a tisztesség követelményeinek megfelelően, kölcsönösen együttműködve kötelesek eljárni.</w:t>
      </w:r>
    </w:p>
    <w:p w14:paraId="6D373A2A" w14:textId="77777777" w:rsidR="00E732D4" w:rsidRDefault="00E732D4">
      <w:pPr>
        <w:pBdr>
          <w:top w:val="nil"/>
          <w:left w:val="nil"/>
          <w:bottom w:val="nil"/>
          <w:right w:val="nil"/>
          <w:between w:val="nil"/>
        </w:pBdr>
        <w:ind w:left="720"/>
        <w:rPr>
          <w:rFonts w:ascii="Arial" w:eastAsia="Arial" w:hAnsi="Arial" w:cs="Arial"/>
          <w:color w:val="000000"/>
        </w:rPr>
      </w:pPr>
    </w:p>
    <w:p w14:paraId="7ABF5E5B" w14:textId="77777777" w:rsidR="00E732D4" w:rsidRDefault="00764FB9">
      <w:pPr>
        <w:numPr>
          <w:ilvl w:val="0"/>
          <w:numId w:val="2"/>
        </w:numPr>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A Felek megállapodnak abban, hogy a jelen megállapodásból adódó esetleges jogvitákat elsősorban békés úton kívánják rendezni. Amennyiben ez nem lehetséges, úgy a pertárgy értéktől függően a Szombathelyi Járásbíróság, illetve a Szombathelyi Törvényszék kizárólagos illetékességét kötik ki. </w:t>
      </w:r>
    </w:p>
    <w:p w14:paraId="1A93C811" w14:textId="77777777" w:rsidR="00E732D4" w:rsidRDefault="00E732D4">
      <w:pPr>
        <w:spacing w:line="276" w:lineRule="auto"/>
        <w:jc w:val="both"/>
        <w:rPr>
          <w:rFonts w:ascii="Arial" w:eastAsia="Arial" w:hAnsi="Arial" w:cs="Arial"/>
        </w:rPr>
      </w:pPr>
    </w:p>
    <w:p w14:paraId="326EE328" w14:textId="77777777" w:rsidR="00E732D4" w:rsidRDefault="00764FB9">
      <w:pPr>
        <w:numPr>
          <w:ilvl w:val="0"/>
          <w:numId w:val="2"/>
        </w:numPr>
        <w:pBdr>
          <w:top w:val="nil"/>
          <w:left w:val="nil"/>
          <w:bottom w:val="nil"/>
          <w:right w:val="nil"/>
          <w:between w:val="nil"/>
        </w:pBdr>
        <w:tabs>
          <w:tab w:val="left" w:pos="426"/>
        </w:tabs>
        <w:ind w:right="65"/>
        <w:jc w:val="both"/>
        <w:rPr>
          <w:rFonts w:ascii="Arial" w:eastAsia="Arial" w:hAnsi="Arial" w:cs="Arial"/>
          <w:color w:val="000000"/>
        </w:rPr>
      </w:pPr>
      <w:r>
        <w:rPr>
          <w:rFonts w:ascii="Arial" w:eastAsia="Arial" w:hAnsi="Arial" w:cs="Arial"/>
          <w:color w:val="000000"/>
        </w:rPr>
        <w:t>A Lime Kft. kijelenti azt, hogy a nemzeti vagyonról szóló 2011. évi CXCVI. törvény 3. § (1) bekezdésében foglaltak alapján átlátható szervezetnek minősül.</w:t>
      </w:r>
      <w:r>
        <w:rPr>
          <w:rFonts w:ascii="Arial" w:eastAsia="Arial" w:hAnsi="Arial" w:cs="Arial"/>
          <w:color w:val="000000"/>
        </w:rPr>
        <w:tab/>
      </w:r>
      <w:r>
        <w:rPr>
          <w:rFonts w:ascii="Arial" w:eastAsia="Arial" w:hAnsi="Arial" w:cs="Arial"/>
          <w:color w:val="000000"/>
        </w:rPr>
        <w:br/>
        <w:t xml:space="preserve">Felek rögzítik, hogy fenti jogszabály 11. § (12) bekezdésében foglaltak alapján </w:t>
      </w:r>
      <w:r>
        <w:rPr>
          <w:rFonts w:ascii="Arial" w:eastAsia="Arial" w:hAnsi="Arial" w:cs="Arial"/>
          <w:color w:val="000000"/>
        </w:rPr>
        <w:lastRenderedPageBreak/>
        <w:t xml:space="preserve">az Önkormányzat a jelen megállapodást azonnali hatállyal felmondhatja, amennyiben a megállapodás megkötését követően beállott körülmény folytán a Lime Kft. már nem minősül átlátható szervezetnek. </w:t>
      </w:r>
    </w:p>
    <w:p w14:paraId="630D4B19" w14:textId="77777777" w:rsidR="00E732D4" w:rsidRDefault="00E732D4">
      <w:pPr>
        <w:tabs>
          <w:tab w:val="left" w:pos="426"/>
        </w:tabs>
        <w:ind w:right="65" w:hanging="578"/>
        <w:jc w:val="both"/>
        <w:rPr>
          <w:rFonts w:ascii="Arial" w:eastAsia="Arial" w:hAnsi="Arial" w:cs="Arial"/>
        </w:rPr>
      </w:pPr>
    </w:p>
    <w:p w14:paraId="1006E88F" w14:textId="4BF64D9C" w:rsidR="00E732D4" w:rsidRDefault="00764FB9">
      <w:pPr>
        <w:tabs>
          <w:tab w:val="left" w:pos="426"/>
        </w:tabs>
        <w:ind w:left="360" w:right="65" w:hanging="360"/>
        <w:jc w:val="both"/>
        <w:rPr>
          <w:rFonts w:ascii="Arial" w:eastAsia="Arial" w:hAnsi="Arial" w:cs="Arial"/>
        </w:rPr>
      </w:pPr>
      <w:r>
        <w:rPr>
          <w:rFonts w:ascii="Arial" w:eastAsia="Arial" w:hAnsi="Arial" w:cs="Arial"/>
        </w:rPr>
        <w:t>26.</w:t>
      </w:r>
      <w:r>
        <w:rPr>
          <w:rFonts w:ascii="Arial" w:eastAsia="Arial" w:hAnsi="Arial" w:cs="Arial"/>
        </w:rPr>
        <w:tab/>
        <w:t>Jelen megállapodás 4 (</w:t>
      </w:r>
      <w:r w:rsidR="00E24737">
        <w:rPr>
          <w:rFonts w:ascii="Arial" w:eastAsia="Arial" w:hAnsi="Arial" w:cs="Arial"/>
        </w:rPr>
        <w:t>négy</w:t>
      </w:r>
      <w:r>
        <w:rPr>
          <w:rFonts w:ascii="Arial" w:eastAsia="Arial" w:hAnsi="Arial" w:cs="Arial"/>
        </w:rPr>
        <w:t>) eredeti, egymással megegyező példányban készült, amelyet Felek annak elolvasását és értelmezését követően, mint akaratukkal mindenben megegyezőt írták alá. A megállapodásból 2 (kettő) példány a Lime Kft-t, 2 (kettő) példány az Önkormányzatot illeti.</w:t>
      </w:r>
    </w:p>
    <w:p w14:paraId="74146DB1" w14:textId="77777777" w:rsidR="00E732D4" w:rsidRDefault="00E732D4">
      <w:pPr>
        <w:spacing w:line="276" w:lineRule="auto"/>
        <w:jc w:val="both"/>
        <w:rPr>
          <w:rFonts w:ascii="Arial" w:eastAsia="Arial" w:hAnsi="Arial" w:cs="Arial"/>
        </w:rPr>
      </w:pPr>
    </w:p>
    <w:p w14:paraId="4EC124E6" w14:textId="77777777" w:rsidR="00E732D4" w:rsidRDefault="00E732D4">
      <w:pPr>
        <w:spacing w:line="276" w:lineRule="auto"/>
        <w:jc w:val="both"/>
        <w:rPr>
          <w:rFonts w:ascii="Arial" w:eastAsia="Arial" w:hAnsi="Arial" w:cs="Arial"/>
        </w:rPr>
      </w:pPr>
    </w:p>
    <w:p w14:paraId="62B1604C" w14:textId="77777777" w:rsidR="00E732D4" w:rsidRPr="00764FB9" w:rsidRDefault="00764FB9">
      <w:pPr>
        <w:jc w:val="left"/>
        <w:rPr>
          <w:rFonts w:ascii="Arial" w:eastAsia="Arial" w:hAnsi="Arial" w:cs="Arial"/>
          <w:b/>
          <w:bCs/>
          <w:sz w:val="20"/>
          <w:szCs w:val="20"/>
        </w:rPr>
      </w:pPr>
      <w:r w:rsidRPr="00764FB9">
        <w:rPr>
          <w:rFonts w:ascii="Arial" w:eastAsia="Arial" w:hAnsi="Arial" w:cs="Arial"/>
          <w:b/>
          <w:bCs/>
          <w:sz w:val="20"/>
          <w:szCs w:val="20"/>
        </w:rPr>
        <w:t>Budapest, 2022. év július hó …. napján</w:t>
      </w:r>
      <w:r w:rsidRPr="00764FB9">
        <w:rPr>
          <w:rFonts w:ascii="Arial" w:eastAsia="Arial" w:hAnsi="Arial" w:cs="Arial"/>
          <w:b/>
          <w:bCs/>
          <w:sz w:val="20"/>
          <w:szCs w:val="20"/>
        </w:rPr>
        <w:tab/>
        <w:t xml:space="preserve">        Szombathely, 2022. év július hó …. napján</w:t>
      </w:r>
    </w:p>
    <w:p w14:paraId="49C82E28" w14:textId="77777777" w:rsidR="00E732D4" w:rsidRDefault="00E732D4">
      <w:pPr>
        <w:jc w:val="left"/>
        <w:rPr>
          <w:rFonts w:ascii="Arial" w:eastAsia="Arial" w:hAnsi="Arial" w:cs="Arial"/>
        </w:rPr>
      </w:pPr>
    </w:p>
    <w:p w14:paraId="1F9F999D" w14:textId="77777777" w:rsidR="00E732D4" w:rsidRDefault="00E732D4">
      <w:pPr>
        <w:ind w:left="708" w:firstLine="708"/>
        <w:jc w:val="left"/>
        <w:rPr>
          <w:rFonts w:ascii="Arial" w:eastAsia="Arial" w:hAnsi="Arial" w:cs="Arial"/>
        </w:rPr>
      </w:pPr>
    </w:p>
    <w:tbl>
      <w:tblPr>
        <w:tblStyle w:val="a1"/>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75"/>
        <w:gridCol w:w="4487"/>
      </w:tblGrid>
      <w:tr w:rsidR="00E732D4" w14:paraId="2F98B6B1" w14:textId="77777777">
        <w:tc>
          <w:tcPr>
            <w:tcW w:w="4575" w:type="dxa"/>
            <w:shd w:val="clear" w:color="auto" w:fill="000000"/>
          </w:tcPr>
          <w:p w14:paraId="48D4D0C9" w14:textId="77777777" w:rsidR="00E732D4" w:rsidRDefault="00E732D4">
            <w:pPr>
              <w:spacing w:before="120" w:after="120"/>
              <w:rPr>
                <w:rFonts w:ascii="Arial" w:eastAsia="Arial" w:hAnsi="Arial" w:cs="Arial"/>
                <w:b/>
              </w:rPr>
            </w:pPr>
          </w:p>
          <w:p w14:paraId="275A8411" w14:textId="77777777" w:rsidR="00E732D4" w:rsidRDefault="00764FB9">
            <w:pPr>
              <w:spacing w:before="120" w:after="120"/>
              <w:rPr>
                <w:rFonts w:ascii="Arial" w:eastAsia="Arial" w:hAnsi="Arial" w:cs="Arial"/>
                <w:b/>
              </w:rPr>
            </w:pPr>
            <w:r>
              <w:rPr>
                <w:rFonts w:ascii="Arial" w:eastAsia="Arial" w:hAnsi="Arial" w:cs="Arial"/>
                <w:b/>
              </w:rPr>
              <w:t xml:space="preserve">Lime </w:t>
            </w:r>
            <w:proofErr w:type="spellStart"/>
            <w:r>
              <w:rPr>
                <w:rFonts w:ascii="Arial" w:eastAsia="Arial" w:hAnsi="Arial" w:cs="Arial"/>
                <w:b/>
              </w:rPr>
              <w:t>Technology</w:t>
            </w:r>
            <w:proofErr w:type="spellEnd"/>
            <w:r>
              <w:rPr>
                <w:rFonts w:ascii="Arial" w:eastAsia="Arial" w:hAnsi="Arial" w:cs="Arial"/>
                <w:b/>
              </w:rPr>
              <w:t xml:space="preserve"> Kft.</w:t>
            </w:r>
          </w:p>
        </w:tc>
        <w:tc>
          <w:tcPr>
            <w:tcW w:w="4487" w:type="dxa"/>
            <w:shd w:val="clear" w:color="auto" w:fill="000000"/>
          </w:tcPr>
          <w:p w14:paraId="568939DF" w14:textId="77777777" w:rsidR="00E732D4" w:rsidRDefault="00E732D4">
            <w:pPr>
              <w:rPr>
                <w:rFonts w:ascii="Arial" w:eastAsia="Arial" w:hAnsi="Arial" w:cs="Arial"/>
                <w:b/>
              </w:rPr>
            </w:pPr>
          </w:p>
          <w:p w14:paraId="697DF49B" w14:textId="77777777" w:rsidR="00E732D4" w:rsidRDefault="00764FB9">
            <w:pPr>
              <w:rPr>
                <w:rFonts w:ascii="Arial" w:eastAsia="Arial" w:hAnsi="Arial" w:cs="Arial"/>
                <w:b/>
              </w:rPr>
            </w:pPr>
            <w:r>
              <w:rPr>
                <w:rFonts w:ascii="Arial" w:eastAsia="Arial" w:hAnsi="Arial" w:cs="Arial"/>
                <w:b/>
              </w:rPr>
              <w:t>Szombathely Megyei Jogú Város Önkormányzata</w:t>
            </w:r>
          </w:p>
          <w:p w14:paraId="201DBAEC" w14:textId="77777777" w:rsidR="00E732D4" w:rsidRDefault="00E732D4">
            <w:pPr>
              <w:rPr>
                <w:rFonts w:ascii="Arial" w:eastAsia="Arial" w:hAnsi="Arial" w:cs="Arial"/>
                <w:b/>
              </w:rPr>
            </w:pPr>
          </w:p>
        </w:tc>
      </w:tr>
      <w:tr w:rsidR="00E732D4" w14:paraId="58BEDAD7" w14:textId="77777777">
        <w:tc>
          <w:tcPr>
            <w:tcW w:w="4575" w:type="dxa"/>
          </w:tcPr>
          <w:p w14:paraId="10A57EAB" w14:textId="77777777" w:rsidR="00E732D4" w:rsidRDefault="00764FB9">
            <w:pPr>
              <w:spacing w:before="120" w:after="120"/>
              <w:rPr>
                <w:rFonts w:ascii="Arial" w:eastAsia="Arial" w:hAnsi="Arial" w:cs="Arial"/>
              </w:rPr>
            </w:pPr>
            <w:r>
              <w:rPr>
                <w:rFonts w:ascii="Arial" w:eastAsia="Arial" w:hAnsi="Arial" w:cs="Arial"/>
              </w:rPr>
              <w:t>Aláírás:</w:t>
            </w:r>
          </w:p>
          <w:p w14:paraId="37F91BD8" w14:textId="77777777" w:rsidR="00E732D4" w:rsidRDefault="00E732D4">
            <w:pPr>
              <w:spacing w:before="120" w:after="120"/>
              <w:rPr>
                <w:rFonts w:ascii="Arial" w:eastAsia="Arial" w:hAnsi="Arial" w:cs="Arial"/>
              </w:rPr>
            </w:pPr>
          </w:p>
          <w:p w14:paraId="6AAE105F" w14:textId="77777777" w:rsidR="00E732D4" w:rsidRDefault="00764FB9">
            <w:pPr>
              <w:spacing w:before="120" w:after="120"/>
              <w:rPr>
                <w:rFonts w:ascii="Arial" w:eastAsia="Arial" w:hAnsi="Arial" w:cs="Arial"/>
              </w:rPr>
            </w:pPr>
            <w:r>
              <w:rPr>
                <w:rFonts w:ascii="Arial" w:eastAsia="Arial" w:hAnsi="Arial" w:cs="Arial"/>
              </w:rPr>
              <w:t>…………………………………………….</w:t>
            </w:r>
          </w:p>
        </w:tc>
        <w:tc>
          <w:tcPr>
            <w:tcW w:w="4487" w:type="dxa"/>
          </w:tcPr>
          <w:p w14:paraId="32B703B9" w14:textId="77777777" w:rsidR="00E732D4" w:rsidRDefault="00764FB9">
            <w:pPr>
              <w:spacing w:before="120" w:after="120"/>
              <w:rPr>
                <w:rFonts w:ascii="Arial" w:eastAsia="Arial" w:hAnsi="Arial" w:cs="Arial"/>
              </w:rPr>
            </w:pPr>
            <w:r>
              <w:rPr>
                <w:rFonts w:ascii="Arial" w:eastAsia="Arial" w:hAnsi="Arial" w:cs="Arial"/>
              </w:rPr>
              <w:t>Aláírás:</w:t>
            </w:r>
          </w:p>
          <w:p w14:paraId="3216A9AC" w14:textId="77777777" w:rsidR="00E732D4" w:rsidRDefault="00E732D4">
            <w:pPr>
              <w:spacing w:before="120" w:after="120"/>
              <w:rPr>
                <w:rFonts w:ascii="Arial" w:eastAsia="Arial" w:hAnsi="Arial" w:cs="Arial"/>
              </w:rPr>
            </w:pPr>
          </w:p>
          <w:p w14:paraId="2A7800AE" w14:textId="77777777" w:rsidR="00E732D4" w:rsidRDefault="00764FB9">
            <w:pPr>
              <w:spacing w:before="120" w:after="120"/>
              <w:rPr>
                <w:rFonts w:ascii="Arial" w:eastAsia="Arial" w:hAnsi="Arial" w:cs="Arial"/>
              </w:rPr>
            </w:pPr>
            <w:r>
              <w:rPr>
                <w:rFonts w:ascii="Arial" w:eastAsia="Arial" w:hAnsi="Arial" w:cs="Arial"/>
              </w:rPr>
              <w:t>………………………..</w:t>
            </w:r>
          </w:p>
        </w:tc>
      </w:tr>
      <w:tr w:rsidR="00E732D4" w14:paraId="399A6769" w14:textId="77777777">
        <w:trPr>
          <w:trHeight w:val="1857"/>
        </w:trPr>
        <w:tc>
          <w:tcPr>
            <w:tcW w:w="4575" w:type="dxa"/>
          </w:tcPr>
          <w:p w14:paraId="2CDE5CD2" w14:textId="77777777" w:rsidR="00E732D4" w:rsidRDefault="00764FB9">
            <w:pPr>
              <w:spacing w:before="120" w:after="120"/>
              <w:rPr>
                <w:rFonts w:ascii="Arial" w:eastAsia="Arial" w:hAnsi="Arial" w:cs="Arial"/>
              </w:rPr>
            </w:pPr>
            <w:r>
              <w:rPr>
                <w:rFonts w:ascii="Arial" w:eastAsia="Arial" w:hAnsi="Arial" w:cs="Arial"/>
              </w:rPr>
              <w:t>Képviselők neve:</w:t>
            </w:r>
          </w:p>
          <w:p w14:paraId="699BC1A6" w14:textId="77777777" w:rsidR="00E732D4" w:rsidRDefault="00764FB9">
            <w:pPr>
              <w:spacing w:before="120" w:after="120"/>
              <w:rPr>
                <w:rFonts w:ascii="Arial" w:eastAsia="Arial" w:hAnsi="Arial" w:cs="Arial"/>
                <w:highlight w:val="white"/>
              </w:rPr>
            </w:pPr>
            <w:r>
              <w:rPr>
                <w:rFonts w:ascii="Arial" w:eastAsia="Arial" w:hAnsi="Arial" w:cs="Arial"/>
              </w:rPr>
              <w:t xml:space="preserve">Andrea John Ellis és </w:t>
            </w:r>
            <w:proofErr w:type="spellStart"/>
            <w:r>
              <w:rPr>
                <w:rFonts w:ascii="Arial" w:eastAsia="Arial" w:hAnsi="Arial" w:cs="Arial"/>
                <w:highlight w:val="white"/>
              </w:rPr>
              <w:t>Wayne</w:t>
            </w:r>
            <w:proofErr w:type="spellEnd"/>
            <w:r>
              <w:rPr>
                <w:rFonts w:ascii="Arial" w:eastAsia="Arial" w:hAnsi="Arial" w:cs="Arial"/>
                <w:highlight w:val="white"/>
              </w:rPr>
              <w:t xml:space="preserve"> </w:t>
            </w:r>
            <w:proofErr w:type="spellStart"/>
            <w:r>
              <w:rPr>
                <w:rFonts w:ascii="Arial" w:eastAsia="Arial" w:hAnsi="Arial" w:cs="Arial"/>
                <w:highlight w:val="white"/>
              </w:rPr>
              <w:t>Hsing-Yuan</w:t>
            </w:r>
            <w:proofErr w:type="spellEnd"/>
            <w:r>
              <w:rPr>
                <w:rFonts w:ascii="Arial" w:eastAsia="Arial" w:hAnsi="Arial" w:cs="Arial"/>
                <w:highlight w:val="white"/>
              </w:rPr>
              <w:t xml:space="preserve"> </w:t>
            </w:r>
            <w:proofErr w:type="spellStart"/>
            <w:r>
              <w:rPr>
                <w:rFonts w:ascii="Arial" w:eastAsia="Arial" w:hAnsi="Arial" w:cs="Arial"/>
                <w:highlight w:val="white"/>
              </w:rPr>
              <w:t>Ting</w:t>
            </w:r>
            <w:proofErr w:type="spellEnd"/>
          </w:p>
          <w:p w14:paraId="1760E396" w14:textId="77777777" w:rsidR="00E732D4" w:rsidRDefault="00764FB9">
            <w:pPr>
              <w:spacing w:before="120" w:after="120"/>
              <w:rPr>
                <w:rFonts w:ascii="Arial" w:eastAsia="Arial" w:hAnsi="Arial" w:cs="Arial"/>
                <w:highlight w:val="white"/>
              </w:rPr>
            </w:pPr>
            <w:r>
              <w:rPr>
                <w:rFonts w:ascii="Arial" w:eastAsia="Arial" w:hAnsi="Arial" w:cs="Arial"/>
                <w:highlight w:val="white"/>
              </w:rPr>
              <w:t>ügyvezetők</w:t>
            </w:r>
          </w:p>
          <w:p w14:paraId="7B07A2A4" w14:textId="77777777" w:rsidR="00E732D4" w:rsidRDefault="00E732D4">
            <w:pPr>
              <w:spacing w:before="120" w:after="120"/>
              <w:rPr>
                <w:rFonts w:ascii="Arial" w:eastAsia="Arial" w:hAnsi="Arial" w:cs="Arial"/>
                <w:highlight w:val="white"/>
              </w:rPr>
            </w:pPr>
          </w:p>
          <w:p w14:paraId="6EF773C6" w14:textId="77777777" w:rsidR="00E732D4" w:rsidRDefault="00E732D4">
            <w:pPr>
              <w:spacing w:before="120" w:after="120"/>
              <w:rPr>
                <w:rFonts w:ascii="Arial" w:eastAsia="Arial" w:hAnsi="Arial" w:cs="Arial"/>
              </w:rPr>
            </w:pPr>
          </w:p>
        </w:tc>
        <w:tc>
          <w:tcPr>
            <w:tcW w:w="4487" w:type="dxa"/>
          </w:tcPr>
          <w:p w14:paraId="2621590F" w14:textId="77777777" w:rsidR="00E732D4" w:rsidRDefault="00764FB9">
            <w:pPr>
              <w:spacing w:before="120" w:after="120"/>
              <w:rPr>
                <w:rFonts w:ascii="Arial" w:eastAsia="Arial" w:hAnsi="Arial" w:cs="Arial"/>
              </w:rPr>
            </w:pPr>
            <w:r>
              <w:rPr>
                <w:rFonts w:ascii="Arial" w:eastAsia="Arial" w:hAnsi="Arial" w:cs="Arial"/>
              </w:rPr>
              <w:t>Képviselő neve:</w:t>
            </w:r>
          </w:p>
          <w:p w14:paraId="68625E1A" w14:textId="77777777" w:rsidR="00E732D4" w:rsidRDefault="00764FB9">
            <w:pPr>
              <w:spacing w:before="120" w:after="120"/>
              <w:rPr>
                <w:rFonts w:ascii="Arial" w:eastAsia="Arial" w:hAnsi="Arial" w:cs="Arial"/>
              </w:rPr>
            </w:pPr>
            <w:r>
              <w:rPr>
                <w:rFonts w:ascii="Arial" w:eastAsia="Arial" w:hAnsi="Arial" w:cs="Arial"/>
              </w:rPr>
              <w:t>Dr. Nemény András</w:t>
            </w:r>
          </w:p>
          <w:p w14:paraId="20C0FA7E" w14:textId="77777777" w:rsidR="00E732D4" w:rsidRDefault="00764FB9">
            <w:pPr>
              <w:spacing w:before="120" w:after="120"/>
              <w:rPr>
                <w:rFonts w:ascii="Arial" w:eastAsia="Arial" w:hAnsi="Arial" w:cs="Arial"/>
              </w:rPr>
            </w:pPr>
            <w:r>
              <w:rPr>
                <w:rFonts w:ascii="Arial" w:eastAsia="Arial" w:hAnsi="Arial" w:cs="Arial"/>
              </w:rPr>
              <w:t>polgármester</w:t>
            </w:r>
          </w:p>
          <w:p w14:paraId="26566E98" w14:textId="77777777" w:rsidR="00E732D4" w:rsidRDefault="00E732D4">
            <w:pPr>
              <w:spacing w:before="120" w:after="120"/>
              <w:rPr>
                <w:rFonts w:ascii="Arial" w:eastAsia="Arial" w:hAnsi="Arial" w:cs="Arial"/>
              </w:rPr>
            </w:pPr>
          </w:p>
          <w:p w14:paraId="5CDD873F" w14:textId="77777777" w:rsidR="00E732D4" w:rsidRDefault="00E732D4">
            <w:pPr>
              <w:spacing w:before="120" w:after="120"/>
              <w:jc w:val="both"/>
              <w:rPr>
                <w:rFonts w:ascii="Arial" w:eastAsia="Arial" w:hAnsi="Arial" w:cs="Arial"/>
              </w:rPr>
            </w:pPr>
          </w:p>
        </w:tc>
      </w:tr>
    </w:tbl>
    <w:p w14:paraId="737DF3B8" w14:textId="77777777" w:rsidR="00E732D4" w:rsidRDefault="00E732D4">
      <w:pPr>
        <w:ind w:left="708" w:firstLine="708"/>
        <w:jc w:val="left"/>
        <w:rPr>
          <w:rFonts w:ascii="Arial" w:eastAsia="Arial" w:hAnsi="Arial" w:cs="Arial"/>
        </w:rPr>
      </w:pPr>
    </w:p>
    <w:sectPr w:rsidR="00E732D4">
      <w:footerReference w:type="default" r:id="rId9"/>
      <w:pgSz w:w="11906" w:h="16838"/>
      <w:pgMar w:top="1417" w:right="1417" w:bottom="993"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BFC10" w14:textId="77777777" w:rsidR="00CD2750" w:rsidRDefault="00764FB9">
      <w:r>
        <w:separator/>
      </w:r>
    </w:p>
  </w:endnote>
  <w:endnote w:type="continuationSeparator" w:id="0">
    <w:p w14:paraId="7223B9AB" w14:textId="77777777" w:rsidR="00CD2750" w:rsidRDefault="0076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C2664" w14:textId="77777777" w:rsidR="00E732D4" w:rsidRDefault="00764FB9">
    <w:pPr>
      <w:pBdr>
        <w:top w:val="nil"/>
        <w:left w:val="nil"/>
        <w:bottom w:val="nil"/>
        <w:right w:val="nil"/>
        <w:between w:val="nil"/>
      </w:pBdr>
      <w:tabs>
        <w:tab w:val="center" w:pos="4536"/>
        <w:tab w:val="right" w:pos="9072"/>
      </w:tabs>
      <w:rPr>
        <w:rFonts w:cs="Palatino Linotype"/>
        <w:color w:val="000000"/>
      </w:rPr>
    </w:pPr>
    <w:r>
      <w:rPr>
        <w:rFonts w:cs="Palatino Linotype"/>
        <w:color w:val="000000"/>
      </w:rPr>
      <w:fldChar w:fldCharType="begin"/>
    </w:r>
    <w:r>
      <w:rPr>
        <w:rFonts w:cs="Palatino Linotype"/>
        <w:color w:val="000000"/>
      </w:rPr>
      <w:instrText>PAGE</w:instrText>
    </w:r>
    <w:r>
      <w:rPr>
        <w:rFonts w:cs="Palatino Linotype"/>
        <w:color w:val="000000"/>
      </w:rPr>
      <w:fldChar w:fldCharType="separate"/>
    </w:r>
    <w:r w:rsidR="00033B6A">
      <w:rPr>
        <w:rFonts w:cs="Palatino Linotype"/>
        <w:noProof/>
        <w:color w:val="000000"/>
      </w:rPr>
      <w:t>5</w:t>
    </w:r>
    <w:r>
      <w:rPr>
        <w:rFonts w:cs="Palatino Linotype"/>
        <w:color w:val="000000"/>
      </w:rPr>
      <w:fldChar w:fldCharType="end"/>
    </w:r>
  </w:p>
  <w:p w14:paraId="1109921D" w14:textId="77777777" w:rsidR="00E732D4" w:rsidRDefault="00E732D4">
    <w:pPr>
      <w:pBdr>
        <w:top w:val="nil"/>
        <w:left w:val="nil"/>
        <w:bottom w:val="nil"/>
        <w:right w:val="nil"/>
        <w:between w:val="nil"/>
      </w:pBdr>
      <w:tabs>
        <w:tab w:val="center" w:pos="4536"/>
        <w:tab w:val="right" w:pos="9072"/>
      </w:tabs>
      <w:rPr>
        <w:rFonts w:cs="Palatino Linotype"/>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BCC1C" w14:textId="77777777" w:rsidR="00CD2750" w:rsidRDefault="00764FB9">
      <w:r>
        <w:separator/>
      </w:r>
    </w:p>
  </w:footnote>
  <w:footnote w:type="continuationSeparator" w:id="0">
    <w:p w14:paraId="605B8C80" w14:textId="77777777" w:rsidR="00CD2750" w:rsidRDefault="00764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9430C"/>
    <w:multiLevelType w:val="multilevel"/>
    <w:tmpl w:val="AE8481B4"/>
    <w:lvl w:ilvl="0">
      <w:start w:val="18"/>
      <w:numFmt w:val="decimal"/>
      <w:lvlText w:val="%1."/>
      <w:lvlJc w:val="left"/>
      <w:pPr>
        <w:ind w:left="360" w:hanging="360"/>
      </w:pPr>
      <w:rPr>
        <w:rFonts w:ascii="Arial" w:eastAsia="Arial" w:hAnsi="Arial" w:cs="Arial"/>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8E1F82"/>
    <w:multiLevelType w:val="multilevel"/>
    <w:tmpl w:val="E42CF36E"/>
    <w:lvl w:ilvl="0">
      <w:start w:val="10"/>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FE562F3"/>
    <w:multiLevelType w:val="multilevel"/>
    <w:tmpl w:val="A876537C"/>
    <w:lvl w:ilvl="0">
      <w:start w:val="4"/>
      <w:numFmt w:val="decimal"/>
      <w:lvlText w:val="%1."/>
      <w:lvlJc w:val="left"/>
      <w:pPr>
        <w:ind w:left="360" w:hanging="360"/>
      </w:pPr>
      <w:rPr>
        <w:rFonts w:ascii="Arial" w:eastAsia="Arial" w:hAnsi="Arial" w:cs="Arial"/>
        <w:strike w:val="0"/>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E46A6E"/>
    <w:multiLevelType w:val="multilevel"/>
    <w:tmpl w:val="B7B4E4EA"/>
    <w:lvl w:ilvl="0">
      <w:start w:val="21"/>
      <w:numFmt w:val="decimal"/>
      <w:lvlText w:val="%1."/>
      <w:lvlJc w:val="left"/>
      <w:pPr>
        <w:ind w:left="360" w:hanging="360"/>
      </w:pPr>
      <w:rPr>
        <w:rFonts w:ascii="Arial" w:eastAsia="Arial" w:hAnsi="Arial" w:cs="Arial"/>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00562A1"/>
    <w:multiLevelType w:val="multilevel"/>
    <w:tmpl w:val="2D0C9782"/>
    <w:lvl w:ilvl="0">
      <w:start w:val="23"/>
      <w:numFmt w:val="decimal"/>
      <w:lvlText w:val="%1."/>
      <w:lvlJc w:val="left"/>
      <w:pPr>
        <w:ind w:left="360" w:hanging="360"/>
      </w:pPr>
      <w:rPr>
        <w:rFonts w:ascii="Arial" w:eastAsia="Arial" w:hAnsi="Arial" w:cs="Arial"/>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8B95FD7"/>
    <w:multiLevelType w:val="multilevel"/>
    <w:tmpl w:val="F34A02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0"/>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2D4"/>
    <w:rsid w:val="00033B6A"/>
    <w:rsid w:val="000D7243"/>
    <w:rsid w:val="00275EF7"/>
    <w:rsid w:val="00764FB9"/>
    <w:rsid w:val="007C01D3"/>
    <w:rsid w:val="00945E80"/>
    <w:rsid w:val="00CD2750"/>
    <w:rsid w:val="00E24737"/>
    <w:rsid w:val="00E732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E2E0"/>
  <w15:docId w15:val="{9AD401F1-F26D-49FD-B648-A5EC24532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Palatino Linotype" w:hAnsi="Palatino Linotype" w:cs="Palatino Linotype"/>
        <w:sz w:val="22"/>
        <w:szCs w:val="22"/>
        <w:lang w:val="hu-HU" w:eastAsia="hu-HU"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F1BF1"/>
    <w:rPr>
      <w:rFonts w:cstheme="minorHAnsi"/>
    </w:rPr>
  </w:style>
  <w:style w:type="paragraph" w:styleId="Cmsor1">
    <w:name w:val="heading 1"/>
    <w:basedOn w:val="Norml"/>
    <w:next w:val="Norml"/>
    <w:uiPriority w:val="9"/>
    <w:qFormat/>
    <w:pPr>
      <w:keepNext/>
      <w:keepLines/>
      <w:spacing w:before="480" w:after="120"/>
      <w:outlineLvl w:val="0"/>
    </w:pPr>
    <w:rPr>
      <w:b/>
      <w:sz w:val="48"/>
      <w:szCs w:val="48"/>
    </w:rPr>
  </w:style>
  <w:style w:type="paragraph" w:styleId="Cmsor2">
    <w:name w:val="heading 2"/>
    <w:basedOn w:val="Norml"/>
    <w:next w:val="Norml"/>
    <w:uiPriority w:val="9"/>
    <w:semiHidden/>
    <w:unhideWhenUsed/>
    <w:qFormat/>
    <w:pPr>
      <w:keepNext/>
      <w:keepLines/>
      <w:spacing w:before="360" w:after="80"/>
      <w:outlineLvl w:val="1"/>
    </w:pPr>
    <w:rPr>
      <w:b/>
      <w:sz w:val="36"/>
      <w:szCs w:val="36"/>
    </w:rPr>
  </w:style>
  <w:style w:type="paragraph" w:styleId="Cmsor3">
    <w:name w:val="heading 3"/>
    <w:basedOn w:val="Norml"/>
    <w:next w:val="Norml"/>
    <w:uiPriority w:val="9"/>
    <w:semiHidden/>
    <w:unhideWhenUsed/>
    <w:qFormat/>
    <w:pPr>
      <w:keepNext/>
      <w:keepLines/>
      <w:spacing w:before="280" w:after="80"/>
      <w:outlineLvl w:val="2"/>
    </w:pPr>
    <w:rPr>
      <w:b/>
      <w:sz w:val="28"/>
      <w:szCs w:val="28"/>
    </w:rPr>
  </w:style>
  <w:style w:type="paragraph" w:styleId="Cmsor4">
    <w:name w:val="heading 4"/>
    <w:basedOn w:val="Norml"/>
    <w:next w:val="Norml"/>
    <w:uiPriority w:val="9"/>
    <w:semiHidden/>
    <w:unhideWhenUsed/>
    <w:qFormat/>
    <w:pPr>
      <w:keepNext/>
      <w:keepLines/>
      <w:spacing w:before="240" w:after="40"/>
      <w:outlineLvl w:val="3"/>
    </w:pPr>
    <w:rPr>
      <w:b/>
      <w:sz w:val="24"/>
      <w:szCs w:val="24"/>
    </w:rPr>
  </w:style>
  <w:style w:type="paragraph" w:styleId="Cmsor5">
    <w:name w:val="heading 5"/>
    <w:basedOn w:val="Norml"/>
    <w:next w:val="Norml"/>
    <w:uiPriority w:val="9"/>
    <w:semiHidden/>
    <w:unhideWhenUsed/>
    <w:qFormat/>
    <w:pPr>
      <w:keepNext/>
      <w:keepLines/>
      <w:spacing w:before="220" w:after="40"/>
      <w:outlineLvl w:val="4"/>
    </w:pPr>
    <w:rPr>
      <w:b/>
    </w:rPr>
  </w:style>
  <w:style w:type="paragraph" w:styleId="Cmsor6">
    <w:name w:val="heading 6"/>
    <w:basedOn w:val="Norml"/>
    <w:next w:val="Norml"/>
    <w:uiPriority w:val="9"/>
    <w:semiHidden/>
    <w:unhideWhenUsed/>
    <w:qFormat/>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uiPriority w:val="10"/>
    <w:qFormat/>
    <w:pPr>
      <w:keepNext/>
      <w:keepLines/>
      <w:spacing w:before="480" w:after="120"/>
    </w:pPr>
    <w:rPr>
      <w:b/>
      <w:sz w:val="72"/>
      <w:szCs w:val="72"/>
    </w:rPr>
  </w:style>
  <w:style w:type="paragraph" w:styleId="Listaszerbekezds">
    <w:name w:val="List Paragraph"/>
    <w:basedOn w:val="Norml"/>
    <w:uiPriority w:val="34"/>
    <w:qFormat/>
    <w:rsid w:val="00AF1BF1"/>
    <w:pPr>
      <w:ind w:left="720"/>
      <w:contextualSpacing/>
    </w:pPr>
  </w:style>
  <w:style w:type="character" w:styleId="Jegyzethivatkozs">
    <w:name w:val="annotation reference"/>
    <w:basedOn w:val="Bekezdsalapbettpusa"/>
    <w:uiPriority w:val="99"/>
    <w:semiHidden/>
    <w:unhideWhenUsed/>
    <w:rsid w:val="00E33822"/>
    <w:rPr>
      <w:sz w:val="16"/>
      <w:szCs w:val="16"/>
    </w:rPr>
  </w:style>
  <w:style w:type="paragraph" w:styleId="Jegyzetszveg">
    <w:name w:val="annotation text"/>
    <w:basedOn w:val="Norml"/>
    <w:link w:val="JegyzetszvegChar"/>
    <w:uiPriority w:val="99"/>
    <w:unhideWhenUsed/>
    <w:rsid w:val="00E33822"/>
    <w:rPr>
      <w:sz w:val="20"/>
      <w:szCs w:val="20"/>
    </w:rPr>
  </w:style>
  <w:style w:type="character" w:customStyle="1" w:styleId="JegyzetszvegChar">
    <w:name w:val="Jegyzetszöveg Char"/>
    <w:basedOn w:val="Bekezdsalapbettpusa"/>
    <w:link w:val="Jegyzetszveg"/>
    <w:uiPriority w:val="99"/>
    <w:rsid w:val="00E33822"/>
    <w:rPr>
      <w:rFonts w:ascii="Palatino Linotype" w:hAnsi="Palatino Linotype" w:cstheme="minorHAnsi"/>
      <w:sz w:val="20"/>
      <w:szCs w:val="20"/>
    </w:rPr>
  </w:style>
  <w:style w:type="table" w:styleId="Rcsostblzat">
    <w:name w:val="Table Grid"/>
    <w:basedOn w:val="Normltblzat"/>
    <w:rsid w:val="00356526"/>
    <w:rPr>
      <w:rFonts w:cs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3">
    <w:name w:val="Body Text Indent 3"/>
    <w:basedOn w:val="Norml"/>
    <w:link w:val="Szvegtrzsbehzssal3Char"/>
    <w:rsid w:val="00FD74B9"/>
    <w:pPr>
      <w:tabs>
        <w:tab w:val="num" w:pos="360"/>
      </w:tabs>
      <w:ind w:left="708" w:hanging="357"/>
      <w:jc w:val="both"/>
    </w:pPr>
    <w:rPr>
      <w:rFonts w:ascii="Arial" w:eastAsia="Times New Roman" w:hAnsi="Arial" w:cs="Arial"/>
      <w:szCs w:val="24"/>
    </w:rPr>
  </w:style>
  <w:style w:type="character" w:customStyle="1" w:styleId="Szvegtrzsbehzssal3Char">
    <w:name w:val="Szövegtörzs behúzással 3 Char"/>
    <w:basedOn w:val="Bekezdsalapbettpusa"/>
    <w:link w:val="Szvegtrzsbehzssal3"/>
    <w:rsid w:val="00FD74B9"/>
    <w:rPr>
      <w:rFonts w:ascii="Arial" w:eastAsia="Times New Roman" w:hAnsi="Arial" w:cs="Arial"/>
      <w:szCs w:val="24"/>
      <w:lang w:eastAsia="hu-HU"/>
    </w:rPr>
  </w:style>
  <w:style w:type="paragraph" w:styleId="Megjegyzstrgya">
    <w:name w:val="annotation subject"/>
    <w:basedOn w:val="Jegyzetszveg"/>
    <w:next w:val="Jegyzetszveg"/>
    <w:link w:val="MegjegyzstrgyaChar"/>
    <w:uiPriority w:val="99"/>
    <w:semiHidden/>
    <w:unhideWhenUsed/>
    <w:rsid w:val="000027CB"/>
    <w:rPr>
      <w:b/>
      <w:bCs/>
    </w:rPr>
  </w:style>
  <w:style w:type="character" w:customStyle="1" w:styleId="MegjegyzstrgyaChar">
    <w:name w:val="Megjegyzés tárgya Char"/>
    <w:basedOn w:val="JegyzetszvegChar"/>
    <w:link w:val="Megjegyzstrgya"/>
    <w:uiPriority w:val="99"/>
    <w:semiHidden/>
    <w:rsid w:val="000027CB"/>
    <w:rPr>
      <w:rFonts w:ascii="Palatino Linotype" w:hAnsi="Palatino Linotype" w:cstheme="minorHAnsi"/>
      <w:b/>
      <w:bCs/>
      <w:sz w:val="20"/>
      <w:szCs w:val="20"/>
    </w:rPr>
  </w:style>
  <w:style w:type="character" w:styleId="Hiperhivatkozs">
    <w:name w:val="Hyperlink"/>
    <w:basedOn w:val="Bekezdsalapbettpusa"/>
    <w:uiPriority w:val="99"/>
    <w:unhideWhenUsed/>
    <w:rsid w:val="00C05A64"/>
    <w:rPr>
      <w:color w:val="0563C1" w:themeColor="hyperlink"/>
      <w:u w:val="single"/>
    </w:rPr>
  </w:style>
  <w:style w:type="character" w:customStyle="1" w:styleId="Feloldatlanmegemlts1">
    <w:name w:val="Feloldatlan megemlítés1"/>
    <w:basedOn w:val="Bekezdsalapbettpusa"/>
    <w:uiPriority w:val="99"/>
    <w:semiHidden/>
    <w:unhideWhenUsed/>
    <w:rsid w:val="00C05A64"/>
    <w:rPr>
      <w:color w:val="605E5C"/>
      <w:shd w:val="clear" w:color="auto" w:fill="E1DFDD"/>
    </w:rPr>
  </w:style>
  <w:style w:type="character" w:styleId="Mrltotthiperhivatkozs">
    <w:name w:val="FollowedHyperlink"/>
    <w:basedOn w:val="Bekezdsalapbettpusa"/>
    <w:uiPriority w:val="99"/>
    <w:semiHidden/>
    <w:unhideWhenUsed/>
    <w:rsid w:val="00D71B12"/>
    <w:rPr>
      <w:color w:val="954F72" w:themeColor="followedHyperlink"/>
      <w:u w:val="single"/>
    </w:rPr>
  </w:style>
  <w:style w:type="paragraph" w:styleId="lfej">
    <w:name w:val="header"/>
    <w:basedOn w:val="Norml"/>
    <w:link w:val="lfejChar"/>
    <w:uiPriority w:val="99"/>
    <w:unhideWhenUsed/>
    <w:rsid w:val="00506C99"/>
    <w:pPr>
      <w:tabs>
        <w:tab w:val="center" w:pos="4536"/>
        <w:tab w:val="right" w:pos="9072"/>
      </w:tabs>
    </w:pPr>
  </w:style>
  <w:style w:type="character" w:customStyle="1" w:styleId="lfejChar">
    <w:name w:val="Élőfej Char"/>
    <w:basedOn w:val="Bekezdsalapbettpusa"/>
    <w:link w:val="lfej"/>
    <w:uiPriority w:val="99"/>
    <w:rsid w:val="00506C99"/>
    <w:rPr>
      <w:rFonts w:ascii="Palatino Linotype" w:hAnsi="Palatino Linotype" w:cstheme="minorHAnsi"/>
    </w:rPr>
  </w:style>
  <w:style w:type="paragraph" w:styleId="llb">
    <w:name w:val="footer"/>
    <w:basedOn w:val="Norml"/>
    <w:link w:val="llbChar"/>
    <w:uiPriority w:val="99"/>
    <w:unhideWhenUsed/>
    <w:rsid w:val="00506C99"/>
    <w:pPr>
      <w:tabs>
        <w:tab w:val="center" w:pos="4536"/>
        <w:tab w:val="right" w:pos="9072"/>
      </w:tabs>
    </w:pPr>
  </w:style>
  <w:style w:type="character" w:customStyle="1" w:styleId="llbChar">
    <w:name w:val="Élőláb Char"/>
    <w:basedOn w:val="Bekezdsalapbettpusa"/>
    <w:link w:val="llb"/>
    <w:uiPriority w:val="99"/>
    <w:rsid w:val="00506C99"/>
    <w:rPr>
      <w:rFonts w:ascii="Palatino Linotype" w:hAnsi="Palatino Linotype" w:cstheme="minorHAnsi"/>
    </w:rPr>
  </w:style>
  <w:style w:type="paragraph" w:styleId="Alcm">
    <w:name w:val="Subtitle"/>
    <w:basedOn w:val="Norml"/>
    <w:next w:val="Norm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gle.com/maps/d/viewer?mid=1qlG_JnH74E189h0g0nKOSIwPzNilIKM6&amp;ll=47.22679413176138%2C16.6315940368107&amp;z=15" TargetMode="Externa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W1nTaNZuiUZUyBy4HKnoBOjXFg==">AMUW2mWStbHptivtKH8zNBwX9hc3+8+9425j3ZeczxihHsxBtVVSLdO4eqaRM+lxK58zpbwJ7g6wbDLHHSw2WQGUAZ1hx2rCppbEq9gV9MaKEDnEi/QuSvY=</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6261F811-30DE-4FC4-B0BD-09DBFF6239A4}"/>
</file>

<file path=customXml/itemProps3.xml><?xml version="1.0" encoding="utf-8"?>
<ds:datastoreItem xmlns:ds="http://schemas.openxmlformats.org/officeDocument/2006/customXml" ds:itemID="{31E2E372-8B3D-4A55-B6E1-B2E9263F90FF}"/>
</file>

<file path=customXml/itemProps4.xml><?xml version="1.0" encoding="utf-8"?>
<ds:datastoreItem xmlns:ds="http://schemas.openxmlformats.org/officeDocument/2006/customXml" ds:itemID="{E686A600-745F-4673-ACE1-8A9CE406BD11}"/>
</file>

<file path=docProps/app.xml><?xml version="1.0" encoding="utf-8"?>
<Properties xmlns="http://schemas.openxmlformats.org/officeDocument/2006/extended-properties" xmlns:vt="http://schemas.openxmlformats.org/officeDocument/2006/docPropsVTypes">
  <Template>Normal</Template>
  <TotalTime>1</TotalTime>
  <Pages>5</Pages>
  <Words>1812</Words>
  <Characters>12503</Characters>
  <Application>Microsoft Office Word</Application>
  <DocSecurity>4</DocSecurity>
  <Lines>104</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Stossek Sára</dc:creator>
  <cp:lastModifiedBy>Kusztor György</cp:lastModifiedBy>
  <cp:revision>2</cp:revision>
  <dcterms:created xsi:type="dcterms:W3CDTF">2022-07-13T07:33:00Z</dcterms:created>
  <dcterms:modified xsi:type="dcterms:W3CDTF">2022-07-13T07:33:00Z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