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C6" w:rsidRPr="00502D3A" w:rsidRDefault="00A20FC6" w:rsidP="00A20FC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502D3A">
        <w:rPr>
          <w:rFonts w:ascii="Arial" w:hAnsi="Arial" w:cs="Arial"/>
          <w:b/>
          <w:u w:val="single"/>
        </w:rPr>
        <w:t>E L Ő T E R J E S Z T É S</w:t>
      </w:r>
    </w:p>
    <w:p w:rsidR="00A20FC6" w:rsidRDefault="00A20FC6" w:rsidP="00A20FC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jc w:val="center"/>
        <w:rPr>
          <w:rFonts w:ascii="Arial" w:hAnsi="Arial" w:cs="Arial"/>
          <w:b/>
          <w:bCs/>
        </w:rPr>
      </w:pPr>
      <w:r w:rsidRPr="00502D3A">
        <w:rPr>
          <w:rFonts w:ascii="Arial" w:hAnsi="Arial" w:cs="Arial"/>
          <w:b/>
          <w:bCs/>
        </w:rPr>
        <w:t>Javaslat Szombathely Megyei Jogú Város Önkormányzata 20</w:t>
      </w:r>
      <w:r>
        <w:rPr>
          <w:rFonts w:ascii="Arial" w:hAnsi="Arial" w:cs="Arial"/>
          <w:b/>
          <w:bCs/>
        </w:rPr>
        <w:t>21</w:t>
      </w:r>
      <w:r w:rsidRPr="00502D3A">
        <w:rPr>
          <w:rFonts w:ascii="Arial" w:hAnsi="Arial" w:cs="Arial"/>
          <w:b/>
          <w:bCs/>
        </w:rPr>
        <w:t xml:space="preserve">. évi </w:t>
      </w:r>
    </w:p>
    <w:p w:rsidR="00A20FC6" w:rsidRPr="00502D3A" w:rsidRDefault="00A20FC6" w:rsidP="00A20FC6">
      <w:pPr>
        <w:jc w:val="center"/>
        <w:rPr>
          <w:rFonts w:ascii="Arial" w:hAnsi="Arial" w:cs="Arial"/>
          <w:b/>
          <w:bCs/>
        </w:rPr>
      </w:pPr>
      <w:r w:rsidRPr="00502D3A">
        <w:rPr>
          <w:rFonts w:ascii="Arial" w:hAnsi="Arial" w:cs="Arial"/>
          <w:b/>
          <w:bCs/>
        </w:rPr>
        <w:t>maradvány elszámolásának jóváhagyására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502D3A">
        <w:rPr>
          <w:rFonts w:ascii="Arial" w:hAnsi="Arial" w:cs="Arial"/>
        </w:rPr>
        <w:t xml:space="preserve"> államháztartásról szóló 2011. évi CXCV. törvényben, a végrehajtására kiadott 368/2011.(XII.31</w:t>
      </w:r>
      <w:r w:rsidR="0094603E">
        <w:rPr>
          <w:rFonts w:ascii="Arial" w:hAnsi="Arial" w:cs="Arial"/>
        </w:rPr>
        <w:t>.</w:t>
      </w:r>
      <w:r w:rsidRPr="00502D3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</w:t>
      </w:r>
      <w:r w:rsidRPr="00502D3A">
        <w:rPr>
          <w:rFonts w:ascii="Arial" w:hAnsi="Arial" w:cs="Arial"/>
        </w:rPr>
        <w:t>ormányrendeletben, valamint az államháztartás számviteléről szóló 4/2013.(I.11</w:t>
      </w:r>
      <w:r w:rsidR="0094603E">
        <w:rPr>
          <w:rFonts w:ascii="Arial" w:hAnsi="Arial" w:cs="Arial"/>
        </w:rPr>
        <w:t>.</w:t>
      </w:r>
      <w:r w:rsidRPr="00502D3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K</w:t>
      </w:r>
      <w:r w:rsidRPr="00502D3A">
        <w:rPr>
          <w:rFonts w:ascii="Arial" w:hAnsi="Arial" w:cs="Arial"/>
        </w:rPr>
        <w:t>ormányrendeletben foglaltak szerint elkészítettük a 20</w:t>
      </w:r>
      <w:r>
        <w:rPr>
          <w:rFonts w:ascii="Arial" w:hAnsi="Arial" w:cs="Arial"/>
        </w:rPr>
        <w:t>21</w:t>
      </w:r>
      <w:r w:rsidRPr="00502D3A">
        <w:rPr>
          <w:rFonts w:ascii="Arial" w:hAnsi="Arial" w:cs="Arial"/>
        </w:rPr>
        <w:t xml:space="preserve">. év maradvány elszámolását. 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Szombathely Megyei Jogú Város Önkormányzatának intézményekkel összesített maradványkimutatását az I. sz. melléklet tartalmazza. A maradvány</w:t>
      </w:r>
      <w:r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>az alaptevékenység és a vállalkozási tevékenység</w:t>
      </w:r>
      <w:r>
        <w:rPr>
          <w:rFonts w:ascii="Arial" w:hAnsi="Arial" w:cs="Arial"/>
        </w:rPr>
        <w:t xml:space="preserve"> számvitelben elszámolt</w:t>
      </w:r>
      <w:r w:rsidRPr="00502D3A">
        <w:rPr>
          <w:rFonts w:ascii="Arial" w:hAnsi="Arial" w:cs="Arial"/>
        </w:rPr>
        <w:t xml:space="preserve"> bevételei</w:t>
      </w:r>
      <w:r>
        <w:rPr>
          <w:rFonts w:ascii="Arial" w:hAnsi="Arial" w:cs="Arial"/>
        </w:rPr>
        <w:t xml:space="preserve">nek és kiadásainak egyenlege. A maradványkimutatás </w:t>
      </w:r>
      <w:r w:rsidRPr="00502D3A">
        <w:rPr>
          <w:rFonts w:ascii="Arial" w:hAnsi="Arial" w:cs="Arial"/>
        </w:rPr>
        <w:t xml:space="preserve">bemutatja </w:t>
      </w:r>
      <w:r>
        <w:rPr>
          <w:rFonts w:ascii="Arial" w:hAnsi="Arial" w:cs="Arial"/>
        </w:rPr>
        <w:t xml:space="preserve">még </w:t>
      </w:r>
      <w:r w:rsidRPr="00502D3A">
        <w:rPr>
          <w:rFonts w:ascii="Arial" w:hAnsi="Arial" w:cs="Arial"/>
        </w:rPr>
        <w:t xml:space="preserve">a kötelezettségvállalással terhelt maradványt, a szabad maradványt és a vállalkozási maradványt terhelő befizetési kötelezettséget. </w:t>
      </w:r>
      <w:r>
        <w:rPr>
          <w:rFonts w:ascii="Arial" w:hAnsi="Arial" w:cs="Arial"/>
        </w:rPr>
        <w:t>Az önkormányzat és intézményei vállalkozási tevékenységet nem végeznek.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FB3C14" w:rsidRDefault="00A20FC6" w:rsidP="00A20FC6">
      <w:pPr>
        <w:jc w:val="center"/>
        <w:rPr>
          <w:rFonts w:ascii="Arial" w:hAnsi="Arial" w:cs="Arial"/>
          <w:b/>
          <w:bCs/>
        </w:rPr>
      </w:pPr>
      <w:r w:rsidRPr="00FB3C14">
        <w:rPr>
          <w:rFonts w:ascii="Arial" w:hAnsi="Arial" w:cs="Arial"/>
          <w:b/>
          <w:bCs/>
        </w:rPr>
        <w:t>I.</w:t>
      </w:r>
    </w:p>
    <w:p w:rsidR="00A20FC6" w:rsidRPr="00D5369F" w:rsidRDefault="00A20FC6" w:rsidP="00A20FC6">
      <w:pPr>
        <w:pStyle w:val="Cmsor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5369F">
        <w:rPr>
          <w:rFonts w:ascii="Arial" w:hAnsi="Arial" w:cs="Arial"/>
          <w:b/>
          <w:bCs/>
          <w:color w:val="auto"/>
          <w:sz w:val="24"/>
          <w:szCs w:val="24"/>
        </w:rPr>
        <w:t>Költségvetési intézmények maradvány elszámolása</w:t>
      </w:r>
    </w:p>
    <w:p w:rsidR="00A20FC6" w:rsidRPr="003B46D6" w:rsidRDefault="00A20FC6" w:rsidP="00A20FC6"/>
    <w:p w:rsidR="00A20FC6" w:rsidRPr="00FB3C14" w:rsidRDefault="00A20FC6" w:rsidP="00A20FC6">
      <w:pPr>
        <w:jc w:val="both"/>
        <w:rPr>
          <w:rFonts w:ascii="Arial" w:hAnsi="Arial" w:cs="Arial"/>
          <w:bCs/>
        </w:rPr>
      </w:pPr>
      <w:r w:rsidRPr="003B46D6">
        <w:rPr>
          <w:rFonts w:ascii="Arial" w:hAnsi="Arial" w:cs="Arial"/>
          <w:bCs/>
        </w:rPr>
        <w:t xml:space="preserve">A Közgazdasági és Adó Osztály végrehajtotta az önkormányzat által fenntartott </w:t>
      </w:r>
      <w:r w:rsidRPr="00FB3C14">
        <w:rPr>
          <w:rFonts w:ascii="Arial" w:hAnsi="Arial" w:cs="Arial"/>
          <w:bCs/>
        </w:rPr>
        <w:t>intézmények</w:t>
      </w:r>
      <w:r w:rsidRPr="00FB3C14">
        <w:rPr>
          <w:rFonts w:ascii="Arial" w:hAnsi="Arial" w:cs="Arial"/>
          <w:bCs/>
          <w:noProof/>
        </w:rPr>
        <w:t xml:space="preserve"> 20</w:t>
      </w:r>
      <w:r>
        <w:rPr>
          <w:rFonts w:ascii="Arial" w:hAnsi="Arial" w:cs="Arial"/>
          <w:bCs/>
          <w:noProof/>
        </w:rPr>
        <w:t>21</w:t>
      </w:r>
      <w:r w:rsidRPr="00FB3C14">
        <w:rPr>
          <w:rFonts w:ascii="Arial" w:hAnsi="Arial" w:cs="Arial"/>
          <w:bCs/>
          <w:noProof/>
        </w:rPr>
        <w:t>. évi maradványának felülvizsgálatát.</w:t>
      </w:r>
    </w:p>
    <w:p w:rsidR="00A20FC6" w:rsidRPr="00FB3C14" w:rsidRDefault="00A20FC6" w:rsidP="00A20FC6">
      <w:pPr>
        <w:pStyle w:val="Szvegtrzs3"/>
        <w:rPr>
          <w:color w:val="auto"/>
        </w:rPr>
      </w:pPr>
      <w:r w:rsidRPr="00FB3C14">
        <w:rPr>
          <w:color w:val="auto"/>
        </w:rPr>
        <w:t xml:space="preserve">A vizsgálat során felmérésre és értékelésre került az intézmények maradványa, a kötelezettségvállalással terhelt maradványok összegének megállapítása, továbbá javaslat tételre került sor az intézményeknél feladatokkal nem terhelt maradványok elvonására.  </w:t>
      </w:r>
    </w:p>
    <w:p w:rsidR="00A20FC6" w:rsidRPr="00FB3C14" w:rsidRDefault="00A20FC6" w:rsidP="00A20FC6">
      <w:pPr>
        <w:pStyle w:val="Szvegtrzs2"/>
        <w:jc w:val="left"/>
        <w:rPr>
          <w:rFonts w:cs="Arial"/>
          <w:u w:val="single"/>
        </w:rPr>
      </w:pPr>
    </w:p>
    <w:p w:rsidR="00A20FC6" w:rsidRPr="008E11A2" w:rsidRDefault="00A20FC6" w:rsidP="00A20FC6">
      <w:pPr>
        <w:pStyle w:val="Szvegtrzs3"/>
        <w:rPr>
          <w:color w:val="auto"/>
        </w:rPr>
      </w:pPr>
      <w:r w:rsidRPr="00FB3C14">
        <w:rPr>
          <w:color w:val="auto"/>
        </w:rPr>
        <w:t>Az előterjesztés II.sz. melléklete intézményenként részletesen tartalmazza a 20</w:t>
      </w:r>
      <w:r>
        <w:rPr>
          <w:color w:val="auto"/>
        </w:rPr>
        <w:t>21</w:t>
      </w:r>
      <w:r w:rsidRPr="00FB3C14">
        <w:rPr>
          <w:color w:val="auto"/>
        </w:rPr>
        <w:t xml:space="preserve">. évi beszámoló 07. űrlap szerint megállapított maradvány összegét, mely </w:t>
      </w:r>
      <w:r>
        <w:rPr>
          <w:color w:val="auto"/>
        </w:rPr>
        <w:t>487.320</w:t>
      </w:r>
      <w:r w:rsidRPr="008E11A2">
        <w:rPr>
          <w:color w:val="auto"/>
        </w:rPr>
        <w:t xml:space="preserve"> eFt. Az intézmények részére 20</w:t>
      </w:r>
      <w:r>
        <w:rPr>
          <w:color w:val="auto"/>
        </w:rPr>
        <w:t>21</w:t>
      </w:r>
      <w:r w:rsidRPr="008E11A2">
        <w:rPr>
          <w:color w:val="auto"/>
        </w:rPr>
        <w:t xml:space="preserve">. évben kiutalatlan irányító szervi támogatás összege </w:t>
      </w:r>
      <w:r>
        <w:rPr>
          <w:color w:val="auto"/>
        </w:rPr>
        <w:t>1.062.796</w:t>
      </w:r>
      <w:r w:rsidRPr="008E11A2">
        <w:rPr>
          <w:color w:val="auto"/>
        </w:rPr>
        <w:t xml:space="preserve"> eFt. </w:t>
      </w:r>
    </w:p>
    <w:p w:rsidR="00A20FC6" w:rsidRPr="008E11A2" w:rsidRDefault="00A20FC6" w:rsidP="00A20FC6">
      <w:pPr>
        <w:pStyle w:val="Szvegtrzs3"/>
        <w:rPr>
          <w:color w:val="auto"/>
        </w:rPr>
      </w:pPr>
      <w:r w:rsidRPr="008E11A2">
        <w:rPr>
          <w:color w:val="auto"/>
        </w:rPr>
        <w:lastRenderedPageBreak/>
        <w:t>A fenti két forrás biztosít fedezetet a 20</w:t>
      </w:r>
      <w:r>
        <w:rPr>
          <w:color w:val="auto"/>
        </w:rPr>
        <w:t>21</w:t>
      </w:r>
      <w:r w:rsidRPr="008E11A2">
        <w:rPr>
          <w:color w:val="auto"/>
        </w:rPr>
        <w:t>. évi kötelezettségvállalással terhelt (</w:t>
      </w:r>
      <w:r>
        <w:rPr>
          <w:color w:val="auto"/>
        </w:rPr>
        <w:t>740.947</w:t>
      </w:r>
      <w:r w:rsidRPr="008E11A2">
        <w:rPr>
          <w:color w:val="auto"/>
        </w:rPr>
        <w:t xml:space="preserve"> eFt) és a szabad, de visszaengedélyezésre kerülő maradványok (</w:t>
      </w:r>
      <w:r>
        <w:rPr>
          <w:color w:val="auto"/>
        </w:rPr>
        <w:t xml:space="preserve">254.912 </w:t>
      </w:r>
      <w:r w:rsidRPr="008E11A2">
        <w:rPr>
          <w:color w:val="auto"/>
        </w:rPr>
        <w:t>eFt), összegeire.</w:t>
      </w:r>
      <w:r>
        <w:rPr>
          <w:color w:val="auto"/>
        </w:rPr>
        <w:t xml:space="preserve"> Így a 2021. évi jóváhagyásra kerülő maradvány összesen 995.859 eFt.</w:t>
      </w:r>
    </w:p>
    <w:p w:rsidR="00A20FC6" w:rsidRPr="00FB3C14" w:rsidRDefault="00A20FC6" w:rsidP="00A20FC6">
      <w:pPr>
        <w:pStyle w:val="Szvegtrzs3"/>
        <w:rPr>
          <w:color w:val="auto"/>
        </w:rPr>
      </w:pPr>
      <w:r w:rsidRPr="008E11A2">
        <w:rPr>
          <w:color w:val="auto"/>
        </w:rPr>
        <w:t xml:space="preserve">A C.) pontban bemutatottak szerint a különbözetet elvonásra javasoljuk </w:t>
      </w:r>
      <w:r>
        <w:rPr>
          <w:color w:val="auto"/>
        </w:rPr>
        <w:t>554.257</w:t>
      </w:r>
      <w:r w:rsidRPr="008E11A2">
        <w:rPr>
          <w:color w:val="auto"/>
        </w:rPr>
        <w:t xml:space="preserve"> eFt</w:t>
      </w:r>
      <w:r w:rsidRPr="00FB3C14">
        <w:rPr>
          <w:color w:val="auto"/>
        </w:rPr>
        <w:t xml:space="preserve"> összegben.  </w:t>
      </w:r>
    </w:p>
    <w:p w:rsidR="00A20FC6" w:rsidRDefault="00A20FC6" w:rsidP="00A20FC6">
      <w:pPr>
        <w:pStyle w:val="Szvegtrzs3"/>
        <w:rPr>
          <w:color w:val="auto"/>
        </w:rPr>
      </w:pPr>
    </w:p>
    <w:p w:rsidR="00A20FC6" w:rsidRPr="008F5B03" w:rsidRDefault="00A20FC6" w:rsidP="0012247A">
      <w:pPr>
        <w:pStyle w:val="Szvegtrzs3"/>
        <w:numPr>
          <w:ilvl w:val="0"/>
          <w:numId w:val="4"/>
        </w:numPr>
        <w:ind w:left="426" w:hanging="426"/>
        <w:rPr>
          <w:b/>
          <w:color w:val="auto"/>
          <w:u w:val="single"/>
        </w:rPr>
      </w:pPr>
      <w:r w:rsidRPr="008F5B03">
        <w:rPr>
          <w:b/>
          <w:color w:val="auto"/>
          <w:u w:val="single"/>
        </w:rPr>
        <w:t>Kötelezettségvállalással terhelt maradvány</w:t>
      </w:r>
    </w:p>
    <w:p w:rsidR="00A20FC6" w:rsidRPr="00FB3C14" w:rsidRDefault="00A20FC6" w:rsidP="00A20FC6">
      <w:pPr>
        <w:pStyle w:val="Szvegtrzs3"/>
        <w:rPr>
          <w:color w:val="auto"/>
        </w:rPr>
      </w:pPr>
    </w:p>
    <w:p w:rsidR="00A20FC6" w:rsidRPr="00FB3C14" w:rsidRDefault="00A20FC6" w:rsidP="00A20FC6">
      <w:pPr>
        <w:pStyle w:val="Szvegtrzs3"/>
        <w:rPr>
          <w:color w:val="auto"/>
        </w:rPr>
      </w:pPr>
      <w:r w:rsidRPr="00FB3C14">
        <w:rPr>
          <w:color w:val="auto"/>
        </w:rPr>
        <w:t>A</w:t>
      </w:r>
      <w:r>
        <w:rPr>
          <w:color w:val="auto"/>
        </w:rPr>
        <w:t xml:space="preserve">z államháztartásról szóló </w:t>
      </w:r>
      <w:r w:rsidRPr="008F5B03">
        <w:rPr>
          <w:color w:val="auto"/>
        </w:rPr>
        <w:t>2011. évi CXCV. törvény</w:t>
      </w:r>
      <w:r>
        <w:rPr>
          <w:color w:val="auto"/>
        </w:rPr>
        <w:t xml:space="preserve"> (továbbiakban: Áht.) szabályozásának megfelelően, továbbá a könyvvezetési szabályok alapján a könyvelésben kötelezettségvállalással terhelt maradvány összegeket a </w:t>
      </w:r>
      <w:r w:rsidRPr="00FB3C14">
        <w:rPr>
          <w:color w:val="auto"/>
        </w:rPr>
        <w:t xml:space="preserve">személyi jellegű kifizetések következő évre áthúzódó </w:t>
      </w:r>
      <w:r>
        <w:rPr>
          <w:color w:val="auto"/>
        </w:rPr>
        <w:t>tételeit,</w:t>
      </w:r>
      <w:r w:rsidRPr="00FB3C14">
        <w:rPr>
          <w:color w:val="auto"/>
        </w:rPr>
        <w:t xml:space="preserve"> a hóközi és a céllal adott, egyéb kifizetések képezték.</w:t>
      </w:r>
    </w:p>
    <w:p w:rsidR="00A20FC6" w:rsidRDefault="00A20FC6" w:rsidP="00A20FC6">
      <w:pPr>
        <w:pStyle w:val="Szvegtrzs3"/>
        <w:rPr>
          <w:color w:val="auto"/>
        </w:rPr>
      </w:pPr>
      <w:r w:rsidRPr="00FB3C14">
        <w:rPr>
          <w:color w:val="auto"/>
        </w:rPr>
        <w:t xml:space="preserve">A dologi jellegű kötelezettségek a maradványt terhelő szállítói tartozásokat, visszaigazolt megrendeléseket és céllal kapott, pályázati pénzeszközöket tartalmazzák. </w:t>
      </w:r>
    </w:p>
    <w:p w:rsidR="00A20FC6" w:rsidRDefault="00A20FC6" w:rsidP="00A20FC6">
      <w:pPr>
        <w:pStyle w:val="Szvegtrzs3"/>
        <w:rPr>
          <w:color w:val="auto"/>
        </w:rPr>
      </w:pPr>
    </w:p>
    <w:p w:rsidR="00A20FC6" w:rsidRDefault="00A20FC6" w:rsidP="00A20FC6">
      <w:pPr>
        <w:pStyle w:val="Szvegtrzs3"/>
        <w:rPr>
          <w:color w:val="auto"/>
        </w:rPr>
      </w:pPr>
      <w:r w:rsidRPr="00C931E0">
        <w:rPr>
          <w:color w:val="auto"/>
        </w:rPr>
        <w:t xml:space="preserve">Az </w:t>
      </w:r>
      <w:r>
        <w:rPr>
          <w:color w:val="auto"/>
        </w:rPr>
        <w:t xml:space="preserve">Áht. alapján a </w:t>
      </w:r>
      <w:r w:rsidRPr="00C931E0">
        <w:rPr>
          <w:color w:val="auto"/>
        </w:rPr>
        <w:t>költségvetési szerv esetén az irányító szerv jogosult dönteni a költségvetési szerv maradványának felhasználható</w:t>
      </w:r>
      <w:r>
        <w:rPr>
          <w:color w:val="auto"/>
        </w:rPr>
        <w:t xml:space="preserve"> és elvonandó</w:t>
      </w:r>
      <w:r w:rsidRPr="00C931E0">
        <w:rPr>
          <w:color w:val="auto"/>
        </w:rPr>
        <w:t xml:space="preserve"> összegéről.</w:t>
      </w:r>
    </w:p>
    <w:p w:rsidR="00A20FC6" w:rsidRDefault="00A20FC6" w:rsidP="00A20FC6">
      <w:pPr>
        <w:pStyle w:val="Szvegtrzs3"/>
        <w:rPr>
          <w:color w:val="auto"/>
        </w:rPr>
      </w:pPr>
      <w:r>
        <w:rPr>
          <w:color w:val="auto"/>
        </w:rPr>
        <w:t xml:space="preserve">A következő B.) és C.) pontokban ezen tételek kerülnek bemutatásra. </w:t>
      </w:r>
    </w:p>
    <w:p w:rsidR="00A20FC6" w:rsidRDefault="00A20FC6" w:rsidP="00A20FC6">
      <w:pPr>
        <w:pStyle w:val="Szvegtrzs3"/>
        <w:rPr>
          <w:color w:val="auto"/>
        </w:rPr>
      </w:pPr>
    </w:p>
    <w:p w:rsidR="005F47D4" w:rsidRPr="00FB3C14" w:rsidRDefault="005F47D4" w:rsidP="00A20FC6">
      <w:pPr>
        <w:pStyle w:val="Szvegtrzs3"/>
        <w:rPr>
          <w:color w:val="auto"/>
        </w:rPr>
      </w:pPr>
    </w:p>
    <w:p w:rsidR="00A20FC6" w:rsidRPr="00C931E0" w:rsidRDefault="00A20FC6" w:rsidP="0012247A">
      <w:pPr>
        <w:pStyle w:val="Szvegtrzs3"/>
        <w:numPr>
          <w:ilvl w:val="0"/>
          <w:numId w:val="4"/>
        </w:numPr>
        <w:ind w:left="426" w:hanging="426"/>
        <w:rPr>
          <w:b/>
          <w:color w:val="auto"/>
          <w:u w:val="single"/>
        </w:rPr>
      </w:pPr>
      <w:r>
        <w:rPr>
          <w:b/>
          <w:color w:val="auto"/>
          <w:u w:val="single"/>
        </w:rPr>
        <w:t>Úgynevezett „s</w:t>
      </w:r>
      <w:r w:rsidRPr="00C931E0">
        <w:rPr>
          <w:b/>
          <w:color w:val="auto"/>
          <w:u w:val="single"/>
        </w:rPr>
        <w:t>zabad</w:t>
      </w:r>
      <w:r>
        <w:rPr>
          <w:b/>
          <w:color w:val="auto"/>
          <w:u w:val="single"/>
        </w:rPr>
        <w:t>”</w:t>
      </w:r>
      <w:r w:rsidRPr="00C931E0">
        <w:rPr>
          <w:b/>
          <w:color w:val="auto"/>
          <w:u w:val="single"/>
        </w:rPr>
        <w:t xml:space="preserve"> maradvány</w:t>
      </w:r>
      <w:r>
        <w:rPr>
          <w:b/>
          <w:color w:val="auto"/>
          <w:u w:val="single"/>
        </w:rPr>
        <w:t xml:space="preserve"> összegek, melyek </w:t>
      </w:r>
      <w:r w:rsidRPr="00C931E0">
        <w:rPr>
          <w:b/>
          <w:color w:val="auto"/>
          <w:u w:val="single"/>
        </w:rPr>
        <w:t>indokolt feladatokkal, közgyűlési és bizottsági határozatokkal</w:t>
      </w:r>
      <w:r w:rsidR="0094603E">
        <w:rPr>
          <w:b/>
          <w:color w:val="auto"/>
          <w:u w:val="single"/>
        </w:rPr>
        <w:t xml:space="preserve"> </w:t>
      </w:r>
      <w:r w:rsidRPr="00C931E0">
        <w:rPr>
          <w:b/>
          <w:color w:val="auto"/>
          <w:u w:val="single"/>
        </w:rPr>
        <w:t>alátámasztott tételek</w:t>
      </w:r>
      <w:r>
        <w:rPr>
          <w:b/>
          <w:color w:val="auto"/>
          <w:u w:val="single"/>
        </w:rPr>
        <w:t>, így az intézmények részére történő visszaengedélyezés</w:t>
      </w:r>
      <w:r w:rsidR="0094603E">
        <w:rPr>
          <w:b/>
          <w:color w:val="auto"/>
          <w:u w:val="single"/>
        </w:rPr>
        <w:t>ük</w:t>
      </w:r>
      <w:r>
        <w:rPr>
          <w:b/>
          <w:color w:val="auto"/>
          <w:u w:val="single"/>
        </w:rPr>
        <w:t xml:space="preserve">re teszünk javaslatot. </w:t>
      </w:r>
    </w:p>
    <w:p w:rsidR="00A20FC6" w:rsidRPr="00FB3C14" w:rsidRDefault="00A20FC6" w:rsidP="0012247A">
      <w:pPr>
        <w:pStyle w:val="Szvegtrzs3"/>
        <w:ind w:left="426" w:hanging="426"/>
        <w:rPr>
          <w:color w:val="auto"/>
        </w:rPr>
      </w:pPr>
    </w:p>
    <w:p w:rsidR="00A20FC6" w:rsidRPr="00FB3C14" w:rsidRDefault="00A20FC6" w:rsidP="00A20FC6">
      <w:pPr>
        <w:pStyle w:val="Szvegtrzs3"/>
        <w:numPr>
          <w:ilvl w:val="0"/>
          <w:numId w:val="3"/>
        </w:numPr>
        <w:rPr>
          <w:color w:val="auto"/>
        </w:rPr>
      </w:pPr>
      <w:r w:rsidRPr="00FB3C14">
        <w:rPr>
          <w:color w:val="auto"/>
        </w:rPr>
        <w:t xml:space="preserve">Az </w:t>
      </w:r>
      <w:r w:rsidRPr="00FB3C14">
        <w:rPr>
          <w:b/>
          <w:i/>
          <w:color w:val="auto"/>
        </w:rPr>
        <w:t>Óvodáknak</w:t>
      </w:r>
      <w:r w:rsidRPr="00FB3C14">
        <w:rPr>
          <w:color w:val="auto"/>
        </w:rPr>
        <w:t xml:space="preserve"> összesen </w:t>
      </w:r>
      <w:r>
        <w:rPr>
          <w:color w:val="auto"/>
        </w:rPr>
        <w:t>84.692</w:t>
      </w:r>
      <w:r w:rsidRPr="00FB3C14">
        <w:rPr>
          <w:color w:val="auto"/>
        </w:rPr>
        <w:t xml:space="preserve"> eFt összegben javasoljuk a szabad maradványok visszaengedélyezését, melyek a következő tételekből tevődnek össze: </w:t>
      </w:r>
    </w:p>
    <w:p w:rsidR="00A20FC6" w:rsidRPr="00FB3C14" w:rsidRDefault="00A20FC6" w:rsidP="005F47D4">
      <w:pPr>
        <w:pStyle w:val="Szvegtrzs3"/>
        <w:numPr>
          <w:ilvl w:val="0"/>
          <w:numId w:val="5"/>
        </w:numPr>
        <w:ind w:left="1134" w:hanging="425"/>
        <w:rPr>
          <w:color w:val="auto"/>
        </w:rPr>
      </w:pPr>
      <w:r>
        <w:rPr>
          <w:color w:val="auto"/>
        </w:rPr>
        <w:t xml:space="preserve">Az óvodákban a szakmai feladat ellátásához kapcsolódó szolgáltatások </w:t>
      </w:r>
      <w:r w:rsidRPr="00FB3C14">
        <w:rPr>
          <w:color w:val="auto"/>
        </w:rPr>
        <w:t>(idegen nyelvoktatás, zeneovi, korcsolyaoktatás, úszásoktatás, gyermektánc, gyermektorna) maradvány</w:t>
      </w:r>
      <w:r>
        <w:rPr>
          <w:color w:val="auto"/>
        </w:rPr>
        <w:t xml:space="preserve">ainak összegei, melyek a következő évre áthúzódó, a fentiekben megnevezett célokra kerülnek felhasználásra. </w:t>
      </w:r>
      <w:r w:rsidRPr="00FB3C14">
        <w:rPr>
          <w:color w:val="auto"/>
        </w:rPr>
        <w:t xml:space="preserve"> </w:t>
      </w:r>
    </w:p>
    <w:p w:rsidR="00A20FC6" w:rsidRDefault="00A20FC6" w:rsidP="005F47D4">
      <w:pPr>
        <w:pStyle w:val="Szvegtrzs3"/>
        <w:numPr>
          <w:ilvl w:val="0"/>
          <w:numId w:val="5"/>
        </w:numPr>
        <w:ind w:left="1134" w:hanging="425"/>
        <w:rPr>
          <w:color w:val="auto"/>
        </w:rPr>
      </w:pPr>
      <w:r w:rsidRPr="00FB3C14">
        <w:rPr>
          <w:color w:val="auto"/>
        </w:rPr>
        <w:t>Közgyűlési és bizottsági határozatok alapján konkrét célra, feladatokra biztosított pénzeszközök maradványai</w:t>
      </w:r>
      <w:r>
        <w:rPr>
          <w:color w:val="auto"/>
        </w:rPr>
        <w:t>, melyek alapvetően</w:t>
      </w:r>
      <w:r w:rsidRPr="00FB3C14">
        <w:rPr>
          <w:color w:val="auto"/>
        </w:rPr>
        <w:t xml:space="preserve"> felújítási </w:t>
      </w:r>
      <w:r>
        <w:rPr>
          <w:color w:val="auto"/>
        </w:rPr>
        <w:t>és felhalmozási tételek és</w:t>
      </w:r>
      <w:r w:rsidRPr="00FB3C14">
        <w:rPr>
          <w:color w:val="auto"/>
        </w:rPr>
        <w:t xml:space="preserve"> eszközbeszerzések. </w:t>
      </w:r>
    </w:p>
    <w:p w:rsidR="00A20FC6" w:rsidRPr="00FB3C14" w:rsidRDefault="00A20FC6" w:rsidP="00A20FC6">
      <w:pPr>
        <w:pStyle w:val="Szvegtrzs3"/>
        <w:ind w:left="1637"/>
        <w:rPr>
          <w:color w:val="auto"/>
        </w:rPr>
      </w:pPr>
    </w:p>
    <w:p w:rsidR="00A20FC6" w:rsidRDefault="00A20FC6" w:rsidP="00A20FC6">
      <w:pPr>
        <w:pStyle w:val="Szvegtrzs3"/>
        <w:numPr>
          <w:ilvl w:val="0"/>
          <w:numId w:val="3"/>
        </w:numPr>
        <w:rPr>
          <w:color w:val="auto"/>
        </w:rPr>
      </w:pPr>
      <w:r w:rsidRPr="00C44A84">
        <w:rPr>
          <w:color w:val="auto"/>
        </w:rPr>
        <w:t xml:space="preserve">A </w:t>
      </w:r>
      <w:r w:rsidRPr="00C44A84">
        <w:rPr>
          <w:b/>
          <w:i/>
          <w:color w:val="auto"/>
        </w:rPr>
        <w:t>Szombathelyi Köznevelési GAMESZ</w:t>
      </w:r>
      <w:r w:rsidRPr="00C44A84">
        <w:rPr>
          <w:color w:val="auto"/>
        </w:rPr>
        <w:t xml:space="preserve"> számára összesen </w:t>
      </w:r>
      <w:r>
        <w:rPr>
          <w:color w:val="auto"/>
        </w:rPr>
        <w:t>6</w:t>
      </w:r>
      <w:r w:rsidRPr="00C44A84">
        <w:rPr>
          <w:color w:val="auto"/>
        </w:rPr>
        <w:t>7.</w:t>
      </w:r>
      <w:r>
        <w:rPr>
          <w:color w:val="auto"/>
        </w:rPr>
        <w:t>993</w:t>
      </w:r>
      <w:r w:rsidRPr="00C44A84">
        <w:rPr>
          <w:color w:val="auto"/>
        </w:rPr>
        <w:t xml:space="preserve"> eFt összegben javasoljuk a szabad maradványok visszaengedélyezését, az alábbi tételek tekintetében: </w:t>
      </w:r>
    </w:p>
    <w:p w:rsidR="00A20FC6" w:rsidRDefault="00A20FC6" w:rsidP="00A20FC6">
      <w:pPr>
        <w:pStyle w:val="Szvegtrzs3"/>
        <w:numPr>
          <w:ilvl w:val="0"/>
          <w:numId w:val="5"/>
        </w:numPr>
        <w:ind w:left="1134"/>
        <w:rPr>
          <w:color w:val="auto"/>
        </w:rPr>
      </w:pPr>
      <w:r w:rsidRPr="00C44A84">
        <w:rPr>
          <w:color w:val="auto"/>
        </w:rPr>
        <w:t>Bizottsági határozatok alapján konkrét célra, feladatokra biztosított pénzeszközök maradványai – minden óvoda tekintetében: pedagógus továbbképzés maradványa, sajátos nevelési igényű tanulók oktatási</w:t>
      </w:r>
      <w:r>
        <w:rPr>
          <w:color w:val="auto"/>
        </w:rPr>
        <w:t xml:space="preserve"> kiadásainak </w:t>
      </w:r>
      <w:r w:rsidRPr="00C44A84">
        <w:rPr>
          <w:color w:val="auto"/>
        </w:rPr>
        <w:t>maradványa, óvodapedagógiai napok kiadásai,</w:t>
      </w:r>
      <w:r w:rsidRPr="005506AF">
        <w:rPr>
          <w:color w:val="auto"/>
        </w:rPr>
        <w:t xml:space="preserve"> </w:t>
      </w:r>
      <w:r w:rsidRPr="00C44A84">
        <w:rPr>
          <w:color w:val="auto"/>
        </w:rPr>
        <w:t xml:space="preserve">óvodai udvari játékok karbantartása, vezetők találkozójának költségei, óvodavezetők munkaközösségének kiadásai maradvány összesen </w:t>
      </w:r>
      <w:r>
        <w:rPr>
          <w:color w:val="auto"/>
        </w:rPr>
        <w:t>12.334</w:t>
      </w:r>
      <w:r w:rsidRPr="00C44A84">
        <w:rPr>
          <w:color w:val="auto"/>
        </w:rPr>
        <w:t xml:space="preserve"> eFt. </w:t>
      </w:r>
    </w:p>
    <w:p w:rsidR="00A20FC6" w:rsidRDefault="00A20FC6" w:rsidP="00A20FC6">
      <w:pPr>
        <w:pStyle w:val="Szvegtrzs3"/>
        <w:numPr>
          <w:ilvl w:val="0"/>
          <w:numId w:val="5"/>
        </w:numPr>
        <w:ind w:left="1134"/>
        <w:rPr>
          <w:color w:val="auto"/>
        </w:rPr>
      </w:pPr>
      <w:r>
        <w:rPr>
          <w:color w:val="auto"/>
        </w:rPr>
        <w:t>A szabad maradvány összegéből a következő felújítási tételek megvalósítása történik meg: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>Gazdag Erzsi Óvoda csapadékcsatorna építése,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>Maros Óvoda külső előlépcsők szintbehozása és hátvédő kosaras létra elhely</w:t>
      </w:r>
      <w:r w:rsidR="0013514E">
        <w:rPr>
          <w:color w:val="auto"/>
        </w:rPr>
        <w:t>e</w:t>
      </w:r>
      <w:r>
        <w:rPr>
          <w:color w:val="auto"/>
        </w:rPr>
        <w:t>zése,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>Mesevár Óvoda meglévő kerítés bontása és új kerítés építése,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Barátság Óvoda tetőjavítás,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Hétszínvirág Óvoda tereprendezés,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lastRenderedPageBreak/>
        <w:t>4 óvoda (Donászy, Mesevár, Napsugár, Mocorgó Óvodák) párakapuk telepítése,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Mocorgó Óvoda ivókút létesítése,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Vadvirág Óvoda járólapozási munkák, lapostető felújítás,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Hétszínvirág Óvoda udvari játékok beszerzése,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Gazdag Erzsi Óvoda kerítés felújítás,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Kőrösi Óvoda kresz pálya felújításának II. üteme, </w:t>
      </w:r>
    </w:p>
    <w:p w:rsidR="00A20FC6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GAMESZ épületében akadálymentes illemhely kialakítása, </w:t>
      </w:r>
    </w:p>
    <w:p w:rsidR="00A20FC6" w:rsidRPr="00C44A84" w:rsidRDefault="00A20FC6" w:rsidP="00A20FC6">
      <w:pPr>
        <w:pStyle w:val="Szvegtrzs3"/>
        <w:numPr>
          <w:ilvl w:val="4"/>
          <w:numId w:val="7"/>
        </w:numPr>
        <w:rPr>
          <w:color w:val="auto"/>
        </w:rPr>
      </w:pPr>
      <w:r>
        <w:rPr>
          <w:color w:val="auto"/>
        </w:rPr>
        <w:t xml:space="preserve">Benczúr Óvoda kerítésáthelyezése.  </w:t>
      </w:r>
    </w:p>
    <w:p w:rsidR="00A20FC6" w:rsidRDefault="00A20FC6" w:rsidP="00A20FC6">
      <w:pPr>
        <w:pStyle w:val="Szvegtrzs"/>
        <w:ind w:left="1637"/>
      </w:pPr>
    </w:p>
    <w:p w:rsidR="00A20FC6" w:rsidRDefault="00A20FC6" w:rsidP="009424C0">
      <w:pPr>
        <w:pStyle w:val="Szvegtrzs"/>
        <w:numPr>
          <w:ilvl w:val="0"/>
          <w:numId w:val="3"/>
        </w:numPr>
        <w:ind w:left="1134" w:hanging="425"/>
      </w:pPr>
      <w:r>
        <w:t xml:space="preserve">Az </w:t>
      </w:r>
      <w:r>
        <w:rPr>
          <w:b/>
          <w:i/>
        </w:rPr>
        <w:t xml:space="preserve">Egyesített Bölcsődei Intézmény </w:t>
      </w:r>
      <w:r>
        <w:t>személyi juttatások kiadásainak maradványa kerül visszaengedélyezésre 4.598 eFt összegben, mely 1</w:t>
      </w:r>
      <w:r w:rsidR="0094603E">
        <w:t xml:space="preserve"> </w:t>
      </w:r>
      <w:r>
        <w:t xml:space="preserve">fő dolgozó végkielégítésének kifizetésével kapcsolatos kiadások fedezetéül szolgál. </w:t>
      </w:r>
    </w:p>
    <w:p w:rsidR="00A20FC6" w:rsidRDefault="00A20FC6" w:rsidP="009424C0">
      <w:pPr>
        <w:pStyle w:val="Szvegtrzs"/>
        <w:ind w:left="1134" w:hanging="425"/>
      </w:pPr>
    </w:p>
    <w:p w:rsidR="00A20FC6" w:rsidRPr="00D06020" w:rsidRDefault="00A20FC6" w:rsidP="009424C0">
      <w:pPr>
        <w:pStyle w:val="Szvegtrzs"/>
        <w:numPr>
          <w:ilvl w:val="0"/>
          <w:numId w:val="3"/>
        </w:numPr>
        <w:ind w:left="1134" w:hanging="425"/>
        <w:rPr>
          <w:b/>
          <w:i/>
        </w:rPr>
      </w:pPr>
      <w:r w:rsidRPr="00E03574">
        <w:t xml:space="preserve">A </w:t>
      </w:r>
      <w:r w:rsidRPr="00E03574">
        <w:rPr>
          <w:b/>
          <w:i/>
        </w:rPr>
        <w:t>Polgármesteri Hivatal</w:t>
      </w:r>
      <w:r>
        <w:rPr>
          <w:b/>
          <w:i/>
        </w:rPr>
        <w:t xml:space="preserve"> </w:t>
      </w:r>
      <w:r w:rsidRPr="00D06020">
        <w:t xml:space="preserve">esetében </w:t>
      </w:r>
      <w:r>
        <w:t xml:space="preserve">a szabad </w:t>
      </w:r>
      <w:r w:rsidRPr="00E03574">
        <w:t xml:space="preserve">maradvány összegének visszaengedélyezése </w:t>
      </w:r>
      <w:r>
        <w:t>s</w:t>
      </w:r>
      <w:r w:rsidRPr="00E03574">
        <w:t>zemélyi juttatások és a járulék</w:t>
      </w:r>
      <w:r>
        <w:t>ai,</w:t>
      </w:r>
      <w:r w:rsidRPr="00E03574">
        <w:t xml:space="preserve"> valamint a dologi kiadások</w:t>
      </w:r>
      <w:r>
        <w:t>on keletkezett maradvány összegek visszaengedélyezését jelenti</w:t>
      </w:r>
      <w:r w:rsidRPr="00E03574">
        <w:t xml:space="preserve"> </w:t>
      </w:r>
      <w:r>
        <w:t>mindösszesen</w:t>
      </w:r>
      <w:r w:rsidRPr="00E03574">
        <w:t xml:space="preserve"> 97.621 eFt</w:t>
      </w:r>
      <w:r>
        <w:t xml:space="preserve"> összegben. </w:t>
      </w:r>
    </w:p>
    <w:p w:rsidR="00A20FC6" w:rsidRPr="004252CF" w:rsidRDefault="00A20FC6" w:rsidP="009424C0">
      <w:pPr>
        <w:pStyle w:val="Szvegtrzs"/>
        <w:ind w:left="1134"/>
        <w:rPr>
          <w:b/>
          <w:i/>
        </w:rPr>
      </w:pPr>
      <w:r>
        <w:t xml:space="preserve">Indoka: </w:t>
      </w:r>
      <w:r w:rsidRPr="00E03574">
        <w:t>projektekkel kapcsolatos kiadások</w:t>
      </w:r>
      <w:r>
        <w:t xml:space="preserve"> (menedzsmenti díjak) összegeinek</w:t>
      </w:r>
      <w:r w:rsidR="002D20EA">
        <w:t xml:space="preserve"> b</w:t>
      </w:r>
      <w:r>
        <w:t>iztosítása</w:t>
      </w:r>
      <w:r w:rsidRPr="00E03574">
        <w:t xml:space="preserve"> valamint a KSH</w:t>
      </w:r>
      <w:r>
        <w:t xml:space="preserve"> által a</w:t>
      </w:r>
      <w:r w:rsidRPr="00E03574">
        <w:t xml:space="preserve"> népszámlálás</w:t>
      </w:r>
      <w:r>
        <w:t xml:space="preserve">hoz kapott </w:t>
      </w:r>
      <w:r w:rsidRPr="00E03574">
        <w:t>támogatási összeg</w:t>
      </w:r>
      <w:r>
        <w:t>ből finanszírozandó kiadások biztosítása.</w:t>
      </w:r>
    </w:p>
    <w:p w:rsidR="0012247A" w:rsidRDefault="00A20FC6" w:rsidP="00A20FC6">
      <w:pPr>
        <w:pStyle w:val="Szvegtrzs3"/>
        <w:tabs>
          <w:tab w:val="left" w:pos="1134"/>
        </w:tabs>
        <w:ind w:left="720"/>
        <w:rPr>
          <w:color w:val="auto"/>
        </w:rPr>
      </w:pPr>
      <w:r w:rsidRPr="00E03574">
        <w:rPr>
          <w:color w:val="auto"/>
        </w:rPr>
        <w:t xml:space="preserve">  </w:t>
      </w:r>
    </w:p>
    <w:p w:rsidR="00A20FC6" w:rsidRPr="00E03574" w:rsidRDefault="00A20FC6" w:rsidP="00A20FC6">
      <w:pPr>
        <w:pStyle w:val="Szvegtrzs3"/>
        <w:tabs>
          <w:tab w:val="left" w:pos="1134"/>
        </w:tabs>
        <w:ind w:left="720"/>
        <w:rPr>
          <w:color w:val="auto"/>
        </w:rPr>
      </w:pPr>
      <w:r w:rsidRPr="00E03574">
        <w:rPr>
          <w:color w:val="auto"/>
        </w:rPr>
        <w:t xml:space="preserve">                                                                                     </w:t>
      </w:r>
    </w:p>
    <w:p w:rsidR="00A20FC6" w:rsidRPr="00FB3C14" w:rsidRDefault="00A20FC6" w:rsidP="00A20FC6">
      <w:pPr>
        <w:pStyle w:val="Szvegtrzs3"/>
        <w:numPr>
          <w:ilvl w:val="0"/>
          <w:numId w:val="4"/>
        </w:numPr>
        <w:rPr>
          <w:b/>
          <w:color w:val="auto"/>
          <w:u w:val="single"/>
        </w:rPr>
      </w:pPr>
      <w:r>
        <w:rPr>
          <w:b/>
          <w:color w:val="auto"/>
          <w:u w:val="single"/>
        </w:rPr>
        <w:t>A „szabad” m</w:t>
      </w:r>
      <w:r w:rsidRPr="00FB3C14">
        <w:rPr>
          <w:b/>
          <w:color w:val="auto"/>
          <w:u w:val="single"/>
        </w:rPr>
        <w:t xml:space="preserve">aradvány </w:t>
      </w:r>
      <w:r>
        <w:rPr>
          <w:b/>
          <w:color w:val="auto"/>
          <w:u w:val="single"/>
        </w:rPr>
        <w:t xml:space="preserve">összegek, melyek </w:t>
      </w:r>
      <w:r w:rsidRPr="00FB3C14">
        <w:rPr>
          <w:b/>
          <w:color w:val="auto"/>
          <w:u w:val="single"/>
        </w:rPr>
        <w:t>elvonás</w:t>
      </w:r>
      <w:r>
        <w:rPr>
          <w:b/>
          <w:color w:val="auto"/>
          <w:u w:val="single"/>
        </w:rPr>
        <w:t>ra kerülnek, mivel az A.) és B.) pontokban meghatározott szabályok szerinti kötelezettségvállalásnak nem tekinthetőek</w:t>
      </w:r>
    </w:p>
    <w:p w:rsidR="00A20FC6" w:rsidRPr="00FB3C14" w:rsidRDefault="00A20FC6" w:rsidP="00A20FC6">
      <w:pPr>
        <w:pStyle w:val="Szvegtrzs3"/>
      </w:pPr>
    </w:p>
    <w:p w:rsidR="00A20FC6" w:rsidRDefault="00A20FC6" w:rsidP="00A20FC6">
      <w:pPr>
        <w:pStyle w:val="Szvegtrzs"/>
        <w:numPr>
          <w:ilvl w:val="0"/>
          <w:numId w:val="6"/>
        </w:numPr>
        <w:ind w:left="1080"/>
      </w:pPr>
      <w:r w:rsidRPr="00FB3C14">
        <w:t xml:space="preserve">Az </w:t>
      </w:r>
      <w:r w:rsidRPr="004C6CEC">
        <w:rPr>
          <w:b/>
          <w:i/>
        </w:rPr>
        <w:t>Óvodáknál</w:t>
      </w:r>
      <w:r w:rsidRPr="00FB3C14">
        <w:t xml:space="preserve"> betervezett, de felhasználásra nem kerü</w:t>
      </w:r>
      <w:r>
        <w:t xml:space="preserve">lt felmentési időre jutó bérek összegei, </w:t>
      </w:r>
      <w:r w:rsidRPr="00FB3C14">
        <w:t>fel nem használt jubileumi jutalom maradványa, közlekedési költségtérítés maradványa</w:t>
      </w:r>
      <w:r>
        <w:t xml:space="preserve">, valamint a járulékok maradványa </w:t>
      </w:r>
      <w:r w:rsidRPr="00FB3C14">
        <w:t xml:space="preserve">összesen </w:t>
      </w:r>
      <w:r>
        <w:t>32.670</w:t>
      </w:r>
      <w:r w:rsidRPr="00FB3C14">
        <w:t xml:space="preserve"> eFt ö</w:t>
      </w:r>
      <w:r>
        <w:t>sszegben.</w:t>
      </w:r>
    </w:p>
    <w:p w:rsidR="00A20FC6" w:rsidRDefault="00A20FC6" w:rsidP="00A20FC6">
      <w:pPr>
        <w:pStyle w:val="Szvegtrzs"/>
        <w:ind w:left="1080"/>
      </w:pPr>
    </w:p>
    <w:p w:rsidR="00A20FC6" w:rsidRPr="004D499B" w:rsidRDefault="00A20FC6" w:rsidP="00A20FC6">
      <w:pPr>
        <w:pStyle w:val="Szvegtrzs"/>
        <w:numPr>
          <w:ilvl w:val="0"/>
          <w:numId w:val="6"/>
        </w:numPr>
        <w:ind w:left="1134" w:hanging="425"/>
        <w:rPr>
          <w:b/>
          <w:i/>
        </w:rPr>
      </w:pPr>
      <w:r>
        <w:t xml:space="preserve">A </w:t>
      </w:r>
      <w:r w:rsidRPr="004D499B">
        <w:rPr>
          <w:b/>
          <w:i/>
        </w:rPr>
        <w:t xml:space="preserve">Szombathelyi Köznevelési GAMESZ-nél </w:t>
      </w:r>
      <w:r>
        <w:t xml:space="preserve">a </w:t>
      </w:r>
      <w:r w:rsidRPr="00342F89">
        <w:t>betervezett, de felhasználásra nem került felmentési időre jutó bérek összegei,</w:t>
      </w:r>
      <w:r w:rsidRPr="004D499B">
        <w:t xml:space="preserve"> </w:t>
      </w:r>
      <w:r w:rsidRPr="00FB3C14">
        <w:t>közlekedési költségtérítés</w:t>
      </w:r>
      <w:r>
        <w:t xml:space="preserve"> maradványa,</w:t>
      </w:r>
      <w:r w:rsidRPr="004D499B">
        <w:t xml:space="preserve"> </w:t>
      </w:r>
      <w:r>
        <w:t>sajátos nevelési igényű gyermekek ellátásával kapcsolatos megbízási díjak maradványa,</w:t>
      </w:r>
      <w:r w:rsidRPr="004D499B">
        <w:t xml:space="preserve"> </w:t>
      </w:r>
      <w:r>
        <w:t xml:space="preserve">pedagógus továbbképzés összegének maradványa, rehabilitációs hozzájárulás maradványa mindösszesen 24.728 eFt összegben. Továbbá </w:t>
      </w:r>
      <w:r w:rsidR="003329B1">
        <w:t xml:space="preserve">elvonásra kerül </w:t>
      </w:r>
      <w:r>
        <w:t>a dologi kiadások maradványaként a veszélyhelyzet miatti vásárolt élelmezéssel összefüggő és a közüzemi kiadások 107.452 eFt összegű megtakarítás</w:t>
      </w:r>
      <w:r w:rsidR="003329B1">
        <w:t>a</w:t>
      </w:r>
      <w:r>
        <w:t>.</w:t>
      </w:r>
    </w:p>
    <w:p w:rsidR="00A20FC6" w:rsidRPr="004D499B" w:rsidRDefault="00A20FC6" w:rsidP="00A20FC6">
      <w:pPr>
        <w:pStyle w:val="Szvegtrzs"/>
        <w:ind w:left="1134"/>
        <w:rPr>
          <w:b/>
          <w:i/>
        </w:rPr>
      </w:pPr>
    </w:p>
    <w:p w:rsidR="00A20FC6" w:rsidRPr="00C23D73" w:rsidRDefault="00A20FC6" w:rsidP="00A20FC6">
      <w:pPr>
        <w:pStyle w:val="Szvegtrzs"/>
        <w:numPr>
          <w:ilvl w:val="0"/>
          <w:numId w:val="6"/>
        </w:numPr>
        <w:ind w:left="1134"/>
        <w:rPr>
          <w:b/>
          <w:i/>
        </w:rPr>
      </w:pPr>
      <w:r>
        <w:t xml:space="preserve">A </w:t>
      </w:r>
      <w:r w:rsidRPr="00C23D73">
        <w:rPr>
          <w:b/>
          <w:i/>
        </w:rPr>
        <w:t>Savaria Szimfonikus Zenekarnál</w:t>
      </w:r>
      <w:r>
        <w:t xml:space="preserve"> az évadtervben a veszélyhelyzet miatt nem megvalósítható programok elmaradásából keletkezett maradvány összegek, a véglegesen elmaradt rendezvények maradvány összegei, és a zárt ajtók mellett csökkentett költségvetési igényű közvetítéssel megrendezett programok maradvány összegei kerülnek elvonásra összesen 32.000 eFt összegben. </w:t>
      </w:r>
    </w:p>
    <w:p w:rsidR="00A20FC6" w:rsidRPr="00C239F0" w:rsidRDefault="00A20FC6" w:rsidP="00A20FC6">
      <w:pPr>
        <w:pStyle w:val="Szvegtrzs"/>
        <w:ind w:left="1134"/>
        <w:rPr>
          <w:b/>
          <w:i/>
        </w:rPr>
      </w:pPr>
    </w:p>
    <w:p w:rsidR="00A20FC6" w:rsidRPr="00C23D73" w:rsidRDefault="00A20FC6" w:rsidP="00A20FC6">
      <w:pPr>
        <w:pStyle w:val="Szvegtrzs"/>
        <w:numPr>
          <w:ilvl w:val="0"/>
          <w:numId w:val="6"/>
        </w:numPr>
        <w:ind w:left="1134"/>
        <w:rPr>
          <w:b/>
          <w:i/>
        </w:rPr>
      </w:pPr>
      <w:r w:rsidRPr="00C239F0">
        <w:rPr>
          <w:b/>
          <w:i/>
        </w:rPr>
        <w:t xml:space="preserve">Berzsenyi Dániel Megyei Hatókörű Városi Könyvtár </w:t>
      </w:r>
      <w:r>
        <w:t>veszélyhelyzet miatt elmaradt rendezvények személyi kifizetéseinek maradványa 8.117 eFt összegben kerül elvonásra</w:t>
      </w:r>
      <w:r w:rsidRPr="00FB3C14">
        <w:t>.</w:t>
      </w:r>
    </w:p>
    <w:p w:rsidR="00A20FC6" w:rsidRDefault="00A20FC6" w:rsidP="00A20FC6">
      <w:pPr>
        <w:pStyle w:val="Listaszerbekezds"/>
        <w:rPr>
          <w:b/>
          <w:i/>
        </w:rPr>
      </w:pPr>
    </w:p>
    <w:p w:rsidR="00A20FC6" w:rsidRPr="00C23D73" w:rsidRDefault="00A20FC6" w:rsidP="00A20FC6">
      <w:pPr>
        <w:pStyle w:val="Szvegtrzs"/>
        <w:numPr>
          <w:ilvl w:val="0"/>
          <w:numId w:val="6"/>
        </w:numPr>
        <w:ind w:left="1080"/>
        <w:rPr>
          <w:b/>
          <w:i/>
        </w:rPr>
      </w:pPr>
      <w:r w:rsidRPr="00FB3C14">
        <w:lastRenderedPageBreak/>
        <w:t xml:space="preserve">A </w:t>
      </w:r>
      <w:r w:rsidRPr="009E7DF6">
        <w:rPr>
          <w:b/>
          <w:i/>
        </w:rPr>
        <w:t>Pálos Károly Szociális Szolgáltató Központ és Gyermekjóléti Szolgálat</w:t>
      </w:r>
      <w:r>
        <w:t xml:space="preserve"> esetében táppénzes állomány miatt keletkezett személyi juttatások és járulékainak maradványa, átmenetileg üres álláshelyek következtében a bérmaradvány összege, a közlekedési költségtérítés maradvány összege, a rehabilitációs hozzájárulás maradvány összege került elvonásra mindösszesen 31.003 eFt. </w:t>
      </w:r>
    </w:p>
    <w:p w:rsidR="00A20FC6" w:rsidRPr="00C23D73" w:rsidRDefault="00A20FC6" w:rsidP="00A20FC6">
      <w:pPr>
        <w:pStyle w:val="Szvegtrzs"/>
        <w:ind w:left="1080"/>
        <w:rPr>
          <w:b/>
          <w:i/>
        </w:rPr>
      </w:pPr>
    </w:p>
    <w:p w:rsidR="00A20FC6" w:rsidRDefault="00A20FC6" w:rsidP="00A20FC6">
      <w:pPr>
        <w:pStyle w:val="Szvegtrzs"/>
        <w:numPr>
          <w:ilvl w:val="0"/>
          <w:numId w:val="6"/>
        </w:numPr>
        <w:ind w:left="1080"/>
      </w:pPr>
      <w:r w:rsidRPr="00FB3C14">
        <w:t xml:space="preserve">Az </w:t>
      </w:r>
      <w:r>
        <w:rPr>
          <w:b/>
          <w:i/>
        </w:rPr>
        <w:t xml:space="preserve">Szombathelyi Egészségügyi és Kulturális Intézmények Gazdasági Ellátó Szervezeténél </w:t>
      </w:r>
      <w:r>
        <w:t>az elvonásra javasolt tételek a következőek:</w:t>
      </w:r>
    </w:p>
    <w:p w:rsidR="00A20FC6" w:rsidRDefault="00A20FC6" w:rsidP="00A20FC6">
      <w:pPr>
        <w:pStyle w:val="Szvegtrzs"/>
        <w:numPr>
          <w:ilvl w:val="3"/>
          <w:numId w:val="8"/>
        </w:numPr>
      </w:pPr>
      <w:r>
        <w:t xml:space="preserve">A Központi Orvosi Ügyelet költségvetésben tervezett finanszírozása önkormányzati támogatás biztosítását is igényelte, azonban 2021. év közben a bérek kiegészítésére a NEAK támogatást nyújtott, így a „felszabadult” önkormányzati támogatási összeg elvonásra kerül. (24.000 eFt) </w:t>
      </w:r>
    </w:p>
    <w:p w:rsidR="00A20FC6" w:rsidRDefault="00A20FC6" w:rsidP="00A20FC6">
      <w:pPr>
        <w:pStyle w:val="Szvegtrzs"/>
        <w:numPr>
          <w:ilvl w:val="3"/>
          <w:numId w:val="8"/>
        </w:numPr>
      </w:pPr>
      <w:r>
        <w:t xml:space="preserve">A Központi Orvosi Ügyelet kialakítására kapott önkormányzati támogatás fel nem használt összege (a tervezettnél kedvezőbb árajánlatok, gazdaságosabb megvalósítási megoldások miatt) elvonásra kerül. (11.676 eFt) </w:t>
      </w:r>
    </w:p>
    <w:p w:rsidR="00A20FC6" w:rsidRDefault="00A20FC6" w:rsidP="00A20FC6">
      <w:pPr>
        <w:pStyle w:val="Szvegtrzs"/>
        <w:numPr>
          <w:ilvl w:val="3"/>
          <w:numId w:val="8"/>
        </w:numPr>
      </w:pPr>
      <w:r>
        <w:t xml:space="preserve">A fogászati ügyelet működéséhez nyújtott önkormányzati támogatás egy része kerül elvonásra 2.460 eFt összegben, mivel 2021. évben a pandémia miatt csökkentett idejű rendelési idő miatt a finanszírozáshoz elégséges volt a vidéki önkormányzatok befizetése és a NEAK támogatás. </w:t>
      </w:r>
    </w:p>
    <w:p w:rsidR="00A20FC6" w:rsidRDefault="00A20FC6" w:rsidP="00A20FC6">
      <w:pPr>
        <w:pStyle w:val="Szvegtrzs"/>
        <w:numPr>
          <w:ilvl w:val="3"/>
          <w:numId w:val="8"/>
        </w:numPr>
      </w:pPr>
      <w:r>
        <w:t xml:space="preserve">Az új Egészségügyi Alapellátó Központ üzemeltetési, fenntartási költsége a költségvetés tervezésekor nem volt ismert. A tényleges költségek kevesebbek lettek, mint a tervezettek. Így a különbözet elvonásra kerül. (27.690 eFt). </w:t>
      </w:r>
    </w:p>
    <w:p w:rsidR="00A20FC6" w:rsidRDefault="00A20FC6" w:rsidP="00A20FC6">
      <w:pPr>
        <w:pStyle w:val="Szvegtrzs"/>
        <w:numPr>
          <w:ilvl w:val="3"/>
          <w:numId w:val="8"/>
        </w:numPr>
      </w:pPr>
      <w:r>
        <w:t>Az Egészségfejlesztési Iroda működtetéséhez az Országos Kórházi Főigazgatóságtól (az intézmény költségvetésében nem tervezett bevétel) 2021. évben támogatást kapott, ezzel úgymond kiváltva a költségvetésben tervezett önkormányzati támogatás összegét. Így elvonásra kerül 34.000 eFt.</w:t>
      </w:r>
    </w:p>
    <w:p w:rsidR="00A20FC6" w:rsidRPr="00FB3C14" w:rsidRDefault="00A20FC6" w:rsidP="00A20FC6">
      <w:pPr>
        <w:pStyle w:val="Szvegtrzs"/>
        <w:ind w:left="1440"/>
      </w:pPr>
      <w:r>
        <w:t xml:space="preserve"> </w:t>
      </w:r>
    </w:p>
    <w:p w:rsidR="00A20FC6" w:rsidRPr="009774F7" w:rsidRDefault="00A20FC6" w:rsidP="00A20FC6">
      <w:pPr>
        <w:pStyle w:val="Szvegtrzs"/>
        <w:numPr>
          <w:ilvl w:val="0"/>
          <w:numId w:val="6"/>
        </w:numPr>
        <w:ind w:left="1080"/>
        <w:rPr>
          <w:b/>
          <w:i/>
        </w:rPr>
      </w:pPr>
      <w:r w:rsidRPr="005C4808">
        <w:rPr>
          <w:b/>
          <w:i/>
        </w:rPr>
        <w:t>Szombathelyi Egyesített Bölcsődei Intézmény</w:t>
      </w:r>
      <w:r>
        <w:rPr>
          <w:b/>
          <w:i/>
        </w:rPr>
        <w:t xml:space="preserve">nél </w:t>
      </w:r>
      <w:r w:rsidRPr="0094603E">
        <w:rPr>
          <w:bCs/>
          <w:iCs/>
        </w:rPr>
        <w:t>a személyi juttatások és járulékainak maradvány</w:t>
      </w:r>
      <w:r w:rsidRPr="0094603E">
        <w:rPr>
          <w:bCs/>
        </w:rPr>
        <w:t xml:space="preserve"> összege kerül elvonásra 9.049 eFt összegben. Továbbá a dologi kiadások</w:t>
      </w:r>
      <w:r>
        <w:t xml:space="preserve"> maradvány összege, amely a veszélyhelyzet miatti élelmiszer beszerzéssel kapcsolatos kiadások megtakarított összegét jelenti (4.313 eFt).</w:t>
      </w:r>
    </w:p>
    <w:p w:rsidR="00A20FC6" w:rsidRPr="002F4DD7" w:rsidRDefault="00A20FC6" w:rsidP="00A20FC6">
      <w:pPr>
        <w:pStyle w:val="Szvegtrzs"/>
        <w:ind w:left="1080"/>
        <w:rPr>
          <w:b/>
          <w:i/>
        </w:rPr>
      </w:pPr>
    </w:p>
    <w:p w:rsidR="00A20FC6" w:rsidRPr="005C4808" w:rsidRDefault="00A20FC6" w:rsidP="00A20FC6">
      <w:pPr>
        <w:pStyle w:val="Szvegtrzs"/>
        <w:numPr>
          <w:ilvl w:val="0"/>
          <w:numId w:val="6"/>
        </w:numPr>
        <w:ind w:left="1080"/>
        <w:rPr>
          <w:b/>
          <w:i/>
        </w:rPr>
      </w:pPr>
      <w:r>
        <w:t xml:space="preserve">A </w:t>
      </w:r>
      <w:r>
        <w:rPr>
          <w:b/>
          <w:i/>
        </w:rPr>
        <w:t xml:space="preserve">Polgármesteri Hivatalban </w:t>
      </w:r>
      <w:r>
        <w:t>2022. március 01. napjától az illetmények rendezésének fedezetét a 2021. évi keletkezett maradvány biztosította.</w:t>
      </w:r>
      <w:r>
        <w:rPr>
          <w:b/>
          <w:i/>
        </w:rPr>
        <w:t xml:space="preserve"> </w:t>
      </w:r>
    </w:p>
    <w:p w:rsidR="00A20FC6" w:rsidRPr="00D75FBF" w:rsidRDefault="00A20FC6" w:rsidP="00A20FC6">
      <w:pPr>
        <w:pStyle w:val="Szvegtrzs"/>
        <w:ind w:left="1080"/>
        <w:rPr>
          <w:b/>
          <w:i/>
        </w:rPr>
      </w:pPr>
    </w:p>
    <w:p w:rsidR="00A20FC6" w:rsidRPr="00FB3C14" w:rsidRDefault="00A20FC6" w:rsidP="00A20FC6">
      <w:pPr>
        <w:pStyle w:val="Szvegtrzs2"/>
        <w:tabs>
          <w:tab w:val="clear" w:pos="6300"/>
          <w:tab w:val="left" w:pos="9000"/>
        </w:tabs>
        <w:ind w:right="70"/>
        <w:rPr>
          <w:rFonts w:cs="Arial"/>
        </w:rPr>
      </w:pPr>
      <w:r w:rsidRPr="00FB3C14">
        <w:rPr>
          <w:rFonts w:cs="Arial"/>
        </w:rPr>
        <w:t>A megállapítások részletes leírása az ellenőrzési feljegyzésekben találhatóak.</w:t>
      </w:r>
    </w:p>
    <w:p w:rsidR="00A20FC6" w:rsidRPr="00FB3C14" w:rsidRDefault="00A20FC6" w:rsidP="00A20FC6">
      <w:pPr>
        <w:pStyle w:val="Szvegtrzs3"/>
        <w:rPr>
          <w:color w:val="auto"/>
        </w:rPr>
      </w:pPr>
      <w:r w:rsidRPr="00FB3C14">
        <w:rPr>
          <w:color w:val="auto"/>
        </w:rPr>
        <w:t xml:space="preserve">A jóváhagyásra javasolt maradvány összege kiemelt előirányzatonkénti visszaengedélyezését a II.sz. mellékletben foglaltak szerint javasoljuk. </w:t>
      </w:r>
    </w:p>
    <w:p w:rsidR="00A20FC6" w:rsidRPr="00FB3C14" w:rsidRDefault="00A20FC6" w:rsidP="00A20FC6">
      <w:pPr>
        <w:pStyle w:val="Szvegtrzs3"/>
        <w:rPr>
          <w:color w:val="auto"/>
        </w:rPr>
      </w:pPr>
    </w:p>
    <w:p w:rsidR="00A20FC6" w:rsidRPr="00502D3A" w:rsidRDefault="00A20FC6" w:rsidP="00A20FC6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502D3A">
        <w:rPr>
          <w:rFonts w:ascii="Arial" w:hAnsi="Arial" w:cs="Arial"/>
          <w:b/>
        </w:rPr>
        <w:t>.</w:t>
      </w:r>
    </w:p>
    <w:p w:rsidR="00A20FC6" w:rsidRDefault="00A20FC6" w:rsidP="00A20FC6">
      <w:pPr>
        <w:jc w:val="center"/>
        <w:rPr>
          <w:rFonts w:ascii="Arial" w:hAnsi="Arial" w:cs="Arial"/>
          <w:b/>
        </w:rPr>
      </w:pPr>
    </w:p>
    <w:p w:rsidR="00A20FC6" w:rsidRPr="00502D3A" w:rsidRDefault="00A20FC6" w:rsidP="00A20FC6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 Megyei Jogú Város Önkormányzatának</w:t>
      </w:r>
    </w:p>
    <w:p w:rsidR="00A20FC6" w:rsidRPr="00502D3A" w:rsidRDefault="00A20FC6" w:rsidP="00A20FC6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maradvány elszámolása (intézmények nélkül) </w:t>
      </w:r>
    </w:p>
    <w:p w:rsidR="00A20FC6" w:rsidRPr="003B16FA" w:rsidRDefault="00A20FC6" w:rsidP="00A20FC6">
      <w:pPr>
        <w:jc w:val="both"/>
        <w:rPr>
          <w:rFonts w:ascii="Arial" w:hAnsi="Arial" w:cs="Arial"/>
          <w:sz w:val="20"/>
          <w:szCs w:val="20"/>
        </w:rPr>
      </w:pP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</w:r>
      <w:r w:rsidRPr="003B16FA">
        <w:rPr>
          <w:rFonts w:ascii="Arial" w:hAnsi="Arial" w:cs="Arial"/>
          <w:sz w:val="20"/>
          <w:szCs w:val="20"/>
        </w:rPr>
        <w:tab/>
        <w:t xml:space="preserve">       ezer Ft-ban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0"/>
        <w:gridCol w:w="1269"/>
      </w:tblGrid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color w:val="000000"/>
                <w:sz w:val="20"/>
                <w:szCs w:val="20"/>
              </w:rPr>
              <w:t>01        Alaptevékenység költségvetési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22 194 434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color w:val="000000"/>
                <w:sz w:val="20"/>
                <w:szCs w:val="20"/>
              </w:rPr>
              <w:t>02        Alaptevékenység költségvetési kiadásai</w:t>
            </w:r>
          </w:p>
        </w:tc>
        <w:tc>
          <w:tcPr>
            <w:tcW w:w="126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13 141 777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         Alaptevékenység költségvetési egyenlege (=01-02)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9 052 657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color w:val="000000"/>
                <w:sz w:val="20"/>
                <w:szCs w:val="20"/>
              </w:rPr>
              <w:t>03        Alaptevékenység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8 898 793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color w:val="000000"/>
                <w:sz w:val="20"/>
                <w:szCs w:val="20"/>
              </w:rPr>
              <w:t>04        Alaptevékenység finanszírozási kiadásai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8 980 542</w:t>
            </w:r>
            <w:r w:rsidRPr="003B16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        Alaptevékenység finanszírozási egyenlege (=03-04)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oftHyphen/>
              <w:t>--81 749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A)        Alaptevékenység maradványa (=±I±II)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8 970 908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05        Vállalkozási tevékenység költségvetési bevételei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        Vállalkozási tevékenység költségvetési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        Vállalkozási tevékenység költségvetési egyenlege (=05-06)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        Vállalkozási tevékenység finanszírozási bevételei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        Vállalkozási tevékenység finanszírozási kiadásai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        Vállalkozási tevékenység finanszírozási egyenlege (=07-08)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B)        Vállalkozási tevékenység maradványa (=±III±IV)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20FC6" w:rsidRPr="003B16FA" w:rsidTr="002C0961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1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C)        Összes maradvány (=A+B)</w:t>
            </w:r>
          </w:p>
        </w:tc>
        <w:tc>
          <w:tcPr>
            <w:tcW w:w="1269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20FC6" w:rsidRPr="003B16FA" w:rsidRDefault="00A20FC6" w:rsidP="002C09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8 970 908</w:t>
            </w:r>
          </w:p>
        </w:tc>
      </w:tr>
    </w:tbl>
    <w:p w:rsidR="00A20FC6" w:rsidRDefault="002C0961" w:rsidP="00A20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  <w:r w:rsidRPr="005D3402">
        <w:rPr>
          <w:rFonts w:ascii="Arial" w:hAnsi="Arial" w:cs="Arial"/>
        </w:rPr>
        <w:t>A III.</w:t>
      </w:r>
      <w:r>
        <w:rPr>
          <w:rFonts w:ascii="Arial" w:hAnsi="Arial" w:cs="Arial"/>
        </w:rPr>
        <w:t xml:space="preserve"> </w:t>
      </w:r>
      <w:r w:rsidRPr="005D3402">
        <w:rPr>
          <w:rFonts w:ascii="Arial" w:hAnsi="Arial" w:cs="Arial"/>
        </w:rPr>
        <w:t xml:space="preserve">sz. mellékletben ágazatonként részletezett jóváhagyásra javasolt </w:t>
      </w:r>
      <w:r>
        <w:rPr>
          <w:rFonts w:ascii="Arial" w:hAnsi="Arial" w:cs="Arial"/>
        </w:rPr>
        <w:t>maradványok</w:t>
      </w:r>
      <w:r w:rsidRPr="005D3402">
        <w:rPr>
          <w:rFonts w:ascii="Arial" w:hAnsi="Arial" w:cs="Arial"/>
        </w:rPr>
        <w:t xml:space="preserve"> tartalmazzák az egyes ágazatoknál jelentkező 202</w:t>
      </w:r>
      <w:r>
        <w:rPr>
          <w:rFonts w:ascii="Arial" w:hAnsi="Arial" w:cs="Arial"/>
        </w:rPr>
        <w:t>2</w:t>
      </w:r>
      <w:r w:rsidRPr="005D3402">
        <w:rPr>
          <w:rFonts w:ascii="Arial" w:hAnsi="Arial" w:cs="Arial"/>
        </w:rPr>
        <w:t xml:space="preserve">. évre áthúzódó </w:t>
      </w:r>
      <w:r>
        <w:rPr>
          <w:rFonts w:ascii="Arial" w:hAnsi="Arial" w:cs="Arial"/>
        </w:rPr>
        <w:t>kötelezettségeket 8.506.101 eFt</w:t>
      </w:r>
      <w:r w:rsidRPr="005D3402">
        <w:rPr>
          <w:rFonts w:ascii="Arial" w:hAnsi="Arial" w:cs="Arial"/>
        </w:rPr>
        <w:t xml:space="preserve"> összeg</w:t>
      </w:r>
      <w:r>
        <w:rPr>
          <w:rFonts w:ascii="Arial" w:hAnsi="Arial" w:cs="Arial"/>
        </w:rPr>
        <w:t>ben</w:t>
      </w:r>
      <w:r w:rsidRPr="005D3402">
        <w:rPr>
          <w:rFonts w:ascii="Arial" w:hAnsi="Arial" w:cs="Arial"/>
        </w:rPr>
        <w:t>. Ezek bizottsági, közgyűlési döntéseken és 20</w:t>
      </w:r>
      <w:r>
        <w:rPr>
          <w:rFonts w:ascii="Arial" w:hAnsi="Arial" w:cs="Arial"/>
        </w:rPr>
        <w:t>21</w:t>
      </w:r>
      <w:r w:rsidRPr="005D3402">
        <w:rPr>
          <w:rFonts w:ascii="Arial" w:hAnsi="Arial" w:cs="Arial"/>
        </w:rPr>
        <w:t>. évben megkötött, illetve előkészített szerződéseken alapuló kötelezettségvállalások, valamint</w:t>
      </w:r>
      <w:r>
        <w:rPr>
          <w:rFonts w:ascii="Arial" w:hAnsi="Arial" w:cs="Arial"/>
        </w:rPr>
        <w:t xml:space="preserve"> céllal kapott pályázati pénzeszközök és</w:t>
      </w:r>
      <w:r w:rsidRPr="005D3402">
        <w:rPr>
          <w:rFonts w:ascii="Arial" w:hAnsi="Arial" w:cs="Arial"/>
        </w:rPr>
        <w:t xml:space="preserve"> előzetes kötelezettségvállalások (közbeszerzési eljárást megindító feladott hirdetmény, ajánlattételi felhívás, pályázati felhívások, támogatási szerződések általi kötelezettségvállalások) összegei, a számviteli </w:t>
      </w:r>
      <w:r>
        <w:rPr>
          <w:rFonts w:ascii="Arial" w:hAnsi="Arial" w:cs="Arial"/>
        </w:rPr>
        <w:t>kimutatások</w:t>
      </w:r>
      <w:r w:rsidRPr="005D3402">
        <w:rPr>
          <w:rFonts w:ascii="Arial" w:hAnsi="Arial" w:cs="Arial"/>
        </w:rPr>
        <w:t xml:space="preserve"> és a </w:t>
      </w:r>
      <w:r>
        <w:rPr>
          <w:rFonts w:ascii="Arial" w:hAnsi="Arial" w:cs="Arial"/>
        </w:rPr>
        <w:t xml:space="preserve">szakmai </w:t>
      </w:r>
      <w:r w:rsidRPr="005D3402">
        <w:rPr>
          <w:rFonts w:ascii="Arial" w:hAnsi="Arial" w:cs="Arial"/>
        </w:rPr>
        <w:t>osztályok javaslata alapján.</w:t>
      </w:r>
      <w:r>
        <w:rPr>
          <w:rFonts w:ascii="Arial" w:hAnsi="Arial" w:cs="Arial"/>
        </w:rPr>
        <w:t xml:space="preserve"> </w:t>
      </w:r>
    </w:p>
    <w:p w:rsidR="00A20FC6" w:rsidRDefault="00A20FC6" w:rsidP="00A20FC6">
      <w:pPr>
        <w:jc w:val="both"/>
        <w:rPr>
          <w:rFonts w:ascii="Arial" w:hAnsi="Arial" w:cs="Arial"/>
          <w:color w:val="000000"/>
        </w:rPr>
      </w:pPr>
    </w:p>
    <w:p w:rsidR="00A20FC6" w:rsidRDefault="00A20FC6" w:rsidP="00A20FC6">
      <w:pPr>
        <w:jc w:val="both"/>
      </w:pPr>
      <w:r w:rsidRPr="00502D3A">
        <w:rPr>
          <w:rFonts w:ascii="Arial" w:hAnsi="Arial" w:cs="Arial"/>
          <w:color w:val="000000"/>
        </w:rPr>
        <w:t>A 20</w:t>
      </w:r>
      <w:r>
        <w:rPr>
          <w:rFonts w:ascii="Arial" w:hAnsi="Arial" w:cs="Arial"/>
          <w:color w:val="000000"/>
        </w:rPr>
        <w:t>21</w:t>
      </w:r>
      <w:r w:rsidRPr="00502D3A">
        <w:rPr>
          <w:rFonts w:ascii="Arial" w:hAnsi="Arial" w:cs="Arial"/>
          <w:color w:val="000000"/>
        </w:rPr>
        <w:t>. évről áthúzódó kötelezettségvállalások</w:t>
      </w:r>
      <w:r>
        <w:rPr>
          <w:rFonts w:ascii="Arial" w:hAnsi="Arial" w:cs="Arial"/>
          <w:color w:val="000000"/>
        </w:rPr>
        <w:t>ra a maradvány összege fedezetet nyújt, de a rendelkezésre álló forrásokat még növeli a</w:t>
      </w:r>
      <w:r w:rsidRPr="00502D3A">
        <w:rPr>
          <w:rFonts w:ascii="Arial" w:hAnsi="Arial" w:cs="Arial"/>
          <w:color w:val="000000"/>
        </w:rPr>
        <w:t xml:space="preserve">zon pályázati pénzeszközök és egyéb áthúzódó bevételek </w:t>
      </w:r>
      <w:r>
        <w:rPr>
          <w:rFonts w:ascii="Arial" w:hAnsi="Arial" w:cs="Arial"/>
          <w:color w:val="000000"/>
        </w:rPr>
        <w:t>összege,</w:t>
      </w:r>
      <w:r w:rsidRPr="00502D3A">
        <w:rPr>
          <w:rFonts w:ascii="Arial" w:hAnsi="Arial" w:cs="Arial"/>
          <w:color w:val="000000"/>
        </w:rPr>
        <w:t xml:space="preserve"> amely bevételek 20</w:t>
      </w:r>
      <w:r>
        <w:rPr>
          <w:rFonts w:ascii="Arial" w:hAnsi="Arial" w:cs="Arial"/>
          <w:color w:val="000000"/>
        </w:rPr>
        <w:t>22</w:t>
      </w:r>
      <w:r w:rsidRPr="00502D3A">
        <w:rPr>
          <w:rFonts w:ascii="Arial" w:hAnsi="Arial" w:cs="Arial"/>
          <w:color w:val="000000"/>
        </w:rPr>
        <w:t>. évben fognak realizálódni</w:t>
      </w:r>
      <w:r>
        <w:rPr>
          <w:rFonts w:ascii="Arial" w:hAnsi="Arial" w:cs="Arial"/>
          <w:color w:val="000000"/>
        </w:rPr>
        <w:t xml:space="preserve"> az alábbi táblázat szerint:</w:t>
      </w:r>
    </w:p>
    <w:p w:rsidR="0012247A" w:rsidRDefault="00A20FC6" w:rsidP="00A20FC6">
      <w:pPr>
        <w:jc w:val="both"/>
        <w:rPr>
          <w:sz w:val="20"/>
          <w:szCs w:val="20"/>
        </w:rPr>
      </w:pPr>
      <w:r w:rsidRPr="000C64C2">
        <w:rPr>
          <w:rFonts w:ascii="Arial" w:hAnsi="Arial" w:cs="Arial"/>
          <w:color w:val="000000"/>
        </w:rPr>
        <w:t xml:space="preserve"> </w:t>
      </w:r>
      <w:r w:rsidR="0012247A">
        <w:fldChar w:fldCharType="begin"/>
      </w:r>
      <w:r w:rsidR="0012247A">
        <w:instrText xml:space="preserve"> LINK Excel.Sheet.12 "\\\\Gandalf\\Dokumentumok\\kozgazdasagi\\kozos\\penzugy\\2022\\BESZÁMOL\\21_PMAR.xlsx" "pm forrás (2)!S3O2:S29O3" \a \f 4 \h  \* MERGEFORMAT </w:instrText>
      </w:r>
      <w:r w:rsidR="0012247A">
        <w:fldChar w:fldCharType="separate"/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4"/>
        <w:gridCol w:w="1192"/>
      </w:tblGrid>
      <w:tr w:rsidR="0012247A" w:rsidRPr="0012247A" w:rsidTr="0012247A">
        <w:trPr>
          <w:trHeight w:val="300"/>
        </w:trPr>
        <w:tc>
          <w:tcPr>
            <w:tcW w:w="8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Előirányzat megnevezése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Összeg </w:t>
            </w:r>
          </w:p>
        </w:tc>
      </w:tr>
      <w:tr w:rsidR="0012247A" w:rsidRPr="0012247A" w:rsidTr="0012247A">
        <w:trPr>
          <w:trHeight w:val="720"/>
        </w:trPr>
        <w:tc>
          <w:tcPr>
            <w:tcW w:w="8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47A" w:rsidRPr="0012247A" w:rsidRDefault="0012247A" w:rsidP="0012247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sz w:val="20"/>
                <w:szCs w:val="20"/>
              </w:rPr>
              <w:t>(ezer forintban)</w:t>
            </w:r>
          </w:p>
        </w:tc>
      </w:tr>
      <w:tr w:rsidR="0012247A" w:rsidRPr="0012247A" w:rsidTr="0012247A">
        <w:trPr>
          <w:trHeight w:val="30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Működési - áthúzódó bevételek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2247A" w:rsidRPr="0012247A" w:rsidTr="0012247A">
        <w:trPr>
          <w:trHeight w:val="69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TOP-7.1.1-16-HESZA-2020-01683 Haladjunk együtt a digitalizáció borostyánkő útján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1 000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Népszámlálás támogatása (KSH-tól)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19 938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Savaria Városfejlesztési Kft. - tagi kölcsön visszatérülés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20 000</w:t>
            </w:r>
          </w:p>
        </w:tc>
      </w:tr>
      <w:tr w:rsidR="0012247A" w:rsidRPr="0012247A" w:rsidTr="0012247A">
        <w:trPr>
          <w:trHeight w:val="433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Víziközmű és szennyvízközmű használati díjbevételhez kapcsolódó áfa visszaigénylés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141 882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Fejlesztési - áthúzódó bevételek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24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247A" w:rsidRPr="0012247A" w:rsidTr="0012247A">
        <w:trPr>
          <w:trHeight w:val="63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TOP-6.3.3-15 Szombathely bel- és csapadékvíz védelmi rendszerének fejlesztése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1 931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TOP-6.4.1-15 SZMJV kerékpárosbarát fejlesztése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107 363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TOP-6.1.3-15 Szombathelyi Vásárcsarnok felújítása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2 569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TOP-6.2.1-15-00002 Óvoda fejlesztések Szombathelyen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8 224</w:t>
            </w:r>
          </w:p>
        </w:tc>
      </w:tr>
      <w:tr w:rsidR="0012247A" w:rsidRPr="0012247A" w:rsidTr="0012247A">
        <w:trPr>
          <w:trHeight w:val="63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TOP-6.5.1-16 - SH1-2018-00001 Önkormányzati épületek energetikai korszerűsítése - Maros és Pipitér Óvoda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1 230</w:t>
            </w:r>
          </w:p>
        </w:tc>
      </w:tr>
      <w:tr w:rsidR="0012247A" w:rsidRPr="0012247A" w:rsidTr="0012247A">
        <w:trPr>
          <w:trHeight w:val="63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TOP-6.5.1-16 - SH1-2018-00002 Önkormányzati épületek energetikai korszerűsítése - Oladi Szakgimnázium és Szakközépiskola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9 000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TOP-6.1.5-2019-00002 Ferenczy u. hiányzó szakaszának kiépítése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21 642</w:t>
            </w:r>
          </w:p>
        </w:tc>
      </w:tr>
      <w:tr w:rsidR="0012247A" w:rsidRPr="0012247A" w:rsidTr="002C0961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TOP-6.2.1-19-SH1-2019-00001 Új bölcsőde építése Szombathelyen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1 622</w:t>
            </w:r>
          </w:p>
        </w:tc>
      </w:tr>
      <w:tr w:rsidR="0012247A" w:rsidRPr="0012247A" w:rsidTr="002C0961">
        <w:trPr>
          <w:trHeight w:val="415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lastRenderedPageBreak/>
              <w:t>TOP-7.1.1-16-H-ERFA-2020-00781 A gyöngyösszőlősi klubház fejlesztése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1 000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JUSTNature projekt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118 126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Összesen 2021. évi áthúzódó forrás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sz w:val="20"/>
                <w:szCs w:val="20"/>
              </w:rPr>
              <w:t>455 527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2021. évi maradvány önkormányzat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sz w:val="20"/>
                <w:szCs w:val="20"/>
              </w:rPr>
              <w:t>8 970 908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MINDÖSSZESEN FORRÁS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9 426 435</w:t>
            </w:r>
          </w:p>
        </w:tc>
      </w:tr>
      <w:tr w:rsidR="0012247A" w:rsidRPr="0012247A" w:rsidTr="0012247A">
        <w:trPr>
          <w:trHeight w:val="540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MINDÖSSZESEN KÖTELEZETTSÉG ÖNKORMÁNYZAT (III.sz.melléklet)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224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8 506 101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Intézményi működési maradvány 2022.évi költségvetésben betervezve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-205 482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Működési célú maradvány 2022.évi költségvetésben betervezve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-1 590 282</w:t>
            </w: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2021.évben képzett tartalék 2022.évi költségvetéshez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sz w:val="20"/>
                <w:szCs w:val="20"/>
              </w:rPr>
              <w:t>1 515 766</w:t>
            </w:r>
          </w:p>
        </w:tc>
      </w:tr>
      <w:tr w:rsidR="0012247A" w:rsidRPr="0012247A" w:rsidTr="0012247A">
        <w:trPr>
          <w:trHeight w:val="255"/>
        </w:trPr>
        <w:tc>
          <w:tcPr>
            <w:tcW w:w="8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rPr>
                <w:sz w:val="20"/>
                <w:szCs w:val="20"/>
              </w:rPr>
            </w:pPr>
          </w:p>
        </w:tc>
      </w:tr>
      <w:tr w:rsidR="0012247A" w:rsidRPr="0012247A" w:rsidTr="0012247A">
        <w:trPr>
          <w:trHeight w:val="402"/>
        </w:trPr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both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b/>
                <w:bCs/>
                <w:sz w:val="20"/>
                <w:szCs w:val="20"/>
              </w:rPr>
              <w:t>2022.évi költségvetésben felhasználható szabad maradvány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47A" w:rsidRPr="0012247A" w:rsidRDefault="0012247A" w:rsidP="0012247A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2247A">
              <w:rPr>
                <w:rFonts w:ascii="Arial CE" w:hAnsi="Arial CE" w:cs="Arial CE"/>
                <w:b/>
                <w:bCs/>
                <w:sz w:val="20"/>
                <w:szCs w:val="20"/>
              </w:rPr>
              <w:t>640 336</w:t>
            </w:r>
          </w:p>
        </w:tc>
      </w:tr>
    </w:tbl>
    <w:p w:rsidR="00A20FC6" w:rsidRDefault="0012247A" w:rsidP="00A20FC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:rsidR="00A20FC6" w:rsidRDefault="00A20FC6" w:rsidP="00A20FC6">
      <w:pPr>
        <w:jc w:val="both"/>
        <w:rPr>
          <w:rFonts w:ascii="Arial" w:hAnsi="Arial" w:cs="Arial"/>
          <w:color w:val="000000"/>
        </w:rPr>
      </w:pPr>
    </w:p>
    <w:p w:rsidR="00A20FC6" w:rsidRPr="00502D3A" w:rsidRDefault="00A20FC6" w:rsidP="00A20FC6">
      <w:pPr>
        <w:ind w:right="140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Az intézményi maradvány elszámolásokról készült jelentések a Közgazdasági és Adó Osztályon, az ágazatok által leadott kötelezettségek dokumentumai az ágazati osztályoknál megtalálhatók.</w:t>
      </w:r>
    </w:p>
    <w:p w:rsidR="00A20FC6" w:rsidRDefault="00A20FC6" w:rsidP="00A20FC6">
      <w:pPr>
        <w:ind w:right="140"/>
        <w:jc w:val="center"/>
        <w:rPr>
          <w:rFonts w:ascii="Arial" w:hAnsi="Arial" w:cs="Arial"/>
          <w:b/>
        </w:rPr>
      </w:pPr>
    </w:p>
    <w:p w:rsidR="00A20FC6" w:rsidRDefault="00A20FC6" w:rsidP="00A20FC6">
      <w:pPr>
        <w:ind w:right="140"/>
        <w:jc w:val="center"/>
        <w:rPr>
          <w:rFonts w:ascii="Arial" w:hAnsi="Arial" w:cs="Arial"/>
          <w:b/>
        </w:rPr>
      </w:pPr>
    </w:p>
    <w:p w:rsidR="00A20FC6" w:rsidRPr="00502D3A" w:rsidRDefault="00A20FC6" w:rsidP="00A20FC6">
      <w:pPr>
        <w:ind w:right="140"/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III.</w:t>
      </w:r>
    </w:p>
    <w:p w:rsidR="00A20FC6" w:rsidRPr="00502D3A" w:rsidRDefault="00A20FC6" w:rsidP="00A20FC6">
      <w:pPr>
        <w:ind w:right="140"/>
        <w:jc w:val="center"/>
        <w:rPr>
          <w:rFonts w:ascii="Arial" w:hAnsi="Arial" w:cs="Arial"/>
          <w:b/>
        </w:rPr>
      </w:pPr>
    </w:p>
    <w:p w:rsidR="00A20FC6" w:rsidRPr="00502D3A" w:rsidRDefault="00A20FC6" w:rsidP="00A20FC6">
      <w:pPr>
        <w:ind w:right="140"/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 Megyei Jogú Város pénzügyi helyzetének értékelése</w:t>
      </w:r>
    </w:p>
    <w:p w:rsidR="00A20FC6" w:rsidRPr="00502D3A" w:rsidRDefault="00A20FC6" w:rsidP="00A20FC6">
      <w:pPr>
        <w:ind w:left="720" w:right="140"/>
        <w:jc w:val="both"/>
        <w:rPr>
          <w:rFonts w:ascii="Arial" w:hAnsi="Arial" w:cs="Arial"/>
          <w:b/>
          <w:u w:val="single"/>
        </w:rPr>
      </w:pPr>
    </w:p>
    <w:p w:rsidR="00A20FC6" w:rsidRDefault="00A20FC6" w:rsidP="00A20FC6">
      <w:pPr>
        <w:ind w:right="140"/>
        <w:jc w:val="both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A II. pontban kifejtettek alapján a 20</w:t>
      </w:r>
      <w:r>
        <w:rPr>
          <w:rFonts w:ascii="Arial" w:hAnsi="Arial" w:cs="Arial"/>
          <w:b/>
        </w:rPr>
        <w:t>21</w:t>
      </w:r>
      <w:r w:rsidRPr="00502D3A">
        <w:rPr>
          <w:rFonts w:ascii="Arial" w:hAnsi="Arial" w:cs="Arial"/>
          <w:b/>
        </w:rPr>
        <w:t>.évi költségvetési rendelet végrehajtása során</w:t>
      </w:r>
      <w:r>
        <w:rPr>
          <w:rFonts w:ascii="Arial" w:hAnsi="Arial" w:cs="Arial"/>
          <w:b/>
        </w:rPr>
        <w:t xml:space="preserve"> – figyelembe véve az áthúzódó bevételi forrásokat,</w:t>
      </w:r>
      <w:r w:rsidR="002C09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valamint kötelezettségvállalásokat – 640 millió Ft szabad forrás keletkezett. </w:t>
      </w:r>
    </w:p>
    <w:p w:rsidR="00A20FC6" w:rsidRDefault="00A20FC6" w:rsidP="00A20FC6">
      <w:pPr>
        <w:ind w:right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többlet a veszélyhelyzet és egyéb feladatelmaradások okán fel nem használt előirányzatok elvonása kapcsán jelentkezik, úgy az intézményeknél mind az önkormányzatnál.</w:t>
      </w:r>
    </w:p>
    <w:p w:rsidR="00A20FC6" w:rsidRPr="00502D3A" w:rsidRDefault="00A20FC6" w:rsidP="00A20FC6">
      <w:pPr>
        <w:ind w:right="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640 </w:t>
      </w:r>
      <w:r w:rsidRPr="000D3F53">
        <w:rPr>
          <w:rFonts w:ascii="Arial" w:hAnsi="Arial" w:cs="Arial"/>
          <w:b/>
        </w:rPr>
        <w:t>millió</w:t>
      </w:r>
      <w:r>
        <w:rPr>
          <w:rFonts w:ascii="Arial" w:hAnsi="Arial" w:cs="Arial"/>
          <w:b/>
        </w:rPr>
        <w:t xml:space="preserve"> Ft összegű szabad forrás </w:t>
      </w:r>
      <w:r w:rsidRPr="00502D3A">
        <w:rPr>
          <w:rFonts w:ascii="Arial" w:hAnsi="Arial" w:cs="Arial"/>
          <w:b/>
        </w:rPr>
        <w:t>felhasználására a 20</w:t>
      </w:r>
      <w:r>
        <w:rPr>
          <w:rFonts w:ascii="Arial" w:hAnsi="Arial" w:cs="Arial"/>
          <w:b/>
        </w:rPr>
        <w:t>22</w:t>
      </w:r>
      <w:r w:rsidRPr="00502D3A">
        <w:rPr>
          <w:rFonts w:ascii="Arial" w:hAnsi="Arial" w:cs="Arial"/>
          <w:b/>
        </w:rPr>
        <w:t>. évi költségvetés I. számú módosítása során tesz</w:t>
      </w:r>
      <w:r>
        <w:rPr>
          <w:rFonts w:ascii="Arial" w:hAnsi="Arial" w:cs="Arial"/>
          <w:b/>
        </w:rPr>
        <w:t>ek</w:t>
      </w:r>
      <w:r w:rsidRPr="00502D3A">
        <w:rPr>
          <w:rFonts w:ascii="Arial" w:hAnsi="Arial" w:cs="Arial"/>
          <w:b/>
        </w:rPr>
        <w:t xml:space="preserve"> javaslatot.</w:t>
      </w:r>
    </w:p>
    <w:p w:rsidR="00A20FC6" w:rsidRPr="00502D3A" w:rsidRDefault="00A20FC6" w:rsidP="00A20FC6">
      <w:pPr>
        <w:ind w:right="140"/>
        <w:jc w:val="both"/>
        <w:rPr>
          <w:rFonts w:ascii="Arial" w:hAnsi="Arial" w:cs="Arial"/>
          <w:b/>
          <w:color w:val="FF0000"/>
        </w:rPr>
      </w:pPr>
    </w:p>
    <w:p w:rsidR="00A20FC6" w:rsidRPr="00502D3A" w:rsidRDefault="00A20FC6" w:rsidP="00A20FC6">
      <w:pPr>
        <w:rPr>
          <w:rFonts w:ascii="Arial" w:hAnsi="Arial" w:cs="Arial"/>
          <w:b/>
        </w:rPr>
      </w:pPr>
    </w:p>
    <w:p w:rsidR="00A20FC6" w:rsidRPr="00502D3A" w:rsidRDefault="00A20FC6" w:rsidP="00A20FC6">
      <w:pPr>
        <w:rPr>
          <w:rFonts w:ascii="Arial" w:hAnsi="Arial" w:cs="Arial"/>
          <w:b/>
        </w:rPr>
      </w:pPr>
    </w:p>
    <w:p w:rsidR="00A20FC6" w:rsidRPr="00502D3A" w:rsidRDefault="00A20FC6" w:rsidP="00A20FC6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22</w:t>
      </w:r>
      <w:r w:rsidRPr="00502D3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május</w:t>
      </w:r>
      <w:r w:rsidRPr="00502D3A">
        <w:rPr>
          <w:rFonts w:ascii="Arial" w:hAnsi="Arial" w:cs="Arial"/>
          <w:b/>
        </w:rPr>
        <w:t xml:space="preserve"> „    </w:t>
      </w:r>
      <w:r>
        <w:rPr>
          <w:rFonts w:ascii="Arial" w:hAnsi="Arial" w:cs="Arial"/>
          <w:b/>
        </w:rPr>
        <w:t xml:space="preserve"> </w:t>
      </w:r>
      <w:r w:rsidRPr="00502D3A">
        <w:rPr>
          <w:rFonts w:ascii="Arial" w:hAnsi="Arial" w:cs="Arial"/>
          <w:b/>
        </w:rPr>
        <w:t xml:space="preserve">  „</w:t>
      </w:r>
    </w:p>
    <w:p w:rsidR="00A20FC6" w:rsidRPr="00502D3A" w:rsidRDefault="00A20FC6" w:rsidP="00A20FC6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</w:t>
      </w:r>
    </w:p>
    <w:p w:rsidR="00A20FC6" w:rsidRPr="00502D3A" w:rsidRDefault="00A20FC6" w:rsidP="00A20FC6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                 </w:t>
      </w:r>
    </w:p>
    <w:p w:rsidR="00A20FC6" w:rsidRPr="00502D3A" w:rsidRDefault="00A20FC6" w:rsidP="00A20FC6">
      <w:pPr>
        <w:rPr>
          <w:rFonts w:ascii="Arial" w:hAnsi="Arial" w:cs="Arial"/>
          <w:b/>
        </w:rPr>
      </w:pPr>
    </w:p>
    <w:p w:rsidR="00A20FC6" w:rsidRPr="00502D3A" w:rsidRDefault="00A20FC6" w:rsidP="00A20FC6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 </w:t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  <w:t xml:space="preserve">                      /:Dr. </w:t>
      </w:r>
      <w:r>
        <w:rPr>
          <w:rFonts w:ascii="Arial" w:hAnsi="Arial" w:cs="Arial"/>
          <w:b/>
        </w:rPr>
        <w:t>Nemény András</w:t>
      </w:r>
      <w:r w:rsidRPr="00502D3A">
        <w:rPr>
          <w:rFonts w:ascii="Arial" w:hAnsi="Arial" w:cs="Arial"/>
          <w:b/>
        </w:rPr>
        <w:t>:/</w:t>
      </w:r>
    </w:p>
    <w:p w:rsidR="00A20FC6" w:rsidRPr="00502D3A" w:rsidRDefault="00A20FC6" w:rsidP="00A20FC6">
      <w:pPr>
        <w:rPr>
          <w:rFonts w:ascii="Arial" w:hAnsi="Arial" w:cs="Arial"/>
          <w:b/>
        </w:rPr>
      </w:pPr>
    </w:p>
    <w:p w:rsidR="00A20FC6" w:rsidRDefault="00A20FC6" w:rsidP="00A20FC6">
      <w:pPr>
        <w:rPr>
          <w:rFonts w:ascii="Arial" w:hAnsi="Arial" w:cs="Arial"/>
          <w:b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jc w:val="center"/>
        <w:rPr>
          <w:rFonts w:ascii="Arial" w:hAnsi="Arial" w:cs="Arial"/>
          <w:b/>
          <w:u w:val="single"/>
        </w:rPr>
      </w:pPr>
      <w:r w:rsidRPr="00502D3A">
        <w:rPr>
          <w:rFonts w:ascii="Arial" w:hAnsi="Arial" w:cs="Arial"/>
          <w:b/>
          <w:u w:val="single"/>
        </w:rPr>
        <w:lastRenderedPageBreak/>
        <w:t>H AT Á R O Z A T I  J A V A S L A T</w:t>
      </w:r>
    </w:p>
    <w:p w:rsidR="00A20FC6" w:rsidRDefault="00A20FC6" w:rsidP="00A20FC6">
      <w:pPr>
        <w:jc w:val="center"/>
        <w:rPr>
          <w:rFonts w:ascii="Arial" w:hAnsi="Arial" w:cs="Arial"/>
        </w:rPr>
      </w:pPr>
    </w:p>
    <w:p w:rsidR="00A20FC6" w:rsidRPr="00502D3A" w:rsidRDefault="00A20FC6" w:rsidP="00A20FC6">
      <w:pPr>
        <w:jc w:val="center"/>
        <w:rPr>
          <w:rFonts w:ascii="Arial" w:hAnsi="Arial" w:cs="Arial"/>
        </w:rPr>
      </w:pP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  <w:r w:rsidRPr="00502D3A">
        <w:rPr>
          <w:rFonts w:ascii="Arial" w:hAnsi="Arial" w:cs="Arial"/>
          <w:b/>
          <w:u w:val="single"/>
        </w:rPr>
        <w:t>……./20</w:t>
      </w:r>
      <w:r>
        <w:rPr>
          <w:rFonts w:ascii="Arial" w:hAnsi="Arial" w:cs="Arial"/>
          <w:b/>
          <w:u w:val="single"/>
        </w:rPr>
        <w:t>22</w:t>
      </w:r>
      <w:r w:rsidRPr="00502D3A">
        <w:rPr>
          <w:rFonts w:ascii="Arial" w:hAnsi="Arial" w:cs="Arial"/>
          <w:b/>
          <w:u w:val="single"/>
        </w:rPr>
        <w:t>. (</w:t>
      </w:r>
      <w:r w:rsidR="0094603E">
        <w:rPr>
          <w:rFonts w:ascii="Arial" w:hAnsi="Arial" w:cs="Arial"/>
          <w:b/>
          <w:u w:val="single"/>
        </w:rPr>
        <w:t>V.26.</w:t>
      </w:r>
      <w:r w:rsidRPr="00502D3A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Kgy</w:t>
      </w:r>
      <w:r w:rsidRPr="00502D3A">
        <w:rPr>
          <w:rFonts w:ascii="Arial" w:hAnsi="Arial" w:cs="Arial"/>
          <w:b/>
          <w:u w:val="single"/>
        </w:rPr>
        <w:t>. sz. határozat</w:t>
      </w:r>
    </w:p>
    <w:p w:rsidR="00A20FC6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jc w:val="center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502D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Pr="00502D3A">
        <w:rPr>
          <w:rFonts w:ascii="Arial" w:hAnsi="Arial" w:cs="Arial"/>
        </w:rPr>
        <w:t xml:space="preserve"> az önkormányzat továbbá költségvetési szervei 20</w:t>
      </w:r>
      <w:r>
        <w:rPr>
          <w:rFonts w:ascii="Arial" w:hAnsi="Arial" w:cs="Arial"/>
        </w:rPr>
        <w:t>21</w:t>
      </w:r>
      <w:r w:rsidRPr="00502D3A">
        <w:rPr>
          <w:rFonts w:ascii="Arial" w:hAnsi="Arial" w:cs="Arial"/>
        </w:rPr>
        <w:t>. évi maradvány elszámolására vonatkozó előterjesztést</w:t>
      </w:r>
      <w:r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>megtárgyalta és ezzel kapcsolatosan az alábbi döntéseket hozta:</w:t>
      </w:r>
    </w:p>
    <w:p w:rsidR="00A20FC6" w:rsidRPr="00502D3A" w:rsidRDefault="00A20FC6" w:rsidP="00A20FC6">
      <w:pPr>
        <w:jc w:val="center"/>
        <w:rPr>
          <w:rFonts w:ascii="Arial" w:hAnsi="Arial" w:cs="Arial"/>
          <w:b/>
        </w:rPr>
      </w:pPr>
    </w:p>
    <w:p w:rsidR="00A20FC6" w:rsidRPr="00502D3A" w:rsidRDefault="0094603E" w:rsidP="00A20FC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jóváhagyja </w:t>
      </w:r>
      <w:r w:rsidR="00A20FC6" w:rsidRPr="00502D3A">
        <w:rPr>
          <w:rFonts w:ascii="Arial" w:hAnsi="Arial" w:cs="Arial"/>
        </w:rPr>
        <w:t>az önkormányzati intézmények maradványá</w:t>
      </w:r>
      <w:r>
        <w:rPr>
          <w:rFonts w:ascii="Arial" w:hAnsi="Arial" w:cs="Arial"/>
        </w:rPr>
        <w:t>t</w:t>
      </w:r>
      <w:r w:rsidR="00A20FC6" w:rsidRPr="00502D3A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annak</w:t>
      </w:r>
      <w:r w:rsidR="00A20FC6" w:rsidRPr="00502D3A">
        <w:rPr>
          <w:rFonts w:ascii="Arial" w:hAnsi="Arial" w:cs="Arial"/>
        </w:rPr>
        <w:t xml:space="preserve"> felhasználását engedélyezi a II. számú mellékletben részletezettek szerint;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94603E" w:rsidP="00A20FC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elfogadja</w:t>
      </w:r>
      <w:r w:rsidR="00A20FC6" w:rsidRPr="00502D3A">
        <w:rPr>
          <w:rFonts w:ascii="Arial" w:hAnsi="Arial" w:cs="Arial"/>
        </w:rPr>
        <w:t xml:space="preserve"> az önkormányzat jóváhagyásra javasolt </w:t>
      </w:r>
      <w:r w:rsidR="00A20FC6">
        <w:rPr>
          <w:rFonts w:ascii="Arial" w:hAnsi="Arial" w:cs="Arial"/>
        </w:rPr>
        <w:t>maradványát</w:t>
      </w:r>
      <w:r w:rsidR="00A20FC6" w:rsidRPr="00502D3A">
        <w:rPr>
          <w:rFonts w:ascii="Arial" w:hAnsi="Arial" w:cs="Arial"/>
        </w:rPr>
        <w:t xml:space="preserve"> a III. számú mellékletben részletezettek alapján;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felkéri a polgármestert és a jegyzőt, hogy a fentiek szerint jóváhagyott maradvány átvezetéséről a II-III.sz. mellékletekben foglaltak szerint a költségvetési rendelet módosításakor gondoskodjon.</w:t>
      </w:r>
    </w:p>
    <w:p w:rsidR="00A20FC6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  <w:b/>
          <w:u w:val="single"/>
        </w:rPr>
      </w:pPr>
    </w:p>
    <w:p w:rsidR="00A20FC6" w:rsidRDefault="00A20FC6" w:rsidP="00A20FC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  <w:b/>
          <w:u w:val="single"/>
        </w:rPr>
        <w:t>Felelősök:</w:t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Nemény András</w:t>
      </w:r>
      <w:r w:rsidRPr="00502D3A">
        <w:rPr>
          <w:rFonts w:ascii="Arial" w:hAnsi="Arial" w:cs="Arial"/>
        </w:rPr>
        <w:t xml:space="preserve"> polgármester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A20FC6" w:rsidRPr="00502D3A" w:rsidRDefault="00A20FC6" w:rsidP="00A20FC6">
      <w:pPr>
        <w:ind w:left="709" w:firstLine="709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>Károlyi Ákos  jegyző</w:t>
      </w:r>
    </w:p>
    <w:p w:rsidR="00A20FC6" w:rsidRPr="00502D3A" w:rsidRDefault="00A20FC6" w:rsidP="00A20FC6">
      <w:pPr>
        <w:ind w:left="709" w:firstLine="709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( a végrehajtás előkészítéséért:</w:t>
      </w:r>
    </w:p>
    <w:p w:rsidR="00A20FC6" w:rsidRPr="00502D3A" w:rsidRDefault="00A20FC6" w:rsidP="00A20FC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smartTag w:uri="urn:schemas-microsoft-com:office:smarttags" w:element="PersonName">
        <w:r w:rsidRPr="00502D3A">
          <w:rPr>
            <w:rFonts w:ascii="Arial" w:hAnsi="Arial" w:cs="Arial"/>
          </w:rPr>
          <w:t>Stéger Gábor</w:t>
        </w:r>
      </w:smartTag>
      <w:r w:rsidRPr="00502D3A">
        <w:rPr>
          <w:rFonts w:ascii="Arial" w:hAnsi="Arial" w:cs="Arial"/>
        </w:rPr>
        <w:t xml:space="preserve"> a Közgazdasági és Adó Osztály vezetője )</w:t>
      </w:r>
    </w:p>
    <w:p w:rsidR="00A20FC6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  <w:b/>
          <w:u w:val="single"/>
        </w:rPr>
        <w:t>Határidő:</w:t>
      </w:r>
      <w:r w:rsidRPr="00502D3A">
        <w:rPr>
          <w:rFonts w:ascii="Arial" w:hAnsi="Arial" w:cs="Arial"/>
        </w:rPr>
        <w:t xml:space="preserve">  következő költségvetési rendelet módosítás </w:t>
      </w:r>
    </w:p>
    <w:p w:rsidR="00A20FC6" w:rsidRPr="00502D3A" w:rsidRDefault="00A20FC6" w:rsidP="00A20FC6">
      <w:pPr>
        <w:rPr>
          <w:rFonts w:ascii="Arial" w:hAnsi="Arial" w:cs="Arial"/>
        </w:rPr>
      </w:pPr>
    </w:p>
    <w:p w:rsidR="00A20FC6" w:rsidRPr="001549E2" w:rsidRDefault="00A20FC6" w:rsidP="00A20FC6">
      <w:pPr>
        <w:ind w:left="4963" w:firstLine="709"/>
        <w:jc w:val="both"/>
        <w:rPr>
          <w:rFonts w:ascii="Arial" w:hAnsi="Arial" w:cs="Arial"/>
          <w:b/>
          <w:bCs/>
        </w:rPr>
      </w:pPr>
    </w:p>
    <w:p w:rsidR="00A20FC6" w:rsidRDefault="00A20FC6" w:rsidP="00A20FC6">
      <w:pPr>
        <w:ind w:right="282"/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  <w:b/>
          <w:u w:val="single"/>
        </w:rPr>
      </w:pPr>
    </w:p>
    <w:p w:rsidR="00A20FC6" w:rsidRPr="00502D3A" w:rsidRDefault="00A20FC6" w:rsidP="00A20FC6">
      <w:pPr>
        <w:rPr>
          <w:rFonts w:ascii="Arial" w:hAnsi="Arial" w:cs="Arial"/>
        </w:rPr>
      </w:pPr>
    </w:p>
    <w:p w:rsidR="00A20FC6" w:rsidRDefault="00A20FC6" w:rsidP="00A20FC6">
      <w:pPr>
        <w:rPr>
          <w:rFonts w:ascii="Arial" w:hAnsi="Arial" w:cs="Arial"/>
        </w:rPr>
      </w:pPr>
    </w:p>
    <w:p w:rsidR="00A20FC6" w:rsidRPr="00502D3A" w:rsidRDefault="00A20FC6" w:rsidP="00A20FC6">
      <w:pPr>
        <w:rPr>
          <w:rFonts w:ascii="Arial" w:hAnsi="Arial" w:cs="Arial"/>
        </w:rPr>
      </w:pPr>
    </w:p>
    <w:p w:rsidR="00A20FC6" w:rsidRPr="007C40AF" w:rsidRDefault="00A20FC6" w:rsidP="00A20FC6">
      <w:pPr>
        <w:jc w:val="both"/>
        <w:rPr>
          <w:rFonts w:ascii="Arial" w:hAnsi="Arial" w:cs="Arial"/>
        </w:rPr>
      </w:pPr>
    </w:p>
    <w:p w:rsidR="00A20FC6" w:rsidRDefault="00A20FC6" w:rsidP="00A20FC6">
      <w:pPr>
        <w:jc w:val="both"/>
        <w:rPr>
          <w:rFonts w:ascii="Arial" w:hAnsi="Arial" w:cs="Arial"/>
        </w:rPr>
      </w:pPr>
    </w:p>
    <w:p w:rsidR="00A20FC6" w:rsidRDefault="00A20FC6" w:rsidP="00A20FC6">
      <w:pPr>
        <w:jc w:val="both"/>
        <w:rPr>
          <w:rFonts w:ascii="Arial" w:hAnsi="Arial" w:cs="Arial"/>
        </w:rPr>
      </w:pPr>
    </w:p>
    <w:p w:rsidR="00A20FC6" w:rsidRDefault="00A20FC6" w:rsidP="00A20FC6">
      <w:pPr>
        <w:ind w:left="4963" w:firstLine="709"/>
        <w:jc w:val="both"/>
        <w:rPr>
          <w:rFonts w:ascii="Arial" w:hAnsi="Arial" w:cs="Arial"/>
          <w:b/>
          <w:bCs/>
        </w:rPr>
      </w:pPr>
    </w:p>
    <w:p w:rsidR="00A20FC6" w:rsidRDefault="00A20FC6" w:rsidP="00A20FC6">
      <w:pPr>
        <w:ind w:left="4963" w:firstLine="709"/>
        <w:jc w:val="both"/>
        <w:rPr>
          <w:rFonts w:ascii="Arial" w:hAnsi="Arial" w:cs="Arial"/>
          <w:b/>
          <w:bCs/>
        </w:rPr>
      </w:pPr>
    </w:p>
    <w:p w:rsidR="00A20FC6" w:rsidRDefault="00A20FC6" w:rsidP="00A20FC6">
      <w:pPr>
        <w:ind w:left="4963" w:firstLine="709"/>
        <w:jc w:val="both"/>
        <w:rPr>
          <w:rFonts w:ascii="Arial" w:hAnsi="Arial" w:cs="Arial"/>
          <w:b/>
          <w:bCs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</w:rPr>
      </w:pPr>
    </w:p>
    <w:p w:rsidR="00A20FC6" w:rsidRPr="00502D3A" w:rsidRDefault="00A20FC6" w:rsidP="00A20FC6">
      <w:pPr>
        <w:jc w:val="both"/>
        <w:rPr>
          <w:rFonts w:ascii="Arial" w:hAnsi="Arial" w:cs="Arial"/>
          <w:b/>
          <w:u w:val="single"/>
        </w:rPr>
      </w:pPr>
    </w:p>
    <w:p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C3" w:rsidRDefault="009706C3">
      <w:r>
        <w:separator/>
      </w:r>
    </w:p>
  </w:endnote>
  <w:endnote w:type="continuationSeparator" w:id="0">
    <w:p w:rsidR="009706C3" w:rsidRDefault="0097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B36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6C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6C3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C3" w:rsidRDefault="009706C3">
      <w:r>
        <w:separator/>
      </w:r>
    </w:p>
  </w:footnote>
  <w:footnote w:type="continuationSeparator" w:id="0">
    <w:p w:rsidR="009706C3" w:rsidRDefault="0097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D05BF" w:rsidRDefault="003B46D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A Közgyűlés valamennyi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A76"/>
    <w:multiLevelType w:val="hybridMultilevel"/>
    <w:tmpl w:val="55A876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563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317584E"/>
    <w:multiLevelType w:val="hybridMultilevel"/>
    <w:tmpl w:val="0C86BF96"/>
    <w:lvl w:ilvl="0" w:tplc="040E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5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22FD6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DA57A9A"/>
    <w:multiLevelType w:val="hybridMultilevel"/>
    <w:tmpl w:val="24369326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C3"/>
    <w:rsid w:val="00001694"/>
    <w:rsid w:val="00064202"/>
    <w:rsid w:val="000C593A"/>
    <w:rsid w:val="000D5554"/>
    <w:rsid w:val="000F0700"/>
    <w:rsid w:val="0012247A"/>
    <w:rsid w:val="00132161"/>
    <w:rsid w:val="0013514E"/>
    <w:rsid w:val="00181799"/>
    <w:rsid w:val="001A4648"/>
    <w:rsid w:val="002C0961"/>
    <w:rsid w:val="002D20EA"/>
    <w:rsid w:val="002E0E60"/>
    <w:rsid w:val="002E1112"/>
    <w:rsid w:val="003160A0"/>
    <w:rsid w:val="00325973"/>
    <w:rsid w:val="0032649B"/>
    <w:rsid w:val="003329B1"/>
    <w:rsid w:val="0034130E"/>
    <w:rsid w:val="00356256"/>
    <w:rsid w:val="00387E79"/>
    <w:rsid w:val="003B46D6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5F47D4"/>
    <w:rsid w:val="0061287F"/>
    <w:rsid w:val="00634662"/>
    <w:rsid w:val="00635388"/>
    <w:rsid w:val="00663D8C"/>
    <w:rsid w:val="00667FFD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1509C"/>
    <w:rsid w:val="009348EA"/>
    <w:rsid w:val="00937CFE"/>
    <w:rsid w:val="009424C0"/>
    <w:rsid w:val="0094603E"/>
    <w:rsid w:val="0096279B"/>
    <w:rsid w:val="009706C3"/>
    <w:rsid w:val="009B0B46"/>
    <w:rsid w:val="009B5040"/>
    <w:rsid w:val="009D4366"/>
    <w:rsid w:val="00A20FC6"/>
    <w:rsid w:val="00A7633E"/>
    <w:rsid w:val="00AB7B31"/>
    <w:rsid w:val="00AD08CD"/>
    <w:rsid w:val="00AE14C5"/>
    <w:rsid w:val="00B054BD"/>
    <w:rsid w:val="00B103B4"/>
    <w:rsid w:val="00B27192"/>
    <w:rsid w:val="00B610E8"/>
    <w:rsid w:val="00BA710A"/>
    <w:rsid w:val="00BC46F6"/>
    <w:rsid w:val="00BD2D29"/>
    <w:rsid w:val="00BE370B"/>
    <w:rsid w:val="00C71580"/>
    <w:rsid w:val="00CA483B"/>
    <w:rsid w:val="00D5369F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40BE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E8C9FC7"/>
  <w15:chartTrackingRefBased/>
  <w15:docId w15:val="{341222D4-B98A-4EBE-B461-69223D87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20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A20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A20FC6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A20FC6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A20FC6"/>
    <w:pPr>
      <w:tabs>
        <w:tab w:val="left" w:pos="6300"/>
      </w:tabs>
      <w:ind w:right="2770"/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A20FC6"/>
    <w:rPr>
      <w:rFonts w:ascii="Arial" w:hAnsi="Arial"/>
      <w:sz w:val="24"/>
      <w:szCs w:val="24"/>
    </w:rPr>
  </w:style>
  <w:style w:type="paragraph" w:styleId="Szvegtrzs3">
    <w:name w:val="Body Text 3"/>
    <w:basedOn w:val="Norml"/>
    <w:link w:val="Szvegtrzs3Char"/>
    <w:rsid w:val="00A20FC6"/>
    <w:pPr>
      <w:jc w:val="both"/>
    </w:pPr>
    <w:rPr>
      <w:rFonts w:ascii="Arial" w:hAnsi="Arial" w:cs="Arial"/>
      <w:color w:val="FF0000"/>
    </w:rPr>
  </w:style>
  <w:style w:type="character" w:customStyle="1" w:styleId="Szvegtrzs3Char">
    <w:name w:val="Szövegtörzs 3 Char"/>
    <w:basedOn w:val="Bekezdsalapbettpusa"/>
    <w:link w:val="Szvegtrzs3"/>
    <w:rsid w:val="00A20FC6"/>
    <w:rPr>
      <w:rFonts w:ascii="Arial" w:hAnsi="Arial" w:cs="Arial"/>
      <w:color w:val="FF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20F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nzugy\2022\BESZ&#193;MOL\MARADV&#193;NY21_KGY_el&#337;terjeszt&#233;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MARADVÁNY21_KGY_előterjesztés</Template>
  <TotalTime>1</TotalTime>
  <Pages>7</Pages>
  <Words>1712</Words>
  <Characters>13499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Péterné</dc:creator>
  <cp:keywords/>
  <dc:description/>
  <cp:lastModifiedBy>Vigh Péterné</cp:lastModifiedBy>
  <cp:revision>1</cp:revision>
  <cp:lastPrinted>2020-12-14T09:54:00Z</cp:lastPrinted>
  <dcterms:created xsi:type="dcterms:W3CDTF">2022-05-19T12:45:00Z</dcterms:created>
  <dcterms:modified xsi:type="dcterms:W3CDTF">2022-05-19T12:46:00Z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