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1F856044" w14:textId="6284A91D" w:rsidR="006D69BA" w:rsidRDefault="006D69BA" w:rsidP="006D69B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61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29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658A577" w14:textId="77777777" w:rsidR="006D69BA" w:rsidRDefault="006D69BA" w:rsidP="006D69BA">
      <w:pPr>
        <w:keepNext/>
        <w:jc w:val="center"/>
        <w:rPr>
          <w:rFonts w:cs="Arial"/>
          <w:b/>
          <w:szCs w:val="22"/>
          <w:u w:val="single"/>
        </w:rPr>
      </w:pPr>
    </w:p>
    <w:p w14:paraId="5ACADA6E" w14:textId="77777777" w:rsidR="006D69BA" w:rsidRPr="007741E1" w:rsidRDefault="006D69BA" w:rsidP="006D69BA">
      <w:pPr>
        <w:keepNext/>
        <w:jc w:val="center"/>
        <w:rPr>
          <w:rFonts w:cs="Arial"/>
          <w:b/>
          <w:szCs w:val="22"/>
          <w:u w:val="single"/>
        </w:rPr>
      </w:pPr>
    </w:p>
    <w:p w14:paraId="332AA3F9" w14:textId="77777777" w:rsidR="006D69BA" w:rsidRDefault="006D69BA" w:rsidP="006D69BA">
      <w:pPr>
        <w:tabs>
          <w:tab w:val="left" w:pos="-900"/>
          <w:tab w:val="left" w:pos="-720"/>
          <w:tab w:val="left" w:pos="709"/>
        </w:tabs>
        <w:jc w:val="both"/>
        <w:rPr>
          <w:rFonts w:cs="Arial"/>
          <w:i/>
          <w:szCs w:val="22"/>
        </w:rPr>
      </w:pPr>
      <w:r>
        <w:rPr>
          <w:rFonts w:cs="Arial"/>
          <w:iCs/>
          <w:szCs w:val="22"/>
        </w:rPr>
        <w:t>A Városstratégiai, Idegenforgalmi és Sport Bizottság a „</w:t>
      </w:r>
      <w:r w:rsidRPr="00D63E36">
        <w:rPr>
          <w:rFonts w:cs="Arial"/>
          <w:i/>
          <w:szCs w:val="22"/>
        </w:rPr>
        <w:t>Javaslat 2021. évi belső ellenőrzések végrehajtásával kapcsolatos döntések meghozatalára</w:t>
      </w:r>
      <w:r>
        <w:rPr>
          <w:rFonts w:cs="Arial"/>
          <w:i/>
          <w:szCs w:val="22"/>
        </w:rPr>
        <w:t>” című előterjesztést megtárgyalta és Szombathely Megyei Jogú Város Önkormányzata 2021. évi ellenőrzési jelentésének jóváhagyásáról szóló I. határozati javaslatot az előterjesztésben foglaltak szerint javasolja a Közgyűlésnek elfogadásra.</w:t>
      </w:r>
    </w:p>
    <w:p w14:paraId="05E16486" w14:textId="77777777" w:rsidR="006D69BA" w:rsidRDefault="006D69BA" w:rsidP="006D69BA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</w:p>
    <w:p w14:paraId="32DA0CB9" w14:textId="77777777" w:rsidR="006D69BA" w:rsidRPr="00507353" w:rsidRDefault="006D69BA" w:rsidP="006D69BA">
      <w:pPr>
        <w:ind w:right="14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507353">
        <w:rPr>
          <w:rFonts w:cs="Arial"/>
        </w:rPr>
        <w:t>Tóth Kálmán</w:t>
      </w:r>
      <w:r>
        <w:rPr>
          <w:rFonts w:cs="Arial"/>
        </w:rPr>
        <w:t>,</w:t>
      </w:r>
      <w:r w:rsidRPr="00507353">
        <w:rPr>
          <w:rFonts w:cs="Arial"/>
        </w:rPr>
        <w:t xml:space="preserve"> a Bizottság elnöke</w:t>
      </w:r>
    </w:p>
    <w:p w14:paraId="7226D6D7" w14:textId="77777777" w:rsidR="006D69BA" w:rsidRDefault="006D69BA" w:rsidP="006D69BA">
      <w:pPr>
        <w:ind w:left="1410" w:right="140"/>
        <w:jc w:val="both"/>
        <w:rPr>
          <w:rFonts w:cs="Arial"/>
        </w:rPr>
      </w:pPr>
      <w:r>
        <w:rPr>
          <w:rFonts w:cs="Arial"/>
        </w:rPr>
        <w:t>/a végrehajtás előkészítéséért:</w:t>
      </w:r>
    </w:p>
    <w:p w14:paraId="570CFACD" w14:textId="77777777" w:rsidR="006D69BA" w:rsidRPr="00CA5A53" w:rsidRDefault="006D69BA" w:rsidP="006D69B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</w:r>
      <w:r w:rsidRPr="00CA5A53">
        <w:rPr>
          <w:rFonts w:cs="Arial"/>
          <w:iCs/>
          <w:szCs w:val="22"/>
        </w:rPr>
        <w:t>Dr. Andorné Fodor Ágnes, a Belső Ellenőrzési Iroda vezetője</w:t>
      </w:r>
      <w:r>
        <w:rPr>
          <w:rFonts w:cs="Arial"/>
          <w:iCs/>
          <w:szCs w:val="22"/>
        </w:rPr>
        <w:t>/</w:t>
      </w:r>
    </w:p>
    <w:p w14:paraId="27FE7EB0" w14:textId="77777777" w:rsidR="006D69BA" w:rsidRDefault="006D69BA" w:rsidP="006D69BA">
      <w:pPr>
        <w:ind w:left="1410" w:right="638"/>
        <w:jc w:val="both"/>
        <w:rPr>
          <w:rFonts w:cs="Arial"/>
          <w:b/>
          <w:bCs/>
        </w:rPr>
      </w:pPr>
    </w:p>
    <w:p w14:paraId="694EF536" w14:textId="77777777" w:rsidR="006D69BA" w:rsidRDefault="006D69BA" w:rsidP="006D69BA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>2022. március 31.</w:t>
      </w:r>
    </w:p>
    <w:p w14:paraId="16BDAF83" w14:textId="77777777" w:rsidR="00D616D9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060303CB" w14:textId="77777777" w:rsidR="00D616D9" w:rsidRPr="00355838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458DE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D69BA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63D82"/>
    <w:rsid w:val="00B87735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16D9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2022-03-30T15:04:00Z</cp:lastPrinted>
  <dcterms:created xsi:type="dcterms:W3CDTF">2022-03-30T15:04:00Z</dcterms:created>
  <dcterms:modified xsi:type="dcterms:W3CDTF">2022-03-30T15:04:00Z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