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11C" w14:textId="77777777" w:rsidR="009F3AC2" w:rsidRDefault="009F3AC2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</w:p>
    <w:p w14:paraId="3622A51C" w14:textId="77777777" w:rsidR="00E51AA7" w:rsidRPr="001A220B" w:rsidRDefault="00B70336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6A24F045" w14:textId="37D6C48B" w:rsidR="00875F06" w:rsidRPr="00875F06" w:rsidRDefault="00E04291" w:rsidP="00875F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875F06" w:rsidRPr="00875F06">
        <w:rPr>
          <w:rFonts w:ascii="Arial" w:hAnsi="Arial" w:cs="Arial"/>
          <w:b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</w:rPr>
        <w:t>hoz</w:t>
      </w:r>
    </w:p>
    <w:p w14:paraId="262283C0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152519D2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B5C4230" w14:textId="67ED495D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C763E4">
        <w:rPr>
          <w:rFonts w:ascii="Arial" w:hAnsi="Arial" w:cs="Arial"/>
        </w:rPr>
        <w:t>nek</w:t>
      </w:r>
      <w:r w:rsidR="00FC5133">
        <w:rPr>
          <w:rFonts w:ascii="Arial" w:hAnsi="Arial" w:cs="Arial"/>
        </w:rPr>
        <w:t xml:space="preserve"> társadalmi hatása</w:t>
      </w:r>
      <w:r w:rsidR="00BA1AE4">
        <w:rPr>
          <w:rFonts w:ascii="Arial" w:hAnsi="Arial" w:cs="Arial"/>
        </w:rPr>
        <w:t xml:space="preserve"> </w:t>
      </w:r>
      <w:r w:rsidR="00C763E4">
        <w:rPr>
          <w:rFonts w:ascii="Arial" w:hAnsi="Arial" w:cs="Arial"/>
        </w:rPr>
        <w:t>nincs</w:t>
      </w:r>
      <w:r w:rsidR="005A5AA0">
        <w:rPr>
          <w:rFonts w:ascii="Arial" w:hAnsi="Arial" w:cs="Arial"/>
        </w:rPr>
        <w:t>.</w:t>
      </w:r>
    </w:p>
    <w:p w14:paraId="2D640E6B" w14:textId="77777777" w:rsidR="00E51AA7" w:rsidRPr="001A220B" w:rsidRDefault="00E51AA7" w:rsidP="00B35DDF">
      <w:pPr>
        <w:spacing w:after="60"/>
        <w:jc w:val="both"/>
        <w:rPr>
          <w:rFonts w:ascii="Arial" w:hAnsi="Arial" w:cs="Arial"/>
        </w:rPr>
      </w:pPr>
    </w:p>
    <w:p w14:paraId="7289F6AF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31C99348" w14:textId="359F799F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C06339">
        <w:rPr>
          <w:rFonts w:ascii="Arial" w:hAnsi="Arial" w:cs="Arial"/>
        </w:rPr>
        <w:t xml:space="preserve"> módosítása várhatóan</w:t>
      </w:r>
      <w:r w:rsidRPr="00B36B62">
        <w:rPr>
          <w:rFonts w:ascii="Arial" w:hAnsi="Arial" w:cs="Arial"/>
        </w:rPr>
        <w:t xml:space="preserve"> </w:t>
      </w:r>
      <w:r w:rsidR="00BA1AE4" w:rsidRPr="00BA1AE4">
        <w:rPr>
          <w:rFonts w:ascii="Arial" w:hAnsi="Arial" w:cs="Arial"/>
        </w:rPr>
        <w:t>költség</w:t>
      </w:r>
      <w:r w:rsidR="00C06339">
        <w:rPr>
          <w:rFonts w:ascii="Arial" w:hAnsi="Arial" w:cs="Arial"/>
        </w:rPr>
        <w:t>eket csökkentő hatással jár.</w:t>
      </w:r>
      <w:r w:rsidR="00875F06">
        <w:rPr>
          <w:rFonts w:ascii="Arial" w:hAnsi="Arial" w:cs="Arial"/>
        </w:rPr>
        <w:t xml:space="preserve"> </w:t>
      </w:r>
    </w:p>
    <w:p w14:paraId="1D2406CD" w14:textId="77777777" w:rsidR="00875F06" w:rsidRPr="00B36B62" w:rsidRDefault="00875F06" w:rsidP="00B35DDF">
      <w:pPr>
        <w:spacing w:after="60"/>
        <w:jc w:val="both"/>
        <w:rPr>
          <w:rFonts w:ascii="Arial" w:hAnsi="Arial" w:cs="Arial"/>
        </w:rPr>
      </w:pPr>
    </w:p>
    <w:p w14:paraId="0A25B18E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63194836" w14:textId="77777777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5BF41F39" w14:textId="77777777" w:rsidR="00E51AA7" w:rsidRPr="006E06E9" w:rsidRDefault="00E51AA7" w:rsidP="00B35DDF">
      <w:pPr>
        <w:spacing w:after="60"/>
        <w:jc w:val="both"/>
        <w:rPr>
          <w:rFonts w:ascii="Arial" w:hAnsi="Arial" w:cs="Arial"/>
        </w:rPr>
      </w:pPr>
    </w:p>
    <w:p w14:paraId="3F5EC538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31C0C452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4B38427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485BF1A1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A51921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14:paraId="765F6090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6D511C1C" w14:textId="677AA35B" w:rsidR="00C763E4" w:rsidRPr="00C763E4" w:rsidRDefault="008D0E2B" w:rsidP="00C763E4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175FA8B1" w14:textId="50CFE382" w:rsidR="00E7179A" w:rsidRPr="00C763E4" w:rsidRDefault="00E04291" w:rsidP="00C763E4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C763E4" w:rsidRPr="00AB22F0">
        <w:rPr>
          <w:rFonts w:ascii="Arial" w:hAnsi="Arial" w:cs="Arial"/>
          <w:iCs/>
        </w:rPr>
        <w:t>Szombathely Megyei Jogú Város Önkormányzatának Szervezeti és Működési Szabályzatáról szóló 18/2019. (X.31.) önkormányzati rendelet 1. mellékletét képezi a Polgármesteri Hivatal szervezeti felépítése. A Hivatal hatékonyabb működésének előmozdítása érdekében a Közgyűlés 202</w:t>
      </w:r>
      <w:r w:rsidR="001E3C22">
        <w:rPr>
          <w:rFonts w:ascii="Arial" w:hAnsi="Arial" w:cs="Arial"/>
          <w:iCs/>
        </w:rPr>
        <w:t>2</w:t>
      </w:r>
      <w:r w:rsidR="00C763E4" w:rsidRPr="00AB22F0">
        <w:rPr>
          <w:rFonts w:ascii="Arial" w:hAnsi="Arial" w:cs="Arial"/>
          <w:iCs/>
        </w:rPr>
        <w:t xml:space="preserve">. </w:t>
      </w:r>
      <w:r w:rsidR="001E3C22">
        <w:rPr>
          <w:rFonts w:ascii="Arial" w:hAnsi="Arial" w:cs="Arial"/>
          <w:iCs/>
        </w:rPr>
        <w:t>január</w:t>
      </w:r>
      <w:r w:rsidR="00C763E4" w:rsidRPr="00AB22F0">
        <w:rPr>
          <w:rFonts w:ascii="Arial" w:hAnsi="Arial" w:cs="Arial"/>
          <w:iCs/>
        </w:rPr>
        <w:t xml:space="preserve"> 1. napjával módosítja a szervezeti </w:t>
      </w:r>
      <w:r w:rsidR="00C763E4">
        <w:rPr>
          <w:rFonts w:ascii="Arial" w:hAnsi="Arial" w:cs="Arial"/>
          <w:iCs/>
        </w:rPr>
        <w:t>felépítést</w:t>
      </w:r>
      <w:r w:rsidR="00C763E4" w:rsidRPr="00AB22F0">
        <w:rPr>
          <w:rFonts w:ascii="Arial" w:hAnsi="Arial" w:cs="Arial"/>
          <w:iCs/>
        </w:rPr>
        <w:t xml:space="preserve">, </w:t>
      </w:r>
      <w:r w:rsidR="00BC2E91" w:rsidRPr="00095138">
        <w:rPr>
          <w:rFonts w:ascii="Arial" w:hAnsi="Arial" w:cs="Arial"/>
          <w:iCs/>
        </w:rPr>
        <w:t xml:space="preserve">a Városfejlesztési Iroda </w:t>
      </w:r>
      <w:r w:rsidR="009F3169">
        <w:rPr>
          <w:rFonts w:ascii="Arial" w:hAnsi="Arial" w:cs="Arial"/>
          <w:iCs/>
        </w:rPr>
        <w:t>megszűnik</w:t>
      </w:r>
      <w:r w:rsidR="00BC2E91" w:rsidRPr="00095138">
        <w:rPr>
          <w:rFonts w:ascii="Arial" w:hAnsi="Arial" w:cs="Arial"/>
          <w:iCs/>
        </w:rPr>
        <w:t xml:space="preserve"> a Városüzemeltetési és Városfejlesztési Osztály </w:t>
      </w:r>
      <w:r w:rsidR="009F3169">
        <w:rPr>
          <w:rFonts w:ascii="Arial" w:hAnsi="Arial" w:cs="Arial"/>
          <w:iCs/>
        </w:rPr>
        <w:t>keretében</w:t>
      </w:r>
      <w:r w:rsidR="00BC2E91" w:rsidRPr="00095138">
        <w:rPr>
          <w:rFonts w:ascii="Arial" w:hAnsi="Arial" w:cs="Arial"/>
          <w:iCs/>
        </w:rPr>
        <w:t xml:space="preserve">, ennek következtében az osztály elnevezése Városüzemeltetési Osztályra változik. </w:t>
      </w:r>
      <w:r w:rsidR="00C16283">
        <w:rPr>
          <w:rFonts w:ascii="Arial" w:hAnsi="Arial" w:cs="Arial"/>
          <w:iCs/>
        </w:rPr>
        <w:t>Az iroda feladatai</w:t>
      </w:r>
      <w:r w:rsidR="00BC2E91" w:rsidRPr="00095138">
        <w:rPr>
          <w:rFonts w:ascii="Arial" w:hAnsi="Arial" w:cs="Arial"/>
          <w:iCs/>
        </w:rPr>
        <w:t xml:space="preserve"> a Jogi és Képviselői Osztály Vagyongazdálkodási Irodához kerülnek, </w:t>
      </w:r>
      <w:r w:rsidR="00C16283">
        <w:rPr>
          <w:rFonts w:ascii="Arial" w:hAnsi="Arial" w:cs="Arial"/>
          <w:iCs/>
        </w:rPr>
        <w:t>melynek</w:t>
      </w:r>
      <w:r w:rsidR="00BC2E91" w:rsidRPr="00095138">
        <w:rPr>
          <w:rFonts w:ascii="Arial" w:hAnsi="Arial" w:cs="Arial"/>
          <w:iCs/>
        </w:rPr>
        <w:t xml:space="preserve"> elnevezése Vagyongazdálkodási és Városfejlesztési Irodára változik.</w:t>
      </w:r>
    </w:p>
    <w:p w14:paraId="411BFA30" w14:textId="77777777" w:rsidR="00FC5133" w:rsidRPr="00B36B62" w:rsidRDefault="00FC5133" w:rsidP="00B35DDF">
      <w:pPr>
        <w:spacing w:after="60"/>
        <w:jc w:val="both"/>
        <w:rPr>
          <w:rFonts w:ascii="Arial" w:hAnsi="Arial" w:cs="Arial"/>
        </w:rPr>
      </w:pPr>
    </w:p>
    <w:p w14:paraId="6959E5E4" w14:textId="77777777" w:rsidR="00E51AA7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38D54F98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14:paraId="6A5B460B" w14:textId="3AE52CEC" w:rsidR="0004228F" w:rsidRDefault="0004228F" w:rsidP="00B35DDF">
      <w:pPr>
        <w:spacing w:after="60"/>
        <w:rPr>
          <w:rFonts w:ascii="Arial" w:hAnsi="Arial" w:cs="Arial"/>
        </w:rPr>
      </w:pPr>
    </w:p>
    <w:p w14:paraId="04F91CE0" w14:textId="77777777" w:rsidR="00E6686C" w:rsidRDefault="00E6686C" w:rsidP="00B35DDF">
      <w:pPr>
        <w:spacing w:after="60"/>
        <w:rPr>
          <w:rFonts w:ascii="Arial" w:hAnsi="Arial" w:cs="Arial"/>
        </w:rPr>
      </w:pPr>
    </w:p>
    <w:p w14:paraId="4A9B0D4E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25E" w14:textId="77777777" w:rsidR="00E51AA7" w:rsidRDefault="00E51AA7" w:rsidP="0053248D">
      <w:r>
        <w:separator/>
      </w:r>
    </w:p>
  </w:endnote>
  <w:endnote w:type="continuationSeparator" w:id="0">
    <w:p w14:paraId="228CE83B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C51" w14:textId="77777777" w:rsidR="00E51AA7" w:rsidRDefault="00E51AA7" w:rsidP="0053248D">
      <w:r>
        <w:separator/>
      </w:r>
    </w:p>
  </w:footnote>
  <w:footnote w:type="continuationSeparator" w:id="0">
    <w:p w14:paraId="125D7546" w14:textId="77777777"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5AD4" w14:textId="2751690E" w:rsidR="00541F49" w:rsidRPr="00541F49" w:rsidRDefault="00541F49" w:rsidP="00541F49">
    <w:pPr>
      <w:pStyle w:val="lfej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56F7"/>
    <w:rsid w:val="000F6037"/>
    <w:rsid w:val="00111D75"/>
    <w:rsid w:val="0011754A"/>
    <w:rsid w:val="001200B1"/>
    <w:rsid w:val="00125FAC"/>
    <w:rsid w:val="001A220B"/>
    <w:rsid w:val="001C0513"/>
    <w:rsid w:val="001E3C22"/>
    <w:rsid w:val="001F6A54"/>
    <w:rsid w:val="00202A75"/>
    <w:rsid w:val="00255DA4"/>
    <w:rsid w:val="00276A8C"/>
    <w:rsid w:val="00284117"/>
    <w:rsid w:val="00414B2C"/>
    <w:rsid w:val="004241AE"/>
    <w:rsid w:val="00453B25"/>
    <w:rsid w:val="00481C8D"/>
    <w:rsid w:val="004A32A4"/>
    <w:rsid w:val="004D51DC"/>
    <w:rsid w:val="004D5C7A"/>
    <w:rsid w:val="0053248D"/>
    <w:rsid w:val="00533A6E"/>
    <w:rsid w:val="00541F49"/>
    <w:rsid w:val="005809CA"/>
    <w:rsid w:val="005A5AA0"/>
    <w:rsid w:val="005C050E"/>
    <w:rsid w:val="006E06E9"/>
    <w:rsid w:val="00725AE2"/>
    <w:rsid w:val="00732006"/>
    <w:rsid w:val="00786620"/>
    <w:rsid w:val="007B3F6C"/>
    <w:rsid w:val="007C1274"/>
    <w:rsid w:val="007C354E"/>
    <w:rsid w:val="00825666"/>
    <w:rsid w:val="00875F06"/>
    <w:rsid w:val="008B1A21"/>
    <w:rsid w:val="008D0E2B"/>
    <w:rsid w:val="009F3169"/>
    <w:rsid w:val="009F3AC2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C2E91"/>
    <w:rsid w:val="00BE2F76"/>
    <w:rsid w:val="00BE541C"/>
    <w:rsid w:val="00C03993"/>
    <w:rsid w:val="00C06339"/>
    <w:rsid w:val="00C16283"/>
    <w:rsid w:val="00C763E4"/>
    <w:rsid w:val="00D02C41"/>
    <w:rsid w:val="00D35788"/>
    <w:rsid w:val="00D54195"/>
    <w:rsid w:val="00D571A0"/>
    <w:rsid w:val="00DF7F73"/>
    <w:rsid w:val="00E04291"/>
    <w:rsid w:val="00E26D55"/>
    <w:rsid w:val="00E40D62"/>
    <w:rsid w:val="00E51AA7"/>
    <w:rsid w:val="00E6686C"/>
    <w:rsid w:val="00E7179A"/>
    <w:rsid w:val="00E9006D"/>
    <w:rsid w:val="00F42E3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960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CF797-404B-488F-A2BA-D2160435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9A67F-4544-43A9-9893-6C0311B882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B5256A-F4BE-44C6-962A-7EF95ABAD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3</cp:revision>
  <cp:lastPrinted>2021-06-11T06:41:00Z</cp:lastPrinted>
  <dcterms:created xsi:type="dcterms:W3CDTF">2021-11-30T14:13:00Z</dcterms:created>
  <dcterms:modified xsi:type="dcterms:W3CDTF">2021-12-02T07:05:00Z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