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7D67" w14:textId="77777777" w:rsidR="00F944B2" w:rsidRDefault="00F944B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6089F7" w14:textId="0461263C" w:rsidR="00E22A37" w:rsidRDefault="00BC7721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>Szombathely Megyei Jogú Város Önkormányzata Közgyűlés</w:t>
      </w:r>
      <w:r w:rsidR="00E22A37">
        <w:rPr>
          <w:rFonts w:ascii="Arial" w:hAnsi="Arial" w:cs="Arial"/>
          <w:b/>
          <w:bCs/>
        </w:rPr>
        <w:t>ének</w:t>
      </w:r>
    </w:p>
    <w:p w14:paraId="3934C974" w14:textId="08CC5840" w:rsidR="00E31DB3" w:rsidRPr="00E22A37" w:rsidRDefault="00CF2CA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29</w:t>
      </w:r>
      <w:r w:rsidR="00BC7721" w:rsidRPr="00E22A37">
        <w:rPr>
          <w:rFonts w:ascii="Arial" w:hAnsi="Arial" w:cs="Arial"/>
          <w:b/>
          <w:bCs/>
        </w:rPr>
        <w:t>/</w:t>
      </w:r>
      <w:r w:rsidR="00E22A37">
        <w:rPr>
          <w:rFonts w:ascii="Arial" w:hAnsi="Arial" w:cs="Arial"/>
          <w:b/>
          <w:bCs/>
        </w:rPr>
        <w:t>2021.</w:t>
      </w:r>
      <w:r w:rsidR="00BC7721" w:rsidRPr="00E22A37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VI.30.</w:t>
      </w:r>
      <w:r w:rsidR="00BC7721" w:rsidRPr="00E22A37">
        <w:rPr>
          <w:rFonts w:ascii="Arial" w:hAnsi="Arial" w:cs="Arial"/>
          <w:b/>
          <w:bCs/>
        </w:rPr>
        <w:t>) önkormányzati rendelete</w:t>
      </w:r>
    </w:p>
    <w:p w14:paraId="392147B9" w14:textId="77777777" w:rsidR="00E31DB3" w:rsidRPr="00E22A37" w:rsidRDefault="00BC7721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>a helyi közművelődési feladatok ellátásáról szóló 5/2020. (III.5.) önkormányzati rendelet módosításáról</w:t>
      </w:r>
    </w:p>
    <w:p w14:paraId="4CC96337" w14:textId="77777777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Szombathely Megyei Jogú Város Önkormányzatának Közgyűlése a muzeális intézményekről, a nyilvános könyvtári ellátásról és a közművelődésről szóló 1997. évi CXL. törvény (a továbbiakban: Törvény) 83/A. § (1) bekezdésében kapott felhatalmazás alapján az Alaptörvény 32. cikk (1) bekezdés a) pontjában, a Magyarország helyi önkormányzatairól szóló 2011. évi CLXXXIX. törvény 13. § (1) bekezdés 7. pontjában és a Törvény 76. § (1) és (7) bekezdésében meghatározott feladatkörében eljárva a következőket rendeli el:</w:t>
      </w:r>
    </w:p>
    <w:p w14:paraId="64F01B1B" w14:textId="77777777" w:rsidR="00E31DB3" w:rsidRPr="00E22A37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>1. §</w:t>
      </w:r>
    </w:p>
    <w:p w14:paraId="6A4CCAC0" w14:textId="45DCA233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A helyi közművelődési feladatok ellátásáról szóló 5/2020. (III.5.) önkormányzati rendelet</w:t>
      </w:r>
      <w:r w:rsidR="00E22A37">
        <w:rPr>
          <w:rFonts w:ascii="Arial" w:hAnsi="Arial" w:cs="Arial"/>
        </w:rPr>
        <w:t xml:space="preserve"> (a továbbiakban: Rendelet)</w:t>
      </w:r>
      <w:r w:rsidRPr="00E22A37">
        <w:rPr>
          <w:rFonts w:ascii="Arial" w:hAnsi="Arial" w:cs="Arial"/>
        </w:rPr>
        <w:t xml:space="preserve"> 1. § b) pontja helyébe a következő rendelkezés lép:</w:t>
      </w:r>
    </w:p>
    <w:p w14:paraId="1F0B0FD4" w14:textId="77777777" w:rsidR="00E31DB3" w:rsidRPr="00E22A37" w:rsidRDefault="00BC7721">
      <w:pPr>
        <w:pStyle w:val="Szvegtrzs"/>
        <w:spacing w:after="0" w:line="240" w:lineRule="auto"/>
        <w:jc w:val="both"/>
        <w:rPr>
          <w:rFonts w:ascii="Arial" w:hAnsi="Arial" w:cs="Arial"/>
          <w:i/>
          <w:iCs/>
        </w:rPr>
      </w:pPr>
      <w:r w:rsidRPr="00E22A37">
        <w:rPr>
          <w:rFonts w:ascii="Arial" w:hAnsi="Arial" w:cs="Arial"/>
          <w:i/>
          <w:iCs/>
        </w:rPr>
        <w:t>(A rendelet személyi hatálya kiterjed:)</w:t>
      </w:r>
    </w:p>
    <w:p w14:paraId="066AF6F6" w14:textId="77777777" w:rsidR="00E31DB3" w:rsidRPr="00E22A37" w:rsidRDefault="00BC7721">
      <w:pPr>
        <w:pStyle w:val="Szvegtrzs"/>
        <w:spacing w:after="0" w:line="240" w:lineRule="auto"/>
        <w:ind w:left="220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„b) az önkormányzat kizárólagos tulajdonában álló</w:t>
      </w:r>
      <w:r w:rsidRPr="00E22A37">
        <w:rPr>
          <w:rFonts w:ascii="Arial" w:hAnsi="Arial" w:cs="Arial"/>
          <w:b/>
          <w:bCs/>
        </w:rPr>
        <w:t>,</w:t>
      </w:r>
      <w:r w:rsidRPr="00E22A37">
        <w:rPr>
          <w:rFonts w:ascii="Arial" w:hAnsi="Arial" w:cs="Arial"/>
        </w:rPr>
        <w:t xml:space="preserve"> közművelődési feladatot ellátó intézményekre, gazdasági társaságra,”</w:t>
      </w:r>
    </w:p>
    <w:p w14:paraId="5090DEA8" w14:textId="77777777" w:rsidR="00E31DB3" w:rsidRPr="00E22A37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>2. §</w:t>
      </w:r>
    </w:p>
    <w:p w14:paraId="60BAC213" w14:textId="725FEFDB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 xml:space="preserve">A </w:t>
      </w:r>
      <w:r w:rsidR="00E22A37">
        <w:rPr>
          <w:rFonts w:ascii="Arial" w:hAnsi="Arial" w:cs="Arial"/>
        </w:rPr>
        <w:t xml:space="preserve">Rendelet </w:t>
      </w:r>
      <w:r w:rsidRPr="00E22A37">
        <w:rPr>
          <w:rFonts w:ascii="Arial" w:hAnsi="Arial" w:cs="Arial"/>
        </w:rPr>
        <w:t>2. alcíme helyébe a következő rendelkezés lép:</w:t>
      </w:r>
    </w:p>
    <w:p w14:paraId="77B43415" w14:textId="77777777" w:rsidR="00E31DB3" w:rsidRPr="002E5250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2E5250">
        <w:rPr>
          <w:rFonts w:ascii="Arial" w:hAnsi="Arial" w:cs="Arial"/>
        </w:rPr>
        <w:t>„2. Az önkormányzat közművelődési feladatai ellátásának módja</w:t>
      </w:r>
    </w:p>
    <w:p w14:paraId="573EFA05" w14:textId="77777777" w:rsidR="00E31DB3" w:rsidRPr="000A60FE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0A60FE">
        <w:rPr>
          <w:rFonts w:ascii="Arial" w:hAnsi="Arial" w:cs="Arial"/>
        </w:rPr>
        <w:t>2. §</w:t>
      </w:r>
    </w:p>
    <w:p w14:paraId="260A7D57" w14:textId="77777777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(1) Az önkormányzat a közművelődési feladatainak ellátását közművelődési megállapodások útján biztosítja.</w:t>
      </w:r>
    </w:p>
    <w:p w14:paraId="7B773F2E" w14:textId="393EA2BA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 xml:space="preserve">(2) Az önkormányzat a közművelődésről szóló törvény szerinti kötelező közművelődési alapszolgáltatásait az AGORA Savaria Kulturális és Médiaközpont Nonprofit Korlátolt Felelősségű Társaság (9700 Szombathely, </w:t>
      </w:r>
      <w:proofErr w:type="gramStart"/>
      <w:r w:rsidRPr="00E22A37">
        <w:rPr>
          <w:rFonts w:ascii="Arial" w:hAnsi="Arial" w:cs="Arial"/>
        </w:rPr>
        <w:t>Március</w:t>
      </w:r>
      <w:proofErr w:type="gramEnd"/>
      <w:r w:rsidRPr="00E22A37">
        <w:rPr>
          <w:rFonts w:ascii="Arial" w:hAnsi="Arial" w:cs="Arial"/>
        </w:rPr>
        <w:t xml:space="preserve"> 15. tér 5.) az Alapító Okiratában foglalt székhelyén és telephelyein teljes</w:t>
      </w:r>
      <w:r w:rsidR="00E22A37">
        <w:rPr>
          <w:rFonts w:ascii="Arial" w:hAnsi="Arial" w:cs="Arial"/>
        </w:rPr>
        <w:t xml:space="preserve"> </w:t>
      </w:r>
      <w:r w:rsidRPr="00E22A37">
        <w:rPr>
          <w:rFonts w:ascii="Arial" w:hAnsi="Arial" w:cs="Arial"/>
        </w:rPr>
        <w:t>körűen látja el.</w:t>
      </w:r>
    </w:p>
    <w:p w14:paraId="28BFB9FA" w14:textId="77777777" w:rsidR="00E31DB3" w:rsidRPr="000A60FE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0A60FE">
        <w:rPr>
          <w:rFonts w:ascii="Arial" w:hAnsi="Arial" w:cs="Arial"/>
        </w:rPr>
        <w:t>3. §</w:t>
      </w:r>
    </w:p>
    <w:p w14:paraId="5E4E85CF" w14:textId="77777777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A közművelődési alapszolgáltatásokat nyújtó gazdasági társaság és civil szervezetek felsorolását, az általuk nyújtott közművelődési alapszolgáltatások körét és a feladatellátás finanszírozásának módját az 1. melléklet tartalmazza.”</w:t>
      </w:r>
    </w:p>
    <w:p w14:paraId="057035D0" w14:textId="77777777" w:rsidR="00E31DB3" w:rsidRPr="00E22A37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>3. §</w:t>
      </w:r>
    </w:p>
    <w:p w14:paraId="3CCD1759" w14:textId="7D3D1B62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 xml:space="preserve">(1) A </w:t>
      </w:r>
      <w:r w:rsidR="00E22A37">
        <w:rPr>
          <w:rFonts w:ascii="Arial" w:hAnsi="Arial" w:cs="Arial"/>
        </w:rPr>
        <w:t xml:space="preserve">Rendelet </w:t>
      </w:r>
      <w:r w:rsidRPr="00E22A37">
        <w:rPr>
          <w:rFonts w:ascii="Arial" w:hAnsi="Arial" w:cs="Arial"/>
        </w:rPr>
        <w:t>5. § (1) bekezdés a) pontja helyébe a következő rendelkezés lép:</w:t>
      </w:r>
    </w:p>
    <w:p w14:paraId="2305804F" w14:textId="77777777" w:rsidR="00E31DB3" w:rsidRPr="00E22A37" w:rsidRDefault="00BC7721">
      <w:pPr>
        <w:pStyle w:val="Szvegtrzs"/>
        <w:spacing w:after="0" w:line="240" w:lineRule="auto"/>
        <w:jc w:val="both"/>
        <w:rPr>
          <w:rFonts w:ascii="Arial" w:hAnsi="Arial" w:cs="Arial"/>
          <w:i/>
          <w:iCs/>
        </w:rPr>
      </w:pPr>
      <w:r w:rsidRPr="00E22A37">
        <w:rPr>
          <w:rFonts w:ascii="Arial" w:hAnsi="Arial" w:cs="Arial"/>
          <w:i/>
          <w:iCs/>
        </w:rPr>
        <w:t>(Az önkormányzat a közművelődési alapszolgáltatások megszervezése érdekében)</w:t>
      </w:r>
    </w:p>
    <w:p w14:paraId="25181B69" w14:textId="77777777" w:rsidR="00E31DB3" w:rsidRPr="00E22A37" w:rsidRDefault="00BC7721">
      <w:pPr>
        <w:pStyle w:val="Szvegtrzs"/>
        <w:spacing w:after="0" w:line="240" w:lineRule="auto"/>
        <w:ind w:left="220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„a) kizárólagos önkormányzati tulajdonban lévő gazdasági társaságot működtet,”</w:t>
      </w:r>
    </w:p>
    <w:p w14:paraId="28E05447" w14:textId="0D622FDA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 xml:space="preserve">(2) A </w:t>
      </w:r>
      <w:r w:rsidR="00E22A37">
        <w:rPr>
          <w:rFonts w:ascii="Arial" w:hAnsi="Arial" w:cs="Arial"/>
        </w:rPr>
        <w:t xml:space="preserve">Rendelet </w:t>
      </w:r>
      <w:r w:rsidRPr="00E22A37">
        <w:rPr>
          <w:rFonts w:ascii="Arial" w:hAnsi="Arial" w:cs="Arial"/>
        </w:rPr>
        <w:t>5. § (2) bekezdése helyébe a következő rendelkezés lép:</w:t>
      </w:r>
    </w:p>
    <w:p w14:paraId="410DE60F" w14:textId="77777777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lastRenderedPageBreak/>
        <w:t>„(2) Az önkormányzat a közösségi és társadalmi részvétel fejlesztése érdekében működteti a 2. § (2) bekezdése szerinti gazdasági társaság által az ifjúsági feladat-ellátást végző Ifjúsági Szolgálatot.”</w:t>
      </w:r>
    </w:p>
    <w:p w14:paraId="4D3FA51D" w14:textId="77777777" w:rsidR="00E31DB3" w:rsidRPr="00E22A37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>4. §</w:t>
      </w:r>
    </w:p>
    <w:p w14:paraId="1DAE374F" w14:textId="6EC4C62F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 xml:space="preserve">A </w:t>
      </w:r>
      <w:r w:rsidR="00E22A37">
        <w:rPr>
          <w:rFonts w:ascii="Arial" w:hAnsi="Arial" w:cs="Arial"/>
        </w:rPr>
        <w:t xml:space="preserve">Rendelet </w:t>
      </w:r>
      <w:r w:rsidRPr="00E22A37">
        <w:rPr>
          <w:rFonts w:ascii="Arial" w:hAnsi="Arial" w:cs="Arial"/>
        </w:rPr>
        <w:t>6. §-a helyébe a következő rendelkezés lép:</w:t>
      </w:r>
    </w:p>
    <w:p w14:paraId="3F8C8926" w14:textId="77777777" w:rsidR="00E31DB3" w:rsidRPr="000A60FE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0A60FE">
        <w:rPr>
          <w:rFonts w:ascii="Arial" w:hAnsi="Arial" w:cs="Arial"/>
        </w:rPr>
        <w:t>„6. §</w:t>
      </w:r>
    </w:p>
    <w:p w14:paraId="0D763A2B" w14:textId="77777777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(1) A közművelődési feladatellátáshoz az önkormányzat biztosítja 2. § (2) bekezdése szerinti gazdasági társaságnak a szükséges tárgyi és létesítményi feltételeket. A szakképzettségi feltételek biztosításáról a 2. § (2) bekezdés szerinti gazdasági társaság vezetője köteles gondoskodni.</w:t>
      </w:r>
    </w:p>
    <w:p w14:paraId="0BA2426A" w14:textId="77777777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(2) Az infrastrukturális, továbbá szakmai feltételek fejlesztése céljából az önkormányzat, valamint a közművelődési feladatot ellátó gazdasági társaság lehetőségéhez mérten pályázati forrásokkal is elősegíti a minőségi szolgáltatás biztosítását, a további fejlődés lehetőségét.”</w:t>
      </w:r>
    </w:p>
    <w:p w14:paraId="6ADA9839" w14:textId="77777777" w:rsidR="00E31DB3" w:rsidRPr="00E22A37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>5. §</w:t>
      </w:r>
    </w:p>
    <w:p w14:paraId="5F0EB9FE" w14:textId="0F8892F2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 xml:space="preserve">(1) A </w:t>
      </w:r>
      <w:r w:rsidR="00E22A37">
        <w:rPr>
          <w:rFonts w:ascii="Arial" w:hAnsi="Arial" w:cs="Arial"/>
        </w:rPr>
        <w:t>Rendelet</w:t>
      </w:r>
      <w:r w:rsidRPr="00E22A37">
        <w:rPr>
          <w:rFonts w:ascii="Arial" w:hAnsi="Arial" w:cs="Arial"/>
        </w:rPr>
        <w:t xml:space="preserve"> 1. melléklete az 1. melléklet szerint módosul.</w:t>
      </w:r>
    </w:p>
    <w:p w14:paraId="530225B5" w14:textId="508F03E9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 xml:space="preserve">(2) A </w:t>
      </w:r>
      <w:r w:rsidR="00E22A37">
        <w:rPr>
          <w:rFonts w:ascii="Arial" w:hAnsi="Arial" w:cs="Arial"/>
        </w:rPr>
        <w:t xml:space="preserve">Rendelet </w:t>
      </w:r>
      <w:r w:rsidRPr="00E22A37">
        <w:rPr>
          <w:rFonts w:ascii="Arial" w:hAnsi="Arial" w:cs="Arial"/>
        </w:rPr>
        <w:t>1. melléklete a 2. melléklet szerint módosul.</w:t>
      </w:r>
    </w:p>
    <w:p w14:paraId="146D61D4" w14:textId="77777777" w:rsidR="00E31DB3" w:rsidRPr="00E22A37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>6. §</w:t>
      </w:r>
    </w:p>
    <w:p w14:paraId="434ECA06" w14:textId="77777777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(1) Ez a rendelet – a (2) bekezdésben foglalt kivétellel – 2022. január 1-jén lép hatályba.</w:t>
      </w:r>
    </w:p>
    <w:p w14:paraId="2412213B" w14:textId="77777777" w:rsid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(2</w:t>
      </w:r>
      <w:r w:rsidRPr="00820005">
        <w:rPr>
          <w:rFonts w:ascii="Arial" w:hAnsi="Arial" w:cs="Arial"/>
        </w:rPr>
        <w:t>) Az 5. § (1) bekezdése és az 1. melléklet az</w:t>
      </w:r>
      <w:r w:rsidRPr="00E22A37">
        <w:rPr>
          <w:rFonts w:ascii="Arial" w:hAnsi="Arial" w:cs="Arial"/>
        </w:rPr>
        <w:t xml:space="preserve"> e rendelet kihirdetését követő napon lép hatályba.</w:t>
      </w:r>
    </w:p>
    <w:p w14:paraId="1901F448" w14:textId="1717E9FA" w:rsidR="00E22A37" w:rsidRDefault="00E22A3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0B77D212" w14:textId="77777777" w:rsidR="00F355BB" w:rsidRDefault="00F355B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2D7F5F78" w14:textId="77777777" w:rsidR="00E22A37" w:rsidRDefault="00E22A3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1752E1A0" w14:textId="5F716F2F" w:rsidR="00E22A37" w:rsidRPr="00E22A37" w:rsidRDefault="00E22A37" w:rsidP="00E22A37">
      <w:pPr>
        <w:pStyle w:val="Szvegtrzs"/>
        <w:spacing w:after="0" w:line="240" w:lineRule="auto"/>
        <w:jc w:val="both"/>
        <w:rPr>
          <w:rFonts w:ascii="Arial" w:hAnsi="Arial" w:cs="Arial"/>
          <w:b/>
          <w:bCs/>
        </w:rPr>
      </w:pPr>
      <w:r w:rsidRPr="00E22A37">
        <w:rPr>
          <w:b/>
          <w:bCs/>
        </w:rPr>
        <w:tab/>
      </w:r>
      <w:r w:rsidRPr="00E22A37">
        <w:rPr>
          <w:rFonts w:ascii="Arial" w:hAnsi="Arial" w:cs="Arial"/>
          <w:b/>
          <w:bCs/>
        </w:rPr>
        <w:t>/: Dr. Nemény András :/</w:t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  <w:t>/: Dr. Károlyi Ákos :/</w:t>
      </w:r>
    </w:p>
    <w:p w14:paraId="1DC35031" w14:textId="1E7EF918" w:rsidR="00E22A37" w:rsidRDefault="00E22A37" w:rsidP="00E22A37">
      <w:pPr>
        <w:pStyle w:val="Szvegtrzs"/>
        <w:spacing w:after="0" w:line="240" w:lineRule="auto"/>
        <w:jc w:val="both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</w:t>
      </w:r>
      <w:r w:rsidR="00EC4F0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Pr="00E22A37">
        <w:rPr>
          <w:rFonts w:ascii="Arial" w:hAnsi="Arial" w:cs="Arial"/>
          <w:b/>
          <w:bCs/>
        </w:rPr>
        <w:t>polgármester</w:t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j</w:t>
      </w:r>
      <w:r w:rsidRPr="00E22A37">
        <w:rPr>
          <w:rFonts w:ascii="Arial" w:hAnsi="Arial" w:cs="Arial"/>
          <w:b/>
          <w:bCs/>
        </w:rPr>
        <w:t>egyző</w:t>
      </w:r>
    </w:p>
    <w:p w14:paraId="0826BEA7" w14:textId="516CB13B" w:rsidR="00F355BB" w:rsidRDefault="00F355BB" w:rsidP="00E22A37">
      <w:pPr>
        <w:pStyle w:val="Szvegtrzs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D816D9" w14:textId="69F16AAE" w:rsidR="00F355BB" w:rsidRDefault="00F355BB" w:rsidP="00E22A37">
      <w:pPr>
        <w:pStyle w:val="Szvegtrzs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968BF8" w14:textId="4384A57A" w:rsidR="00F355BB" w:rsidRDefault="00F355BB" w:rsidP="00E22A37">
      <w:pPr>
        <w:pStyle w:val="Szvegtrzs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E2E4C58" w14:textId="77777777" w:rsidR="00F355BB" w:rsidRDefault="00F355BB" w:rsidP="00F355BB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5133D95C" w14:textId="77777777" w:rsidR="00F355BB" w:rsidRDefault="00F355BB" w:rsidP="00F355BB">
      <w:pPr>
        <w:pStyle w:val="Szvegtrzsbehzssal21"/>
        <w:ind w:left="0" w:firstLine="0"/>
        <w:rPr>
          <w:rFonts w:ascii="Arial" w:hAnsi="Arial" w:cs="Arial"/>
        </w:rPr>
      </w:pPr>
    </w:p>
    <w:p w14:paraId="4D266EF8" w14:textId="77777777" w:rsidR="00F355BB" w:rsidRDefault="00F355BB" w:rsidP="00F355BB">
      <w:pPr>
        <w:pStyle w:val="Szvegtrzsbehzssal21"/>
        <w:ind w:left="0" w:firstLine="0"/>
        <w:rPr>
          <w:rFonts w:ascii="Arial" w:hAnsi="Arial" w:cs="Arial"/>
        </w:rPr>
      </w:pPr>
    </w:p>
    <w:p w14:paraId="567C040C" w14:textId="42F486FB" w:rsidR="00F355BB" w:rsidRDefault="00F355BB" w:rsidP="00F355BB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2021. június </w:t>
      </w:r>
      <w:r w:rsidR="00CF2CA2">
        <w:rPr>
          <w:rFonts w:ascii="Arial" w:hAnsi="Arial" w:cs="Arial"/>
        </w:rPr>
        <w:t>30.</w:t>
      </w:r>
    </w:p>
    <w:p w14:paraId="6EB42609" w14:textId="77777777" w:rsidR="00F355BB" w:rsidRDefault="00F355BB" w:rsidP="00F355BB">
      <w:pPr>
        <w:pStyle w:val="Szvegtrzsbehzssal21"/>
        <w:ind w:left="0" w:firstLine="0"/>
        <w:rPr>
          <w:rFonts w:ascii="Arial" w:hAnsi="Arial" w:cs="Arial"/>
        </w:rPr>
      </w:pPr>
    </w:p>
    <w:p w14:paraId="370D23A3" w14:textId="77777777" w:rsidR="00F355BB" w:rsidRDefault="00F355BB" w:rsidP="00F355BB">
      <w:pPr>
        <w:pStyle w:val="Szvegtrzsbehzssal21"/>
        <w:ind w:left="0" w:firstLine="0"/>
        <w:rPr>
          <w:rFonts w:ascii="Arial" w:hAnsi="Arial" w:cs="Arial"/>
        </w:rPr>
      </w:pPr>
    </w:p>
    <w:p w14:paraId="0E1CF571" w14:textId="77777777" w:rsidR="00F355BB" w:rsidRDefault="00F355BB" w:rsidP="00F355BB">
      <w:pPr>
        <w:pStyle w:val="Szvegtrzsbehzssal21"/>
        <w:ind w:left="0" w:firstLine="0"/>
        <w:rPr>
          <w:rFonts w:ascii="Arial" w:hAnsi="Arial" w:cs="Arial"/>
        </w:rPr>
      </w:pPr>
    </w:p>
    <w:p w14:paraId="08009FA2" w14:textId="77777777" w:rsidR="00F355BB" w:rsidRDefault="00F355BB" w:rsidP="00F355BB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ascii="Arial" w:hAnsi="Arial" w:cs="Arial"/>
          <w:b/>
          <w:bCs/>
          <w:color w:val="000000"/>
        </w:rPr>
        <w:t>(: Dr. Károlyi Ákos :)</w:t>
      </w:r>
    </w:p>
    <w:p w14:paraId="52CD00E0" w14:textId="1FF259E8" w:rsidR="00F355BB" w:rsidRPr="00E22A37" w:rsidRDefault="00F355BB" w:rsidP="00F355BB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jegyző</w:t>
      </w:r>
    </w:p>
    <w:sectPr w:rsidR="00F355BB" w:rsidRPr="00E22A3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E229" w14:textId="77777777" w:rsidR="00097936" w:rsidRDefault="00BC7721">
      <w:r>
        <w:separator/>
      </w:r>
    </w:p>
  </w:endnote>
  <w:endnote w:type="continuationSeparator" w:id="0">
    <w:p w14:paraId="5387A656" w14:textId="77777777" w:rsidR="00097936" w:rsidRDefault="00BC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6B70" w14:textId="77777777" w:rsidR="00E31DB3" w:rsidRDefault="00BC772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5474" w14:textId="77777777" w:rsidR="00097936" w:rsidRDefault="00BC7721">
      <w:r>
        <w:separator/>
      </w:r>
    </w:p>
  </w:footnote>
  <w:footnote w:type="continuationSeparator" w:id="0">
    <w:p w14:paraId="201C09E5" w14:textId="77777777" w:rsidR="00097936" w:rsidRDefault="00BC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5A3C"/>
    <w:multiLevelType w:val="multilevel"/>
    <w:tmpl w:val="EB5EF3D4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B3"/>
    <w:rsid w:val="00097936"/>
    <w:rsid w:val="000A60FE"/>
    <w:rsid w:val="00150541"/>
    <w:rsid w:val="002E5250"/>
    <w:rsid w:val="00820005"/>
    <w:rsid w:val="00BC7721"/>
    <w:rsid w:val="00CF2CA2"/>
    <w:rsid w:val="00CF7E6A"/>
    <w:rsid w:val="00DC6F5A"/>
    <w:rsid w:val="00E22A37"/>
    <w:rsid w:val="00E31DB3"/>
    <w:rsid w:val="00EC4F04"/>
    <w:rsid w:val="00F355BB"/>
    <w:rsid w:val="00F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9797"/>
  <w15:docId w15:val="{9C071461-792B-4974-9B8B-873A66B7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Szvegtrzsbehzssal21">
    <w:name w:val="Szövegtörzs behúzással 21"/>
    <w:basedOn w:val="Norml"/>
    <w:rsid w:val="00F355BB"/>
    <w:pPr>
      <w:overflowPunct w:val="0"/>
      <w:autoSpaceDE w:val="0"/>
      <w:autoSpaceDN w:val="0"/>
      <w:ind w:left="851" w:hanging="851"/>
      <w:jc w:val="both"/>
    </w:pPr>
    <w:rPr>
      <w:rFonts w:eastAsiaTheme="minorHAnsi" w:cs="Times New Roman"/>
      <w:b/>
      <w:bCs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2</cp:revision>
  <dcterms:created xsi:type="dcterms:W3CDTF">2021-06-30T07:35:00Z</dcterms:created>
  <dcterms:modified xsi:type="dcterms:W3CDTF">2021-06-30T07:35:00Z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