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7777777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6BCCC693" w14:textId="77777777"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14:paraId="29EAE054" w14:textId="05CA3B3F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</w:t>
      </w:r>
      <w:r w:rsidR="00AE445D">
        <w:rPr>
          <w:rFonts w:ascii="Arial" w:hAnsi="Arial" w:cs="Arial"/>
          <w:b/>
        </w:rPr>
        <w:t>2021</w:t>
      </w:r>
      <w:r w:rsidR="00FD7C7A">
        <w:rPr>
          <w:rFonts w:ascii="Arial" w:hAnsi="Arial" w:cs="Arial"/>
          <w:b/>
        </w:rPr>
        <w:t xml:space="preserve">. </w:t>
      </w:r>
      <w:r w:rsidR="00AE445D">
        <w:rPr>
          <w:rFonts w:ascii="Arial" w:hAnsi="Arial" w:cs="Arial"/>
          <w:b/>
        </w:rPr>
        <w:t>június 21</w:t>
      </w:r>
      <w:r w:rsidR="00FD7C7A">
        <w:rPr>
          <w:rFonts w:ascii="Arial" w:hAnsi="Arial" w:cs="Arial"/>
          <w:b/>
        </w:rPr>
        <w:t>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14:paraId="32ACB1C9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3D8FB756" w14:textId="331FDFE6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86391F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bérbeadására vonatkozó </w:t>
      </w:r>
    </w:p>
    <w:p w14:paraId="4D792FC4" w14:textId="009A0F01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pályázati </w:t>
      </w:r>
      <w:r w:rsidR="0086391F">
        <w:rPr>
          <w:rFonts w:ascii="Arial" w:hAnsi="Arial" w:cs="Arial"/>
          <w:b/>
        </w:rPr>
        <w:t>feltételek j</w:t>
      </w:r>
      <w:r w:rsidR="00AC492A">
        <w:rPr>
          <w:rFonts w:ascii="Arial" w:hAnsi="Arial" w:cs="Arial"/>
          <w:b/>
        </w:rPr>
        <w:t>ó</w:t>
      </w:r>
      <w:r w:rsidR="0086391F">
        <w:rPr>
          <w:rFonts w:ascii="Arial" w:hAnsi="Arial" w:cs="Arial"/>
          <w:b/>
        </w:rPr>
        <w:t>váhagyására</w:t>
      </w:r>
    </w:p>
    <w:p w14:paraId="30038FEF" w14:textId="77777777" w:rsidR="002D68CF" w:rsidRDefault="002D68CF" w:rsidP="002D68CF">
      <w:pPr>
        <w:rPr>
          <w:rFonts w:ascii="Arial" w:hAnsi="Arial" w:cs="Arial"/>
          <w:b/>
        </w:rPr>
      </w:pPr>
    </w:p>
    <w:p w14:paraId="02595456" w14:textId="3E0D4C93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</w:t>
      </w:r>
      <w:r w:rsidR="00863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Városi Vásárcsarnok igazgatója jelezte, hogy a Városi Vásárcsarnok</w:t>
      </w:r>
      <w:r w:rsidR="0086391F">
        <w:rPr>
          <w:rFonts w:ascii="Arial" w:hAnsi="Arial" w:cs="Arial"/>
        </w:rPr>
        <w:t xml:space="preserve"> felújításának befejezését és a műszaki átadást követően a közeljövőben az </w:t>
      </w:r>
      <w:r w:rsidR="00BC6CFC">
        <w:rPr>
          <w:rFonts w:ascii="Arial" w:hAnsi="Arial" w:cs="Arial"/>
        </w:rPr>
        <w:t xml:space="preserve">alábbiak szerint részletezett </w:t>
      </w:r>
      <w:r>
        <w:rPr>
          <w:rFonts w:ascii="Arial" w:hAnsi="Arial" w:cs="Arial"/>
        </w:rPr>
        <w:t>üzlethelyisége</w:t>
      </w:r>
      <w:r w:rsidR="0086391F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t szeretné bérbeadás útján hasznosítani. </w:t>
      </w:r>
    </w:p>
    <w:p w14:paraId="54A34E8B" w14:textId="18091EB6" w:rsidR="00BC6CFC" w:rsidRDefault="00BC6CFC" w:rsidP="00AB7B66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6CFC" w:rsidRPr="00362848" w14:paraId="3619EAC7" w14:textId="77777777" w:rsidTr="00BC6CFC">
        <w:tc>
          <w:tcPr>
            <w:tcW w:w="3209" w:type="dxa"/>
          </w:tcPr>
          <w:p w14:paraId="748F009B" w14:textId="52EB41A0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Csarnok</w:t>
            </w:r>
          </w:p>
        </w:tc>
        <w:tc>
          <w:tcPr>
            <w:tcW w:w="3209" w:type="dxa"/>
          </w:tcPr>
          <w:p w14:paraId="2D1725D5" w14:textId="7DDAE5F6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Helyiség száma</w:t>
            </w:r>
          </w:p>
        </w:tc>
        <w:tc>
          <w:tcPr>
            <w:tcW w:w="3210" w:type="dxa"/>
          </w:tcPr>
          <w:p w14:paraId="6C132907" w14:textId="4FCBA593" w:rsidR="00BC6CFC" w:rsidRPr="00362848" w:rsidRDefault="00362848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Helyiség a</w:t>
            </w:r>
            <w:r w:rsidR="00BC6CFC" w:rsidRPr="00362848">
              <w:rPr>
                <w:rFonts w:ascii="Arial" w:hAnsi="Arial" w:cs="Arial"/>
                <w:b/>
                <w:bCs/>
              </w:rPr>
              <w:t>lapterület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C6CFC" w14:paraId="5C53DA27" w14:textId="77777777" w:rsidTr="00BC6CFC">
        <w:tc>
          <w:tcPr>
            <w:tcW w:w="3209" w:type="dxa"/>
          </w:tcPr>
          <w:p w14:paraId="0D017BB3" w14:textId="37483DDE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0CF32BEA" w14:textId="37449C47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I/22.</w:t>
            </w:r>
          </w:p>
        </w:tc>
        <w:tc>
          <w:tcPr>
            <w:tcW w:w="3210" w:type="dxa"/>
          </w:tcPr>
          <w:p w14:paraId="67E87816" w14:textId="72D59F88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11,71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0DEDCBBC" w14:textId="77777777" w:rsidTr="00BC6CFC">
        <w:tc>
          <w:tcPr>
            <w:tcW w:w="3209" w:type="dxa"/>
          </w:tcPr>
          <w:p w14:paraId="2A756D0E" w14:textId="3379D16A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75E57DB0" w14:textId="3308526F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I/23.</w:t>
            </w:r>
          </w:p>
        </w:tc>
        <w:tc>
          <w:tcPr>
            <w:tcW w:w="3210" w:type="dxa"/>
          </w:tcPr>
          <w:p w14:paraId="0013AD58" w14:textId="5E59FA7E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11,66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2A9C28CD" w14:textId="77777777" w:rsidTr="00BC6CFC">
        <w:tc>
          <w:tcPr>
            <w:tcW w:w="3209" w:type="dxa"/>
          </w:tcPr>
          <w:p w14:paraId="0D3684DF" w14:textId="2ED84C4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7F941854" w14:textId="3FEEEC31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I/25.</w:t>
            </w:r>
          </w:p>
        </w:tc>
        <w:tc>
          <w:tcPr>
            <w:tcW w:w="3210" w:type="dxa"/>
          </w:tcPr>
          <w:p w14:paraId="6F765B5E" w14:textId="337973A6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22,22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6D8248FC" w14:textId="77777777" w:rsidTr="00BC6CFC">
        <w:tc>
          <w:tcPr>
            <w:tcW w:w="3209" w:type="dxa"/>
          </w:tcPr>
          <w:p w14:paraId="3EE2FEA5" w14:textId="1D749B6C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254FE1F3" w14:textId="29954C63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I/26.</w:t>
            </w:r>
          </w:p>
        </w:tc>
        <w:tc>
          <w:tcPr>
            <w:tcW w:w="3210" w:type="dxa"/>
          </w:tcPr>
          <w:p w14:paraId="049BF13C" w14:textId="7057F49F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26.,43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4C4E827B" w14:textId="77777777" w:rsidTr="00BC6CFC">
        <w:tc>
          <w:tcPr>
            <w:tcW w:w="3209" w:type="dxa"/>
          </w:tcPr>
          <w:p w14:paraId="2DFAA9B2" w14:textId="48C6FE7B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044CE1B1" w14:textId="44695F4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I/28.</w:t>
            </w:r>
          </w:p>
        </w:tc>
        <w:tc>
          <w:tcPr>
            <w:tcW w:w="3210" w:type="dxa"/>
          </w:tcPr>
          <w:p w14:paraId="147AF67B" w14:textId="79507856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43D8048C" w14:textId="77777777" w:rsidTr="00BC6CFC">
        <w:tc>
          <w:tcPr>
            <w:tcW w:w="3209" w:type="dxa"/>
          </w:tcPr>
          <w:p w14:paraId="2A38B059" w14:textId="2D304158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5BD1FFE0" w14:textId="51D7040A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I/29.</w:t>
            </w:r>
          </w:p>
        </w:tc>
        <w:tc>
          <w:tcPr>
            <w:tcW w:w="3210" w:type="dxa"/>
          </w:tcPr>
          <w:p w14:paraId="22522166" w14:textId="1F256FC2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31,38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51D03306" w14:textId="77777777" w:rsidTr="00BC6CFC">
        <w:tc>
          <w:tcPr>
            <w:tcW w:w="3209" w:type="dxa"/>
          </w:tcPr>
          <w:p w14:paraId="431D05E6" w14:textId="7FE28DD2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B780DF0" w14:textId="616D5C6C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I/30.</w:t>
            </w:r>
          </w:p>
        </w:tc>
        <w:tc>
          <w:tcPr>
            <w:tcW w:w="3210" w:type="dxa"/>
          </w:tcPr>
          <w:p w14:paraId="57BB91AB" w14:textId="7A3D2A5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31,38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04FF5FBD" w14:textId="77777777" w:rsidTr="00BC6CFC">
        <w:tc>
          <w:tcPr>
            <w:tcW w:w="3209" w:type="dxa"/>
          </w:tcPr>
          <w:p w14:paraId="6F5C1343" w14:textId="50D39113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A5BEC13" w14:textId="4BBC0C74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I/31.</w:t>
            </w:r>
          </w:p>
        </w:tc>
        <w:tc>
          <w:tcPr>
            <w:tcW w:w="3210" w:type="dxa"/>
          </w:tcPr>
          <w:p w14:paraId="737C5CC1" w14:textId="178DFC5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31,35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692912E3" w14:textId="77777777" w:rsidTr="00BC6CFC">
        <w:tc>
          <w:tcPr>
            <w:tcW w:w="3209" w:type="dxa"/>
          </w:tcPr>
          <w:p w14:paraId="10CD6E6C" w14:textId="1129FBDD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411E706" w14:textId="61F0156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I/33.</w:t>
            </w:r>
          </w:p>
        </w:tc>
        <w:tc>
          <w:tcPr>
            <w:tcW w:w="3210" w:type="dxa"/>
          </w:tcPr>
          <w:p w14:paraId="2DD89717" w14:textId="3D153F3C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34,54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09539DA1" w14:textId="77777777" w:rsidTr="00BC6CFC">
        <w:tc>
          <w:tcPr>
            <w:tcW w:w="3209" w:type="dxa"/>
          </w:tcPr>
          <w:p w14:paraId="7441BD74" w14:textId="0DAA3580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190DFE62" w14:textId="32913AB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I/34.</w:t>
            </w:r>
          </w:p>
        </w:tc>
        <w:tc>
          <w:tcPr>
            <w:tcW w:w="3210" w:type="dxa"/>
          </w:tcPr>
          <w:p w14:paraId="48E4B72A" w14:textId="7327C725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19,54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2C713EA3" w14:textId="77777777" w:rsidTr="00BC6CFC">
        <w:tc>
          <w:tcPr>
            <w:tcW w:w="3209" w:type="dxa"/>
          </w:tcPr>
          <w:p w14:paraId="1AAAFC02" w14:textId="67217D1D" w:rsidR="00BC6CFC" w:rsidRPr="00BC6CFC" w:rsidRDefault="00BC6CFC" w:rsidP="00BC6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="007D1B60">
              <w:rPr>
                <w:rFonts w:ascii="Arial" w:hAnsi="Arial" w:cs="Arial"/>
              </w:rPr>
              <w:t xml:space="preserve">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2C92A59B" w14:textId="7BE2196E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I/18.</w:t>
            </w:r>
          </w:p>
        </w:tc>
        <w:tc>
          <w:tcPr>
            <w:tcW w:w="3210" w:type="dxa"/>
          </w:tcPr>
          <w:p w14:paraId="10E7ECB9" w14:textId="580FDB4A" w:rsidR="00BC6CFC" w:rsidRDefault="00BC6CFC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12,62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C6CFC" w14:paraId="74659746" w14:textId="77777777" w:rsidTr="00BC6CFC">
        <w:tc>
          <w:tcPr>
            <w:tcW w:w="3209" w:type="dxa"/>
          </w:tcPr>
          <w:p w14:paraId="21C3AB9D" w14:textId="6A522C32" w:rsidR="00BC6CFC" w:rsidRDefault="007D1B60" w:rsidP="00BC6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6A9B753B" w14:textId="28A6850F" w:rsidR="00BC6CFC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I/19.</w:t>
            </w:r>
          </w:p>
        </w:tc>
        <w:tc>
          <w:tcPr>
            <w:tcW w:w="3210" w:type="dxa"/>
          </w:tcPr>
          <w:p w14:paraId="68ED5869" w14:textId="735C81AB" w:rsidR="00BC6CFC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10,51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46644A10" w14:textId="77777777" w:rsidTr="00BC6CFC">
        <w:tc>
          <w:tcPr>
            <w:tcW w:w="3209" w:type="dxa"/>
          </w:tcPr>
          <w:p w14:paraId="32261FC1" w14:textId="70FCEAF6" w:rsidR="00BA7014" w:rsidRPr="00BA7014" w:rsidRDefault="007D1B60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7B9CF099" w14:textId="5B014448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I/17.</w:t>
            </w:r>
          </w:p>
        </w:tc>
        <w:tc>
          <w:tcPr>
            <w:tcW w:w="3210" w:type="dxa"/>
          </w:tcPr>
          <w:p w14:paraId="4EC71458" w14:textId="3EE76A84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53,83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55C11670" w14:textId="77777777" w:rsidTr="00BC6CFC">
        <w:tc>
          <w:tcPr>
            <w:tcW w:w="3209" w:type="dxa"/>
          </w:tcPr>
          <w:p w14:paraId="48F682C7" w14:textId="674FC233" w:rsidR="00BA7014" w:rsidRDefault="007D1B60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3403DBF1" w14:textId="409B83C0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I/9.</w:t>
            </w:r>
          </w:p>
        </w:tc>
        <w:tc>
          <w:tcPr>
            <w:tcW w:w="3210" w:type="dxa"/>
          </w:tcPr>
          <w:p w14:paraId="1319899D" w14:textId="4EEE2B49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84,55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4EB74C8C" w14:textId="77777777" w:rsidTr="00BC6CFC">
        <w:tc>
          <w:tcPr>
            <w:tcW w:w="3209" w:type="dxa"/>
          </w:tcPr>
          <w:p w14:paraId="65DD5ADF" w14:textId="2C6C1B79" w:rsidR="00BA7014" w:rsidRPr="00BA7014" w:rsidRDefault="007D1B60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BC6CFC">
              <w:rPr>
                <w:rFonts w:ascii="Arial" w:hAnsi="Arial" w:cs="Arial"/>
              </w:rPr>
              <w:t>csarno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3209" w:type="dxa"/>
          </w:tcPr>
          <w:p w14:paraId="77F40DDA" w14:textId="44DBF0D3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I/7.</w:t>
            </w:r>
          </w:p>
        </w:tc>
        <w:tc>
          <w:tcPr>
            <w:tcW w:w="3210" w:type="dxa"/>
          </w:tcPr>
          <w:p w14:paraId="68C45329" w14:textId="21FF677D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75248D2E" w14:textId="77777777" w:rsidTr="00BC6CFC">
        <w:tc>
          <w:tcPr>
            <w:tcW w:w="3209" w:type="dxa"/>
          </w:tcPr>
          <w:p w14:paraId="65F56486" w14:textId="53D28CA6" w:rsidR="00BA7014" w:rsidRPr="00BA7014" w:rsidRDefault="00BA7014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 átjáró</w:t>
            </w:r>
          </w:p>
        </w:tc>
        <w:tc>
          <w:tcPr>
            <w:tcW w:w="3209" w:type="dxa"/>
          </w:tcPr>
          <w:p w14:paraId="121E551B" w14:textId="3B1F4773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II/29.</w:t>
            </w:r>
          </w:p>
        </w:tc>
        <w:tc>
          <w:tcPr>
            <w:tcW w:w="3210" w:type="dxa"/>
          </w:tcPr>
          <w:p w14:paraId="30B399EB" w14:textId="5E31E353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413690DB" w14:textId="77777777" w:rsidTr="00BC6CFC">
        <w:tc>
          <w:tcPr>
            <w:tcW w:w="3209" w:type="dxa"/>
          </w:tcPr>
          <w:p w14:paraId="310A5DA2" w14:textId="626ECE24" w:rsidR="00BA7014" w:rsidRDefault="00BA7014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B6CC51" w14:textId="05049048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II/28.</w:t>
            </w:r>
          </w:p>
        </w:tc>
        <w:tc>
          <w:tcPr>
            <w:tcW w:w="3210" w:type="dxa"/>
          </w:tcPr>
          <w:p w14:paraId="00C92FAC" w14:textId="3AEADAD8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109,47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794F936E" w14:textId="77777777" w:rsidTr="00BC6CFC">
        <w:tc>
          <w:tcPr>
            <w:tcW w:w="3209" w:type="dxa"/>
          </w:tcPr>
          <w:p w14:paraId="7CC49AB4" w14:textId="2AF0239E" w:rsidR="00BA7014" w:rsidRDefault="00BA7014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D6FF0D7" w14:textId="734DB8BF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II/4.</w:t>
            </w:r>
          </w:p>
        </w:tc>
        <w:tc>
          <w:tcPr>
            <w:tcW w:w="3210" w:type="dxa"/>
          </w:tcPr>
          <w:p w14:paraId="6A772EE9" w14:textId="5EDA5554" w:rsidR="00BA7014" w:rsidRDefault="00BA7014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11,70</w:t>
            </w:r>
            <w:r w:rsidR="00362848">
              <w:rPr>
                <w:rFonts w:ascii="Arial" w:hAnsi="Arial" w:cs="Arial"/>
              </w:rPr>
              <w:t xml:space="preserve"> m</w:t>
            </w:r>
            <w:r w:rsidR="00362848"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7014" w14:paraId="086E819F" w14:textId="77777777" w:rsidTr="00BC6CFC">
        <w:tc>
          <w:tcPr>
            <w:tcW w:w="3209" w:type="dxa"/>
          </w:tcPr>
          <w:p w14:paraId="0477718F" w14:textId="6627E533" w:rsidR="00BA7014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4C402E" w14:textId="7C19E1D1" w:rsidR="00BA7014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II/6.</w:t>
            </w:r>
          </w:p>
        </w:tc>
        <w:tc>
          <w:tcPr>
            <w:tcW w:w="3210" w:type="dxa"/>
          </w:tcPr>
          <w:p w14:paraId="09471E9F" w14:textId="79084E94" w:rsidR="00BA7014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5,99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62CBFADD" w14:textId="77777777" w:rsidTr="00BC6CFC">
        <w:tc>
          <w:tcPr>
            <w:tcW w:w="3209" w:type="dxa"/>
          </w:tcPr>
          <w:p w14:paraId="1702167A" w14:textId="226FF500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462509AE" w14:textId="3D2F7E13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II/9.</w:t>
            </w:r>
          </w:p>
        </w:tc>
        <w:tc>
          <w:tcPr>
            <w:tcW w:w="3210" w:type="dxa"/>
          </w:tcPr>
          <w:p w14:paraId="15F13D5E" w14:textId="4EBB8684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9,66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3E921171" w14:textId="77777777" w:rsidTr="00BC6CFC">
        <w:tc>
          <w:tcPr>
            <w:tcW w:w="3209" w:type="dxa"/>
          </w:tcPr>
          <w:p w14:paraId="3D56CF9A" w14:textId="06F052B9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csarnok </w:t>
            </w:r>
          </w:p>
        </w:tc>
        <w:tc>
          <w:tcPr>
            <w:tcW w:w="3209" w:type="dxa"/>
          </w:tcPr>
          <w:p w14:paraId="46671F96" w14:textId="1A6F9ED5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II/12.</w:t>
            </w:r>
          </w:p>
        </w:tc>
        <w:tc>
          <w:tcPr>
            <w:tcW w:w="3210" w:type="dxa"/>
          </w:tcPr>
          <w:p w14:paraId="7D3392C2" w14:textId="0B244E72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7,72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3732F4A4" w14:textId="77777777" w:rsidTr="00BC6CFC">
        <w:tc>
          <w:tcPr>
            <w:tcW w:w="3209" w:type="dxa"/>
          </w:tcPr>
          <w:p w14:paraId="4E726D5F" w14:textId="04A67A13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6DABCFE" w14:textId="6D6473D7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II/14.</w:t>
            </w:r>
          </w:p>
        </w:tc>
        <w:tc>
          <w:tcPr>
            <w:tcW w:w="3210" w:type="dxa"/>
          </w:tcPr>
          <w:p w14:paraId="609109D4" w14:textId="0AE232C0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7,74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6BA8F7A7" w14:textId="77777777" w:rsidTr="00BC6CFC">
        <w:tc>
          <w:tcPr>
            <w:tcW w:w="3209" w:type="dxa"/>
          </w:tcPr>
          <w:p w14:paraId="65E93631" w14:textId="59965661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ED0F135" w14:textId="6A207460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II/15.</w:t>
            </w:r>
          </w:p>
        </w:tc>
        <w:tc>
          <w:tcPr>
            <w:tcW w:w="3210" w:type="dxa"/>
          </w:tcPr>
          <w:p w14:paraId="70C25E4F" w14:textId="22C1A03B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5779DC1E" w14:textId="77777777" w:rsidTr="00BC6CFC">
        <w:tc>
          <w:tcPr>
            <w:tcW w:w="3209" w:type="dxa"/>
          </w:tcPr>
          <w:p w14:paraId="177668F9" w14:textId="4B7A2966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4A5E4E3" w14:textId="6EAC7B7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II/22.</w:t>
            </w:r>
          </w:p>
        </w:tc>
        <w:tc>
          <w:tcPr>
            <w:tcW w:w="3210" w:type="dxa"/>
          </w:tcPr>
          <w:p w14:paraId="5B4A966E" w14:textId="792CBEE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62848" w14:paraId="459F3728" w14:textId="77777777" w:rsidTr="00BC6CFC">
        <w:tc>
          <w:tcPr>
            <w:tcW w:w="3209" w:type="dxa"/>
          </w:tcPr>
          <w:p w14:paraId="487B2DB1" w14:textId="145554A4" w:rsidR="00362848" w:rsidRDefault="00362848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894B9D1" w14:textId="18558A5A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II/23.</w:t>
            </w:r>
          </w:p>
        </w:tc>
        <w:tc>
          <w:tcPr>
            <w:tcW w:w="3210" w:type="dxa"/>
          </w:tcPr>
          <w:p w14:paraId="3CA94A96" w14:textId="44A4FBC9" w:rsidR="00362848" w:rsidRDefault="00362848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 m</w:t>
            </w:r>
            <w:r w:rsidRPr="00BC6CFC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11F41FC4" w14:textId="77777777" w:rsidR="00BC6CFC" w:rsidRDefault="00BC6CFC" w:rsidP="00AB7B66">
      <w:pPr>
        <w:jc w:val="both"/>
        <w:rPr>
          <w:rFonts w:ascii="Arial" w:hAnsi="Arial" w:cs="Arial"/>
        </w:rPr>
      </w:pPr>
    </w:p>
    <w:p w14:paraId="598A7E70" w14:textId="2C2D5B23" w:rsidR="00BC6CFC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13DCE">
        <w:rPr>
          <w:rFonts w:ascii="Arial" w:hAnsi="Arial" w:cs="Arial"/>
        </w:rPr>
        <w:t xml:space="preserve">Vásárcsarnok igazgatója a </w:t>
      </w:r>
      <w:r>
        <w:rPr>
          <w:rFonts w:ascii="Arial" w:hAnsi="Arial" w:cs="Arial"/>
        </w:rPr>
        <w:t>helyiség</w:t>
      </w:r>
      <w:r w:rsidR="00BC6CFC">
        <w:rPr>
          <w:rFonts w:ascii="Arial" w:hAnsi="Arial" w:cs="Arial"/>
        </w:rPr>
        <w:t xml:space="preserve">ek </w:t>
      </w:r>
      <w:r w:rsidR="00A20F3A">
        <w:rPr>
          <w:rFonts w:ascii="Arial" w:hAnsi="Arial" w:cs="Arial"/>
        </w:rPr>
        <w:t>bérbeadására vonatkozó időtartam</w:t>
      </w:r>
      <w:r w:rsidR="00513DCE">
        <w:rPr>
          <w:rFonts w:ascii="Arial" w:hAnsi="Arial" w:cs="Arial"/>
        </w:rPr>
        <w:t>ot</w:t>
      </w:r>
      <w:r w:rsidR="00BC6CFC">
        <w:rPr>
          <w:rFonts w:ascii="Arial" w:hAnsi="Arial" w:cs="Arial"/>
        </w:rPr>
        <w:t xml:space="preserve"> Szombathely </w:t>
      </w:r>
      <w:r w:rsidR="007D1B60">
        <w:rPr>
          <w:rFonts w:ascii="Arial" w:hAnsi="Arial" w:cs="Arial"/>
        </w:rPr>
        <w:t>M</w:t>
      </w:r>
      <w:r w:rsidR="00BC6CFC">
        <w:rPr>
          <w:rFonts w:ascii="Arial" w:hAnsi="Arial" w:cs="Arial"/>
        </w:rPr>
        <w:t>egyei Jogú Város Önkormányzata Közgyűlésének a</w:t>
      </w:r>
      <w:r w:rsidR="0095658C">
        <w:rPr>
          <w:rFonts w:ascii="Arial" w:hAnsi="Arial" w:cs="Arial"/>
        </w:rPr>
        <w:t xml:space="preserve"> vásárok és piacok működéséről szóló 34/1995. (X.26.) önkormányzati rendelet</w:t>
      </w:r>
      <w:r w:rsidR="00BC6CFC">
        <w:rPr>
          <w:rFonts w:ascii="Arial" w:hAnsi="Arial" w:cs="Arial"/>
        </w:rPr>
        <w:t>ének</w:t>
      </w:r>
      <w:r w:rsidR="0086391F">
        <w:rPr>
          <w:rFonts w:ascii="Arial" w:hAnsi="Arial" w:cs="Arial"/>
        </w:rPr>
        <w:t xml:space="preserve"> (a továbbiakban: rendelet)</w:t>
      </w:r>
      <w:r w:rsidR="00BC6CFC">
        <w:rPr>
          <w:rFonts w:ascii="Arial" w:hAnsi="Arial" w:cs="Arial"/>
        </w:rPr>
        <w:t xml:space="preserve"> 8. § (1) bekezdésen </w:t>
      </w:r>
      <w:r w:rsidR="00513DCE">
        <w:rPr>
          <w:rFonts w:ascii="Arial" w:hAnsi="Arial" w:cs="Arial"/>
        </w:rPr>
        <w:t>rögzített</w:t>
      </w:r>
      <w:r w:rsidR="0063023A">
        <w:rPr>
          <w:rFonts w:ascii="Arial" w:hAnsi="Arial" w:cs="Arial"/>
        </w:rPr>
        <w:t xml:space="preserve"> </w:t>
      </w:r>
      <w:r w:rsidR="00513DCE">
        <w:rPr>
          <w:rFonts w:ascii="Arial" w:hAnsi="Arial" w:cs="Arial"/>
        </w:rPr>
        <w:t>leghosszabb,</w:t>
      </w:r>
      <w:r w:rsidR="00BC6CFC">
        <w:rPr>
          <w:rFonts w:ascii="Arial" w:hAnsi="Arial" w:cs="Arial"/>
        </w:rPr>
        <w:t xml:space="preserve"> 5 éves időtartamban </w:t>
      </w:r>
      <w:r w:rsidR="00513DCE">
        <w:rPr>
          <w:rFonts w:ascii="Arial" w:hAnsi="Arial" w:cs="Arial"/>
        </w:rPr>
        <w:t>határozta meg</w:t>
      </w:r>
      <w:r w:rsidR="007D1B60">
        <w:rPr>
          <w:rFonts w:ascii="Arial" w:hAnsi="Arial" w:cs="Arial"/>
        </w:rPr>
        <w:t>.</w:t>
      </w:r>
    </w:p>
    <w:p w14:paraId="7FAE6B9A" w14:textId="77777777" w:rsidR="00BC6CFC" w:rsidRDefault="00BC6CFC" w:rsidP="00AB7B66">
      <w:pPr>
        <w:jc w:val="both"/>
        <w:rPr>
          <w:rFonts w:ascii="Arial" w:hAnsi="Arial" w:cs="Arial"/>
        </w:rPr>
      </w:pPr>
    </w:p>
    <w:p w14:paraId="241E5299" w14:textId="6A781E32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az újonnan kialakított, valamint a megüresedő üzletek hasznosítása pályázat útján történik. A pályázók közül az üzlet bérleti jogát az szerzi meg, aki a pályázati feltételeknek megfelel és a legnagyobb összegű bérleti díj megfizetés</w:t>
      </w:r>
      <w:r w:rsidR="00F67EF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14:paraId="3A5388E1" w14:textId="77777777" w:rsidR="00AB7B66" w:rsidRDefault="00AB7B66" w:rsidP="00AB7B66">
      <w:pPr>
        <w:jc w:val="both"/>
        <w:rPr>
          <w:rFonts w:ascii="Arial" w:hAnsi="Arial" w:cs="Arial"/>
        </w:rPr>
      </w:pPr>
    </w:p>
    <w:p w14:paraId="31B6FCA7" w14:textId="2111A51B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14:paraId="54074F22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14:paraId="3773BB98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14:paraId="6DF093CD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14:paraId="41631AA8" w14:textId="3CF7B8AD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  <w:r w:rsidR="003C5DED">
        <w:rPr>
          <w:rFonts w:ascii="Arial" w:hAnsi="Arial" w:cs="Arial"/>
        </w:rPr>
        <w:t>,</w:t>
      </w:r>
    </w:p>
    <w:p w14:paraId="12026A30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14:paraId="01B06E09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14:paraId="687A0464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14:paraId="2C076838" w14:textId="77777777" w:rsidR="00AB7B66" w:rsidRDefault="00AB7B66" w:rsidP="00AB7B66">
      <w:pPr>
        <w:jc w:val="both"/>
        <w:rPr>
          <w:rFonts w:ascii="Arial" w:hAnsi="Arial" w:cs="Arial"/>
        </w:rPr>
      </w:pPr>
    </w:p>
    <w:p w14:paraId="3335E870" w14:textId="3AFABFAF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F67EFA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pályázati feltételeket a gazdasági ügyeket ellátó bizottság hagyja jóvá. A pályázatot az intézmény vezetője írja ki. </w:t>
      </w:r>
    </w:p>
    <w:p w14:paraId="0F0E8B0B" w14:textId="6829F61C" w:rsidR="0079263E" w:rsidRDefault="001A329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meghatározta </w:t>
      </w:r>
      <w:r w:rsidR="00A20F3A">
        <w:rPr>
          <w:rFonts w:ascii="Arial" w:hAnsi="Arial" w:cs="Arial"/>
        </w:rPr>
        <w:t xml:space="preserve">az egyes üzlethelyiségekre vonatkozó </w:t>
      </w:r>
      <w:r>
        <w:rPr>
          <w:rFonts w:ascii="Arial" w:hAnsi="Arial" w:cs="Arial"/>
        </w:rPr>
        <w:t>pályázati feltételeket</w:t>
      </w:r>
      <w:r w:rsidR="007D1B60">
        <w:rPr>
          <w:rFonts w:ascii="Arial" w:hAnsi="Arial" w:cs="Arial"/>
        </w:rPr>
        <w:t xml:space="preserve">, </w:t>
      </w:r>
      <w:r w:rsidR="0086391F">
        <w:rPr>
          <w:rFonts w:ascii="Arial" w:hAnsi="Arial" w:cs="Arial"/>
        </w:rPr>
        <w:t>a</w:t>
      </w:r>
      <w:r w:rsidR="007D1B60">
        <w:rPr>
          <w:rFonts w:ascii="Arial" w:hAnsi="Arial" w:cs="Arial"/>
        </w:rPr>
        <w:t xml:space="preserve">melyek </w:t>
      </w:r>
      <w:r w:rsidR="00A20F3A">
        <w:rPr>
          <w:rFonts w:ascii="Arial" w:hAnsi="Arial" w:cs="Arial"/>
        </w:rPr>
        <w:t>az</w:t>
      </w:r>
      <w:r w:rsidR="007D1B60">
        <w:rPr>
          <w:rFonts w:ascii="Arial" w:hAnsi="Arial" w:cs="Arial"/>
        </w:rPr>
        <w:t xml:space="preserve"> előterjesztés mellékletében találhatóak. A pályázati feltételek a rendeletben </w:t>
      </w:r>
      <w:r w:rsidR="0079263E">
        <w:rPr>
          <w:rFonts w:ascii="Arial" w:hAnsi="Arial" w:cs="Arial"/>
        </w:rPr>
        <w:t>szereplő</w:t>
      </w:r>
      <w:r w:rsidR="007D1B60">
        <w:rPr>
          <w:rFonts w:ascii="Arial" w:hAnsi="Arial" w:cs="Arial"/>
        </w:rPr>
        <w:t xml:space="preserve"> </w:t>
      </w:r>
      <w:r w:rsidR="00E371D0">
        <w:rPr>
          <w:rFonts w:ascii="Arial" w:hAnsi="Arial" w:cs="Arial"/>
        </w:rPr>
        <w:t>tartalommal kerültek meghatározásra</w:t>
      </w:r>
      <w:r w:rsidR="007D1B60">
        <w:rPr>
          <w:rFonts w:ascii="Arial" w:hAnsi="Arial" w:cs="Arial"/>
        </w:rPr>
        <w:t>.</w:t>
      </w:r>
    </w:p>
    <w:p w14:paraId="51A2B7DB" w14:textId="77777777" w:rsidR="00BA6C62" w:rsidRDefault="00BA6C62" w:rsidP="001A329E">
      <w:pPr>
        <w:jc w:val="both"/>
        <w:rPr>
          <w:rFonts w:ascii="Arial" w:hAnsi="Arial" w:cs="Arial"/>
        </w:rPr>
      </w:pPr>
    </w:p>
    <w:p w14:paraId="45BCFA69" w14:textId="36ED0D48" w:rsidR="0080593E" w:rsidRDefault="0079263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felújítása </w:t>
      </w:r>
      <w:r w:rsidR="0063023A">
        <w:rPr>
          <w:rFonts w:ascii="Arial" w:hAnsi="Arial" w:cs="Arial"/>
        </w:rPr>
        <w:t xml:space="preserve">a </w:t>
      </w:r>
      <w:r w:rsidR="00FA4695">
        <w:rPr>
          <w:rFonts w:ascii="Arial" w:hAnsi="Arial" w:cs="Arial"/>
        </w:rPr>
        <w:t>Terület- és Településfejlesztési Operatív Program (a továbbiakban</w:t>
      </w:r>
      <w:r w:rsidR="003C5DED">
        <w:rPr>
          <w:rFonts w:ascii="Arial" w:hAnsi="Arial" w:cs="Arial"/>
        </w:rPr>
        <w:t>:</w:t>
      </w:r>
      <w:r w:rsidR="00FA4695">
        <w:rPr>
          <w:rFonts w:ascii="Arial" w:hAnsi="Arial" w:cs="Arial"/>
        </w:rPr>
        <w:t xml:space="preserve"> TOP) keretében nyújtott támogatásból </w:t>
      </w:r>
      <w:r w:rsidR="00AB40F2">
        <w:rPr>
          <w:rFonts w:ascii="Arial" w:hAnsi="Arial" w:cs="Arial"/>
        </w:rPr>
        <w:t xml:space="preserve">(TOP-6.1.3-15SH1-2016-00001) </w:t>
      </w:r>
      <w:r w:rsidR="00FA4695">
        <w:rPr>
          <w:rFonts w:ascii="Arial" w:hAnsi="Arial" w:cs="Arial"/>
        </w:rPr>
        <w:t xml:space="preserve">valósul meg. A Vásárcsarnok üzemeltetése, az épületen belül a helyiségek kialakítása, átalakítása során figyelemmel kell lenni a </w:t>
      </w:r>
      <w:r w:rsidR="0063023A">
        <w:rPr>
          <w:rFonts w:ascii="Arial" w:hAnsi="Arial" w:cs="Arial"/>
        </w:rPr>
        <w:t xml:space="preserve">TOP </w:t>
      </w:r>
      <w:r w:rsidR="00FA4695">
        <w:rPr>
          <w:rFonts w:ascii="Arial" w:hAnsi="Arial" w:cs="Arial"/>
        </w:rPr>
        <w:t>pályázati előírásokra</w:t>
      </w:r>
      <w:r w:rsidR="00AB40F2">
        <w:rPr>
          <w:rFonts w:ascii="Arial" w:hAnsi="Arial" w:cs="Arial"/>
        </w:rPr>
        <w:t>,</w:t>
      </w:r>
      <w:r w:rsidR="00FA4695">
        <w:rPr>
          <w:rFonts w:ascii="Arial" w:hAnsi="Arial" w:cs="Arial"/>
        </w:rPr>
        <w:t xml:space="preserve"> illetve a Támogatói Szerződésben foglalt</w:t>
      </w:r>
      <w:r w:rsidR="00AB40F2">
        <w:rPr>
          <w:rFonts w:ascii="Arial" w:hAnsi="Arial" w:cs="Arial"/>
        </w:rPr>
        <w:t xml:space="preserve"> feltételekre</w:t>
      </w:r>
      <w:r w:rsidR="00AC492A" w:rsidRPr="00AC492A">
        <w:rPr>
          <w:rFonts w:ascii="Arial" w:hAnsi="Arial" w:cs="Arial"/>
        </w:rPr>
        <w:t xml:space="preserve"> </w:t>
      </w:r>
      <w:r w:rsidR="00AC492A">
        <w:rPr>
          <w:rFonts w:ascii="Arial" w:hAnsi="Arial" w:cs="Arial"/>
        </w:rPr>
        <w:t>a projekt lezárását követő fenntartási időszakban</w:t>
      </w:r>
      <w:r w:rsidR="0063023A">
        <w:rPr>
          <w:rFonts w:ascii="Arial" w:hAnsi="Arial" w:cs="Arial"/>
        </w:rPr>
        <w:t xml:space="preserve"> is</w:t>
      </w:r>
      <w:r w:rsidR="00AC492A">
        <w:rPr>
          <w:rFonts w:ascii="Arial" w:hAnsi="Arial" w:cs="Arial"/>
        </w:rPr>
        <w:t xml:space="preserve">. </w:t>
      </w:r>
      <w:r w:rsidR="00AC492A" w:rsidRPr="0004637A">
        <w:rPr>
          <w:rFonts w:ascii="Arial" w:hAnsi="Arial" w:cs="Arial"/>
        </w:rPr>
        <w:t>A</w:t>
      </w:r>
      <w:r w:rsidR="00AC492A">
        <w:rPr>
          <w:rFonts w:ascii="Arial" w:hAnsi="Arial" w:cs="Arial"/>
        </w:rPr>
        <w:t>z 5 éves</w:t>
      </w:r>
      <w:r w:rsidR="00AC492A" w:rsidRPr="0004637A">
        <w:rPr>
          <w:rFonts w:ascii="Arial" w:hAnsi="Arial" w:cs="Arial"/>
        </w:rPr>
        <w:t xml:space="preserve"> fenntartási időszak </w:t>
      </w:r>
      <w:r w:rsidR="00AC492A">
        <w:rPr>
          <w:rFonts w:ascii="Arial" w:hAnsi="Arial" w:cs="Arial"/>
        </w:rPr>
        <w:t>kezdete</w:t>
      </w:r>
      <w:r w:rsidR="0080593E" w:rsidRPr="0004637A">
        <w:rPr>
          <w:rFonts w:ascii="Arial" w:hAnsi="Arial" w:cs="Arial"/>
        </w:rPr>
        <w:t xml:space="preserve"> a záró kifizetésigénylés és a záró szakmai jelentés elfogadásának időpontja.</w:t>
      </w:r>
      <w:r w:rsidR="00AC492A" w:rsidRPr="00AC492A">
        <w:rPr>
          <w:rFonts w:ascii="Arial" w:hAnsi="Arial" w:cs="Arial"/>
        </w:rPr>
        <w:t xml:space="preserve"> </w:t>
      </w:r>
    </w:p>
    <w:p w14:paraId="1F1EA3A1" w14:textId="622B9E02" w:rsidR="0080593E" w:rsidRPr="0004637A" w:rsidRDefault="0080593E" w:rsidP="00805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 projekttel összefüggésben e</w:t>
      </w:r>
      <w:r w:rsidR="00AB40F2">
        <w:rPr>
          <w:rFonts w:ascii="Arial" w:hAnsi="Arial" w:cs="Arial"/>
        </w:rPr>
        <w:t xml:space="preserve">zért </w:t>
      </w:r>
      <w:r>
        <w:rPr>
          <w:rFonts w:ascii="Arial" w:hAnsi="Arial" w:cs="Arial"/>
        </w:rPr>
        <w:t>az általános szerződési feltételeken kívül, az alábbi feltételeket is szükséges előírni:</w:t>
      </w:r>
    </w:p>
    <w:p w14:paraId="1DA1E55B" w14:textId="6510C7C3" w:rsidR="0080593E" w:rsidRPr="00BA6C62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593E" w:rsidRPr="00BA6C62">
        <w:rPr>
          <w:rFonts w:ascii="Arial" w:hAnsi="Arial" w:cs="Arial"/>
        </w:rPr>
        <w:t xml:space="preserve">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="0080593E" w:rsidRPr="00BA6C62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>
        <w:rPr>
          <w:rFonts w:ascii="Arial" w:hAnsi="Arial" w:cs="Arial"/>
        </w:rPr>
        <w:t>;</w:t>
      </w:r>
    </w:p>
    <w:p w14:paraId="66E89791" w14:textId="32EEEBB1" w:rsidR="0080593E" w:rsidRPr="0004637A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>
        <w:rPr>
          <w:rFonts w:ascii="Arial" w:hAnsi="Arial" w:cs="Arial"/>
        </w:rPr>
        <w:t>;</w:t>
      </w:r>
    </w:p>
    <w:p w14:paraId="34C83572" w14:textId="314484FA" w:rsidR="0063023A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A6C62">
        <w:rPr>
          <w:rFonts w:ascii="Arial" w:hAnsi="Arial" w:cs="Arial"/>
        </w:rPr>
        <w:t xml:space="preserve">amennyiben a fenntartási időszak ideje alatt szűnik meg a bérlő bérleti jogviszonya, a </w:t>
      </w:r>
      <w:r>
        <w:rPr>
          <w:rFonts w:ascii="Arial" w:hAnsi="Arial" w:cs="Arial"/>
        </w:rPr>
        <w:t>bérbeadó követelheti az üzlethelyiség</w:t>
      </w:r>
      <w:r w:rsidRPr="00BA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helyreállítását/visszaállítását a bérlő saját költségére.</w:t>
      </w:r>
    </w:p>
    <w:p w14:paraId="6B02C3FC" w14:textId="77777777" w:rsidR="00AB40F2" w:rsidRPr="00AC492A" w:rsidRDefault="00AB40F2" w:rsidP="00AB7B66">
      <w:pPr>
        <w:jc w:val="both"/>
        <w:rPr>
          <w:rFonts w:ascii="Arial" w:hAnsi="Arial" w:cs="Arial"/>
        </w:rPr>
      </w:pPr>
    </w:p>
    <w:p w14:paraId="5BBB78F6" w14:textId="7A3FA0D2" w:rsidR="00040323" w:rsidRPr="00AC492A" w:rsidRDefault="00040323" w:rsidP="00040323">
      <w:pPr>
        <w:jc w:val="both"/>
        <w:rPr>
          <w:rFonts w:ascii="Arial" w:hAnsi="Arial" w:cs="Arial"/>
        </w:rPr>
      </w:pPr>
      <w:r w:rsidRPr="00AC492A">
        <w:rPr>
          <w:rFonts w:ascii="Arial" w:hAnsi="Arial" w:cs="Arial"/>
        </w:rPr>
        <w:t>A Vásárcsarnok felújítása alatt több bérlő bérleti jogviszony</w:t>
      </w:r>
      <w:r w:rsidR="003C5DED">
        <w:rPr>
          <w:rFonts w:ascii="Arial" w:hAnsi="Arial" w:cs="Arial"/>
        </w:rPr>
        <w:t>a</w:t>
      </w:r>
      <w:r w:rsidR="00AC492A" w:rsidRPr="00AC492A">
        <w:rPr>
          <w:rFonts w:ascii="Arial" w:hAnsi="Arial" w:cs="Arial"/>
        </w:rPr>
        <w:t xml:space="preserve"> folyamatos, </w:t>
      </w:r>
      <w:r w:rsidRPr="00AC492A">
        <w:rPr>
          <w:rFonts w:ascii="Arial" w:hAnsi="Arial" w:cs="Arial"/>
        </w:rPr>
        <w:t xml:space="preserve">ezért esetükben a Vásárcsarnok műszaki átadását és teljes körű megnyitását követően új helyiségbérleti pályázat kiírására nem kerül sor. </w:t>
      </w:r>
    </w:p>
    <w:p w14:paraId="31D43F80" w14:textId="77777777" w:rsidR="00BA6C62" w:rsidRPr="00AC492A" w:rsidRDefault="00BA6C62" w:rsidP="00AB40F2">
      <w:pPr>
        <w:jc w:val="both"/>
        <w:rPr>
          <w:rFonts w:ascii="Arial" w:hAnsi="Arial" w:cs="Arial"/>
        </w:rPr>
      </w:pPr>
    </w:p>
    <w:p w14:paraId="27BD62A0" w14:textId="42682EB2" w:rsidR="00AB40F2" w:rsidRPr="00040323" w:rsidRDefault="00AB40F2" w:rsidP="00AB40F2">
      <w:pPr>
        <w:jc w:val="both"/>
        <w:rPr>
          <w:rFonts w:ascii="Arial" w:hAnsi="Arial" w:cs="Arial"/>
        </w:rPr>
      </w:pPr>
      <w:r w:rsidRPr="00AC492A">
        <w:rPr>
          <w:rFonts w:ascii="Arial" w:hAnsi="Arial" w:cs="Arial"/>
        </w:rPr>
        <w:t xml:space="preserve">Tájékoztatom a Tisztelt Bizottságot, hogy a Vásárcsarnok felújítására vonatkozó kivitelezési </w:t>
      </w:r>
      <w:r w:rsidRPr="00040323">
        <w:rPr>
          <w:rFonts w:ascii="Arial" w:hAnsi="Arial" w:cs="Arial"/>
        </w:rPr>
        <w:t xml:space="preserve">tervdokumentáció készítése során az egyéni bérlői igények megvalósítására a rendelkezésre álló fedezet nem adott lehetőséget. </w:t>
      </w:r>
    </w:p>
    <w:p w14:paraId="4D650494" w14:textId="77777777" w:rsidR="0080593E" w:rsidRDefault="0080593E" w:rsidP="00AB7B66">
      <w:pPr>
        <w:jc w:val="both"/>
        <w:rPr>
          <w:rFonts w:ascii="Arial" w:hAnsi="Arial" w:cs="Arial"/>
        </w:rPr>
      </w:pPr>
    </w:p>
    <w:p w14:paraId="55474C47" w14:textId="727A0028" w:rsidR="004D66CB" w:rsidRPr="00040323" w:rsidRDefault="003D5F1B" w:rsidP="00AB7B66">
      <w:pPr>
        <w:jc w:val="both"/>
        <w:rPr>
          <w:rFonts w:ascii="Arial" w:hAnsi="Arial" w:cs="Arial"/>
        </w:rPr>
      </w:pPr>
      <w:r w:rsidRPr="00040323">
        <w:rPr>
          <w:rFonts w:ascii="Arial" w:hAnsi="Arial" w:cs="Arial"/>
        </w:rPr>
        <w:t>A</w:t>
      </w:r>
      <w:r w:rsidR="00AB40F2" w:rsidRPr="00040323">
        <w:rPr>
          <w:rFonts w:ascii="Arial" w:hAnsi="Arial" w:cs="Arial"/>
        </w:rPr>
        <w:t xml:space="preserve"> meglévő, jelenleg ismert bérlők által jelzett többlet műszaki tartalmakra (a bérleménnyel összefüggésben kialakítandó további szellőztető rendszer, illetve ezzel összefüggésben szükséges többlet elektromos energiaellátás) </w:t>
      </w:r>
      <w:r w:rsidRPr="00040323">
        <w:rPr>
          <w:rFonts w:ascii="Arial" w:hAnsi="Arial" w:cs="Arial"/>
        </w:rPr>
        <w:t>további fedezet biztosítása szükséges</w:t>
      </w:r>
      <w:r w:rsidR="003E0AFB">
        <w:rPr>
          <w:rFonts w:ascii="Arial" w:hAnsi="Arial" w:cs="Arial"/>
        </w:rPr>
        <w:t xml:space="preserve">. Szombathely Megyei Jogú Város Önkormányzata 2021. évi költségvetéséről szóló 7/2021. </w:t>
      </w:r>
      <w:r w:rsidR="003E0AFB">
        <w:rPr>
          <w:rFonts w:ascii="Arial" w:hAnsi="Arial" w:cs="Arial"/>
        </w:rPr>
        <w:lastRenderedPageBreak/>
        <w:t xml:space="preserve">(II.25.) </w:t>
      </w:r>
      <w:r w:rsidR="0095658C">
        <w:rPr>
          <w:rFonts w:ascii="Arial" w:hAnsi="Arial" w:cs="Arial"/>
        </w:rPr>
        <w:t xml:space="preserve">önkormányzati </w:t>
      </w:r>
      <w:r w:rsidR="003E0AFB">
        <w:rPr>
          <w:rFonts w:ascii="Arial" w:hAnsi="Arial" w:cs="Arial"/>
        </w:rPr>
        <w:t xml:space="preserve">rendelet 11. § (4) bekezdésében foglaltak alapján </w:t>
      </w:r>
      <w:r w:rsidR="003E0AFB" w:rsidRPr="003E0AFB">
        <w:rPr>
          <w:rFonts w:ascii="Arial" w:hAnsi="Arial" w:cs="Arial"/>
        </w:rPr>
        <w:t xml:space="preserve">a költségvetésért felelős alpolgármester javaslata alapján, két költségvetési rendeletmódosítás közötti időben, polgármesteri saját hatáskörben az önkormányzat költségvetésében ugyanazon célra, legfeljebb egy alkalommal 99.000 </w:t>
      </w:r>
      <w:proofErr w:type="spellStart"/>
      <w:r w:rsidR="003E0AFB" w:rsidRPr="003E0AFB">
        <w:rPr>
          <w:rFonts w:ascii="Arial" w:hAnsi="Arial" w:cs="Arial"/>
        </w:rPr>
        <w:t>eFt</w:t>
      </w:r>
      <w:proofErr w:type="spellEnd"/>
      <w:r w:rsidR="003E0AFB" w:rsidRPr="003E0AFB">
        <w:rPr>
          <w:rFonts w:ascii="Arial" w:hAnsi="Arial" w:cs="Arial"/>
        </w:rPr>
        <w:t xml:space="preserve"> egyedi értékhatárig előirányzat átcsoportosítás hajtható végre</w:t>
      </w:r>
      <w:r w:rsidR="003E0AFB">
        <w:rPr>
          <w:rFonts w:ascii="Arial" w:hAnsi="Arial" w:cs="Arial"/>
        </w:rPr>
        <w:t>. T</w:t>
      </w:r>
      <w:r w:rsidRPr="00040323">
        <w:rPr>
          <w:rFonts w:ascii="Arial" w:hAnsi="Arial" w:cs="Arial"/>
        </w:rPr>
        <w:t xml:space="preserve">ájékoztatom a Tisztelt Bizottságot, hogy a szükséges </w:t>
      </w:r>
      <w:r w:rsidR="004D66CB" w:rsidRPr="00040323">
        <w:rPr>
          <w:rFonts w:ascii="Arial" w:hAnsi="Arial" w:cs="Arial"/>
        </w:rPr>
        <w:t>19</w:t>
      </w:r>
      <w:r w:rsidR="001A329E" w:rsidRPr="00040323">
        <w:rPr>
          <w:rFonts w:ascii="Arial" w:hAnsi="Arial" w:cs="Arial"/>
        </w:rPr>
        <w:t xml:space="preserve">.660 </w:t>
      </w:r>
      <w:proofErr w:type="spellStart"/>
      <w:r w:rsidR="001A329E" w:rsidRPr="00040323">
        <w:rPr>
          <w:rFonts w:ascii="Arial" w:hAnsi="Arial" w:cs="Arial"/>
        </w:rPr>
        <w:t>e</w:t>
      </w:r>
      <w:r w:rsidR="004D66CB" w:rsidRPr="00040323">
        <w:rPr>
          <w:rFonts w:ascii="Arial" w:hAnsi="Arial" w:cs="Arial"/>
        </w:rPr>
        <w:t>Ft</w:t>
      </w:r>
      <w:proofErr w:type="spellEnd"/>
      <w:r w:rsidR="004D66CB" w:rsidRPr="00040323">
        <w:rPr>
          <w:rFonts w:ascii="Arial" w:hAnsi="Arial" w:cs="Arial"/>
        </w:rPr>
        <w:t xml:space="preserve"> összegű átcsoportosítás</w:t>
      </w:r>
      <w:r w:rsidRPr="00040323">
        <w:rPr>
          <w:rFonts w:ascii="Arial" w:hAnsi="Arial" w:cs="Arial"/>
        </w:rPr>
        <w:t xml:space="preserve">ról a Városi Vásárcsarnok költségvetésébe </w:t>
      </w:r>
      <w:r w:rsidR="00040323" w:rsidRPr="00040323">
        <w:rPr>
          <w:rFonts w:ascii="Arial" w:hAnsi="Arial" w:cs="Arial"/>
        </w:rPr>
        <w:t>intézkedem</w:t>
      </w:r>
      <w:r w:rsidR="004D66CB" w:rsidRPr="00040323">
        <w:rPr>
          <w:rFonts w:ascii="Arial" w:hAnsi="Arial" w:cs="Arial"/>
        </w:rPr>
        <w:t>.</w:t>
      </w:r>
    </w:p>
    <w:p w14:paraId="0F18FA24" w14:textId="7DCAB990" w:rsidR="00B1069B" w:rsidRPr="00040323" w:rsidRDefault="00B1069B" w:rsidP="00AB7B66">
      <w:pPr>
        <w:jc w:val="both"/>
        <w:rPr>
          <w:rFonts w:ascii="Arial" w:hAnsi="Arial" w:cs="Arial"/>
        </w:rPr>
      </w:pPr>
    </w:p>
    <w:p w14:paraId="50090466" w14:textId="68960D09" w:rsidR="007D1B60" w:rsidRDefault="007D1B60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a pályázati feltételeket jóváhagyni szíveskedjen.</w:t>
      </w:r>
    </w:p>
    <w:p w14:paraId="7E9CC23E" w14:textId="77777777" w:rsidR="000D3F68" w:rsidRDefault="000D3F68" w:rsidP="009E7F65">
      <w:pPr>
        <w:pStyle w:val="Szvegtrzs"/>
        <w:rPr>
          <w:sz w:val="24"/>
        </w:rPr>
      </w:pPr>
    </w:p>
    <w:p w14:paraId="5ED4D0DD" w14:textId="1E5CC14B" w:rsidR="00766302" w:rsidRPr="00F67EFA" w:rsidRDefault="00766302" w:rsidP="002D68CF">
      <w:pPr>
        <w:spacing w:line="480" w:lineRule="auto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  <w:b/>
        </w:rPr>
        <w:t xml:space="preserve">Szombathely, </w:t>
      </w:r>
      <w:r w:rsidR="00AE445D">
        <w:rPr>
          <w:rFonts w:ascii="Arial" w:hAnsi="Arial" w:cs="Arial"/>
          <w:b/>
        </w:rPr>
        <w:t>2021</w:t>
      </w:r>
      <w:r w:rsidR="00161E8D">
        <w:rPr>
          <w:rFonts w:ascii="Arial" w:hAnsi="Arial" w:cs="Arial"/>
          <w:b/>
        </w:rPr>
        <w:t xml:space="preserve">. </w:t>
      </w:r>
      <w:r w:rsidR="00AE445D">
        <w:rPr>
          <w:rFonts w:ascii="Arial" w:hAnsi="Arial" w:cs="Arial"/>
          <w:b/>
        </w:rPr>
        <w:t xml:space="preserve">június </w:t>
      </w:r>
      <w:proofErr w:type="gramStart"/>
      <w:r w:rsidR="00F67EFA" w:rsidRPr="00F67EFA">
        <w:rPr>
          <w:rFonts w:ascii="Arial" w:hAnsi="Arial" w:cs="Arial"/>
          <w:b/>
          <w:bCs/>
        </w:rPr>
        <w:t xml:space="preserve">„  </w:t>
      </w:r>
      <w:proofErr w:type="gramEnd"/>
      <w:r w:rsidR="00F67EFA" w:rsidRPr="00F67EFA">
        <w:rPr>
          <w:rFonts w:ascii="Arial" w:hAnsi="Arial" w:cs="Arial"/>
          <w:b/>
          <w:bCs/>
        </w:rPr>
        <w:t xml:space="preserve">     ”</w:t>
      </w:r>
    </w:p>
    <w:p w14:paraId="255D905E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14:paraId="11783713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András :/</w:t>
      </w:r>
    </w:p>
    <w:p w14:paraId="5AEC6AFE" w14:textId="46023797" w:rsidR="005C7668" w:rsidRDefault="005C7668" w:rsidP="007D1B60">
      <w:pPr>
        <w:ind w:left="3119"/>
        <w:jc w:val="both"/>
        <w:rPr>
          <w:rFonts w:ascii="Arial" w:hAnsi="Arial" w:cs="Arial"/>
        </w:rPr>
      </w:pPr>
    </w:p>
    <w:p w14:paraId="5E1B74A5" w14:textId="313E371C" w:rsidR="00BA6C62" w:rsidRDefault="00BA6C62" w:rsidP="007D1B60">
      <w:pPr>
        <w:ind w:left="3119"/>
        <w:jc w:val="both"/>
        <w:rPr>
          <w:rFonts w:ascii="Arial" w:hAnsi="Arial" w:cs="Arial"/>
        </w:rPr>
      </w:pPr>
    </w:p>
    <w:p w14:paraId="3AD50B49" w14:textId="77777777" w:rsidR="00AC492A" w:rsidRDefault="00AC492A" w:rsidP="007D1B60">
      <w:pPr>
        <w:ind w:left="3119"/>
        <w:jc w:val="both"/>
        <w:rPr>
          <w:rFonts w:ascii="Arial" w:hAnsi="Arial" w:cs="Arial"/>
        </w:rPr>
      </w:pPr>
    </w:p>
    <w:p w14:paraId="4B42DA5A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5EBF7F04" w14:textId="355962B2"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</w:t>
      </w:r>
      <w:r w:rsidR="00AE445D">
        <w:rPr>
          <w:rFonts w:ascii="Arial" w:hAnsi="Arial" w:cs="Arial"/>
          <w:b/>
          <w:u w:val="single"/>
        </w:rPr>
        <w:t>2021</w:t>
      </w:r>
      <w:r>
        <w:rPr>
          <w:rFonts w:ascii="Arial" w:hAnsi="Arial" w:cs="Arial"/>
          <w:b/>
          <w:u w:val="single"/>
        </w:rPr>
        <w:t>. (</w:t>
      </w:r>
      <w:r w:rsidR="00AE445D">
        <w:rPr>
          <w:rFonts w:ascii="Arial" w:hAnsi="Arial" w:cs="Arial"/>
          <w:b/>
          <w:u w:val="single"/>
        </w:rPr>
        <w:t>VI.21</w:t>
      </w:r>
      <w:r>
        <w:rPr>
          <w:rFonts w:ascii="Arial" w:hAnsi="Arial" w:cs="Arial"/>
          <w:b/>
          <w:u w:val="single"/>
        </w:rPr>
        <w:t>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14:paraId="7378B1DD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14:paraId="784C5D53" w14:textId="77777777"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F0FC88" w14:textId="553FDDF5" w:rsidR="0095658C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 w:rsidRPr="004D66CB">
        <w:rPr>
          <w:rFonts w:ascii="Arial" w:hAnsi="Arial" w:cs="Arial"/>
        </w:rPr>
        <w:t xml:space="preserve">A Gazdasági és </w:t>
      </w:r>
      <w:r w:rsidR="00B1069B" w:rsidRPr="004D66CB">
        <w:rPr>
          <w:rFonts w:ascii="Arial" w:hAnsi="Arial" w:cs="Arial"/>
        </w:rPr>
        <w:t xml:space="preserve">Jogi </w:t>
      </w:r>
      <w:r w:rsidRPr="004D66CB">
        <w:rPr>
          <w:rFonts w:ascii="Arial" w:hAnsi="Arial" w:cs="Arial"/>
        </w:rPr>
        <w:t>Bizottság a vásárok és piacok működéséről szóló 34/1995.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>(X.26.) önkormányzati rendelet 8.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 xml:space="preserve">§ (5) bekezdésében foglaltak alapján a </w:t>
      </w:r>
      <w:r w:rsidR="003C5DED">
        <w:rPr>
          <w:rFonts w:ascii="Arial" w:hAnsi="Arial" w:cs="Arial"/>
        </w:rPr>
        <w:t xml:space="preserve">Szombathely </w:t>
      </w:r>
      <w:r w:rsidRPr="004D66CB">
        <w:rPr>
          <w:rFonts w:ascii="Arial" w:hAnsi="Arial" w:cs="Arial"/>
        </w:rPr>
        <w:t xml:space="preserve">Városi Vásárcsarnok </w:t>
      </w:r>
      <w:r w:rsidR="00B1069B" w:rsidRPr="004D66CB">
        <w:rPr>
          <w:rFonts w:ascii="Arial" w:hAnsi="Arial" w:cs="Arial"/>
        </w:rPr>
        <w:t>előterjesztésben megjelölt</w:t>
      </w:r>
      <w:r w:rsidR="0095658C">
        <w:rPr>
          <w:rFonts w:ascii="Arial" w:hAnsi="Arial" w:cs="Arial"/>
        </w:rPr>
        <w:t xml:space="preserve"> 25 db</w:t>
      </w:r>
      <w:r w:rsidRPr="004D66CB">
        <w:rPr>
          <w:rFonts w:ascii="Arial" w:hAnsi="Arial" w:cs="Arial"/>
        </w:rPr>
        <w:t xml:space="preserve"> üzlethelyiség</w:t>
      </w:r>
      <w:r w:rsidR="003C5DED">
        <w:rPr>
          <w:rFonts w:ascii="Arial" w:hAnsi="Arial" w:cs="Arial"/>
        </w:rPr>
        <w:t>é</w:t>
      </w:r>
      <w:r w:rsidR="00A20F3A">
        <w:rPr>
          <w:rFonts w:ascii="Arial" w:hAnsi="Arial" w:cs="Arial"/>
        </w:rPr>
        <w:t>ne</w:t>
      </w:r>
      <w:r w:rsidR="00B1069B" w:rsidRPr="004D66CB">
        <w:rPr>
          <w:rFonts w:ascii="Arial" w:hAnsi="Arial" w:cs="Arial"/>
        </w:rPr>
        <w:t>k vonatkozásában a</w:t>
      </w:r>
      <w:r w:rsidRPr="004D66CB">
        <w:rPr>
          <w:rFonts w:ascii="Arial" w:hAnsi="Arial" w:cs="Arial"/>
        </w:rPr>
        <w:t xml:space="preserve"> bérbeadás útján történő hasznosítás pályázat</w:t>
      </w:r>
      <w:r w:rsidR="00A20F3A">
        <w:rPr>
          <w:rFonts w:ascii="Arial" w:hAnsi="Arial" w:cs="Arial"/>
        </w:rPr>
        <w:t>i</w:t>
      </w:r>
      <w:r w:rsidRPr="004D66CB">
        <w:rPr>
          <w:rFonts w:ascii="Arial" w:hAnsi="Arial" w:cs="Arial"/>
        </w:rPr>
        <w:t xml:space="preserve"> feltételeit az előterjesztés mellékletének megfelelően jóváhagyja</w:t>
      </w:r>
      <w:r w:rsidR="0095658C">
        <w:rPr>
          <w:rFonts w:ascii="Arial" w:hAnsi="Arial" w:cs="Arial"/>
        </w:rPr>
        <w:t>.</w:t>
      </w:r>
    </w:p>
    <w:p w14:paraId="1985B036" w14:textId="77777777" w:rsidR="0095658C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60CE08D8" w14:textId="14E0649C" w:rsidR="0095658C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Vásárcsarnok igazgatóját, hogy a pályázatok kiírásáról a jóváhagyott pályázati feltételeknek és a vásárok és piacok működéséről szóló 34/1995. (X.26.) önkormányzati rendeletben foglaltaknak megfelelően gondoskodjon.</w:t>
      </w:r>
    </w:p>
    <w:p w14:paraId="1498FA0A" w14:textId="77777777" w:rsidR="0095658C" w:rsidRPr="0095658C" w:rsidRDefault="0095658C" w:rsidP="0095658C">
      <w:pPr>
        <w:tabs>
          <w:tab w:val="center" w:pos="6300"/>
        </w:tabs>
        <w:jc w:val="both"/>
        <w:rPr>
          <w:rFonts w:ascii="Arial" w:hAnsi="Arial" w:cs="Arial"/>
        </w:rPr>
      </w:pPr>
    </w:p>
    <w:p w14:paraId="3D27F451" w14:textId="6B44BAAD" w:rsidR="003447AE" w:rsidRPr="0004637A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felhívja a Szombathely Városi Vásárcsarnok </w:t>
      </w:r>
      <w:r w:rsidR="003447AE">
        <w:rPr>
          <w:rFonts w:ascii="Arial" w:hAnsi="Arial" w:cs="Arial"/>
        </w:rPr>
        <w:t xml:space="preserve">igazgatójának figyelmét, hogy a Városi Vásárcsarnok felújítása a </w:t>
      </w:r>
      <w:r w:rsidR="00040323">
        <w:rPr>
          <w:rFonts w:ascii="Arial" w:hAnsi="Arial" w:cs="Arial"/>
        </w:rPr>
        <w:t>Terület- és Településfejlesztési Operatív Program keretében nyújtott támogatás</w:t>
      </w:r>
      <w:r w:rsidR="003447AE">
        <w:rPr>
          <w:rFonts w:ascii="Arial" w:hAnsi="Arial" w:cs="Arial"/>
        </w:rPr>
        <w:t xml:space="preserve"> </w:t>
      </w:r>
      <w:r w:rsidR="00040323">
        <w:rPr>
          <w:rFonts w:ascii="Arial" w:hAnsi="Arial" w:cs="Arial"/>
        </w:rPr>
        <w:t xml:space="preserve">(TOP-6.1.3-15SH1-2016-00001) </w:t>
      </w:r>
      <w:r w:rsidR="003447AE">
        <w:rPr>
          <w:rFonts w:ascii="Arial" w:hAnsi="Arial" w:cs="Arial"/>
        </w:rPr>
        <w:t xml:space="preserve">alapján valósult meg, </w:t>
      </w:r>
      <w:r w:rsidR="003447AE" w:rsidRPr="0004637A">
        <w:rPr>
          <w:rFonts w:ascii="Arial" w:hAnsi="Arial" w:cs="Arial"/>
        </w:rPr>
        <w:t xml:space="preserve">a megvalósított műszaki tartalom csökkentésére nincs mód és lehetőség. A </w:t>
      </w:r>
      <w:r w:rsidR="004D66CB" w:rsidRPr="0004637A">
        <w:rPr>
          <w:rFonts w:ascii="Arial" w:hAnsi="Arial" w:cs="Arial"/>
        </w:rPr>
        <w:t>pályázat</w:t>
      </w:r>
      <w:r w:rsidR="00040323" w:rsidRPr="0004637A">
        <w:rPr>
          <w:rFonts w:ascii="Arial" w:hAnsi="Arial" w:cs="Arial"/>
        </w:rPr>
        <w:t>i kiírásban és Támogatói Szerződésben</w:t>
      </w:r>
      <w:r w:rsidR="004D66CB" w:rsidRPr="0004637A">
        <w:rPr>
          <w:rFonts w:ascii="Arial" w:hAnsi="Arial" w:cs="Arial"/>
        </w:rPr>
        <w:t xml:space="preserve"> foglaltakat </w:t>
      </w:r>
      <w:r w:rsidR="003447AE" w:rsidRPr="0004637A">
        <w:rPr>
          <w:rFonts w:ascii="Arial" w:hAnsi="Arial" w:cs="Arial"/>
        </w:rPr>
        <w:t xml:space="preserve">a fenntartási időszak alatt is folyamatosan </w:t>
      </w:r>
      <w:r w:rsidR="004D66CB" w:rsidRPr="0004637A">
        <w:rPr>
          <w:rFonts w:ascii="Arial" w:hAnsi="Arial" w:cs="Arial"/>
        </w:rPr>
        <w:t xml:space="preserve">be kell tartani. </w:t>
      </w:r>
    </w:p>
    <w:p w14:paraId="4C05575C" w14:textId="2A003A0E" w:rsidR="003447AE" w:rsidRPr="0004637A" w:rsidRDefault="003447AE" w:rsidP="003447AE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04637A">
        <w:rPr>
          <w:rFonts w:ascii="Arial" w:hAnsi="Arial" w:cs="Arial"/>
        </w:rPr>
        <w:t>Ennek érdekében:</w:t>
      </w:r>
    </w:p>
    <w:p w14:paraId="288B8B5E" w14:textId="3A7BE3AB" w:rsidR="003447AE" w:rsidRPr="0004637A" w:rsidRDefault="003447AE" w:rsidP="003447AE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 xml:space="preserve">a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Pr="0004637A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</w:t>
      </w:r>
      <w:r w:rsidR="00844BBC" w:rsidRPr="0004637A">
        <w:rPr>
          <w:rFonts w:ascii="Arial" w:hAnsi="Arial" w:cs="Arial"/>
        </w:rPr>
        <w:t>rel előzetesen egyeztetni, részére a szükséges dokumentációt átadni</w:t>
      </w:r>
      <w:r w:rsidR="003C5DED">
        <w:rPr>
          <w:rFonts w:ascii="Arial" w:hAnsi="Arial" w:cs="Arial"/>
        </w:rPr>
        <w:t>;</w:t>
      </w:r>
    </w:p>
    <w:p w14:paraId="7DF6BEBB" w14:textId="25AF2A07" w:rsidR="0063023A" w:rsidRDefault="003447AE" w:rsidP="00DB1D27">
      <w:pPr>
        <w:pStyle w:val="xmsolistparagraph"/>
        <w:numPr>
          <w:ilvl w:val="0"/>
          <w:numId w:val="11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63023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</w:t>
      </w:r>
      <w:r w:rsidR="00844BBC" w:rsidRPr="0063023A">
        <w:rPr>
          <w:rFonts w:ascii="Arial" w:hAnsi="Arial" w:cs="Arial"/>
        </w:rPr>
        <w:t xml:space="preserve"> </w:t>
      </w:r>
      <w:r w:rsidRPr="0063023A">
        <w:rPr>
          <w:rFonts w:ascii="Arial" w:hAnsi="Arial" w:cs="Arial"/>
        </w:rPr>
        <w:t>a</w:t>
      </w:r>
      <w:r w:rsidR="0063023A">
        <w:rPr>
          <w:rFonts w:ascii="Arial" w:hAnsi="Arial" w:cs="Arial"/>
        </w:rPr>
        <w:t xml:space="preserve"> </w:t>
      </w:r>
      <w:r w:rsidRPr="0063023A">
        <w:rPr>
          <w:rFonts w:ascii="Arial" w:hAnsi="Arial" w:cs="Arial"/>
        </w:rPr>
        <w:t>támogató általi ellenőrzés esetén rendelkezésre álljon</w:t>
      </w:r>
      <w:r w:rsidR="0063023A">
        <w:rPr>
          <w:rFonts w:ascii="Arial" w:hAnsi="Arial" w:cs="Arial"/>
        </w:rPr>
        <w:t>;</w:t>
      </w:r>
    </w:p>
    <w:p w14:paraId="5B79F613" w14:textId="3D1B31AE" w:rsidR="003447AE" w:rsidRPr="0063023A" w:rsidRDefault="0063023A" w:rsidP="00DB1D27">
      <w:pPr>
        <w:pStyle w:val="xmsolistparagraph"/>
        <w:numPr>
          <w:ilvl w:val="0"/>
          <w:numId w:val="11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63023A">
        <w:rPr>
          <w:rFonts w:ascii="Arial" w:hAnsi="Arial" w:cs="Arial"/>
        </w:rPr>
        <w:t>amennyiben a fenntartási időszak ideje alatt szűnik meg a bérlő bérleti jogviszonya, a bérbeadó követelheti az üzlethelyiség helyreállítását/visszaállítását a bérlő saját költségére</w:t>
      </w:r>
      <w:r>
        <w:rPr>
          <w:rFonts w:ascii="Arial" w:hAnsi="Arial" w:cs="Arial"/>
        </w:rPr>
        <w:t>.</w:t>
      </w:r>
    </w:p>
    <w:p w14:paraId="316174A2" w14:textId="21925640" w:rsidR="004D66CB" w:rsidRPr="0004637A" w:rsidRDefault="0004637A" w:rsidP="00BA5957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</w:t>
      </w:r>
      <w:r w:rsidR="008B76CD">
        <w:rPr>
          <w:rFonts w:ascii="Arial" w:hAnsi="Arial" w:cs="Arial"/>
        </w:rPr>
        <w:t>z 5 éves</w:t>
      </w:r>
      <w:r w:rsidRPr="0004637A">
        <w:rPr>
          <w:rFonts w:ascii="Arial" w:hAnsi="Arial" w:cs="Arial"/>
        </w:rPr>
        <w:t xml:space="preserve"> fenntartási időszak</w:t>
      </w:r>
      <w:r w:rsidR="008B76CD">
        <w:rPr>
          <w:rFonts w:ascii="Arial" w:hAnsi="Arial" w:cs="Arial"/>
        </w:rPr>
        <w:t xml:space="preserve"> kezdete</w:t>
      </w:r>
      <w:r w:rsidRPr="0004637A">
        <w:rPr>
          <w:rFonts w:ascii="Arial" w:hAnsi="Arial" w:cs="Arial"/>
        </w:rPr>
        <w:t xml:space="preserve"> a záró kifizetésigénylés és a záró szakmai jelentés elfogadásának időpontja.</w:t>
      </w:r>
    </w:p>
    <w:p w14:paraId="7BC50DDD" w14:textId="77777777" w:rsidR="0004637A" w:rsidRDefault="0004637A" w:rsidP="004D66CB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183DB6E0" w14:textId="4BE1CA3E" w:rsidR="004D66CB" w:rsidRDefault="004D66CB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Gazdasági és Jogi Bizottság </w:t>
      </w:r>
      <w:r w:rsidR="0063023A">
        <w:rPr>
          <w:rFonts w:ascii="Arial" w:hAnsi="Arial" w:cs="Arial"/>
        </w:rPr>
        <w:t>egyetért azzal, hogy a polgármester</w:t>
      </w:r>
      <w:r>
        <w:rPr>
          <w:rFonts w:ascii="Arial" w:hAnsi="Arial" w:cs="Arial"/>
        </w:rPr>
        <w:t xml:space="preserve"> a Szombathely Megyei Jogú Város Önkormányzata 2021. évi költségvetéséről szóló </w:t>
      </w:r>
      <w:r w:rsidR="00F05265">
        <w:rPr>
          <w:rFonts w:ascii="Arial" w:hAnsi="Arial" w:cs="Arial"/>
        </w:rPr>
        <w:t>7/2021. (II.25.)</w:t>
      </w:r>
      <w:r w:rsidR="003C5DED">
        <w:rPr>
          <w:rFonts w:ascii="Arial" w:hAnsi="Arial" w:cs="Arial"/>
        </w:rPr>
        <w:t xml:space="preserve"> önkormányzati</w:t>
      </w:r>
      <w:r>
        <w:rPr>
          <w:rFonts w:ascii="Arial" w:hAnsi="Arial" w:cs="Arial"/>
        </w:rPr>
        <w:t xml:space="preserve"> rendelet </w:t>
      </w:r>
      <w:r w:rsidR="00F05265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§ </w:t>
      </w:r>
      <w:r w:rsidR="00F05265">
        <w:rPr>
          <w:rFonts w:ascii="Arial" w:hAnsi="Arial" w:cs="Arial"/>
        </w:rPr>
        <w:t xml:space="preserve">(4) bekezdésében foglaltak </w:t>
      </w:r>
      <w:r>
        <w:rPr>
          <w:rFonts w:ascii="Arial" w:hAnsi="Arial" w:cs="Arial"/>
        </w:rPr>
        <w:t>alapján 19</w:t>
      </w:r>
      <w:r w:rsidR="00F05265">
        <w:rPr>
          <w:rFonts w:ascii="Arial" w:hAnsi="Arial" w:cs="Arial"/>
        </w:rPr>
        <w:t xml:space="preserve">.660 </w:t>
      </w:r>
      <w:proofErr w:type="spellStart"/>
      <w:r w:rsidR="00F05265">
        <w:rPr>
          <w:rFonts w:ascii="Arial" w:hAnsi="Arial" w:cs="Arial"/>
        </w:rPr>
        <w:t>e</w:t>
      </w:r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összeget csoportosítson át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 xml:space="preserve">Városi Vásárcsarnok </w:t>
      </w:r>
      <w:r w:rsidR="001A329E">
        <w:rPr>
          <w:rFonts w:ascii="Arial" w:hAnsi="Arial" w:cs="Arial"/>
        </w:rPr>
        <w:t>költségvetésébe</w:t>
      </w:r>
      <w:r>
        <w:rPr>
          <w:rFonts w:ascii="Arial" w:hAnsi="Arial" w:cs="Arial"/>
        </w:rPr>
        <w:t>.</w:t>
      </w:r>
    </w:p>
    <w:p w14:paraId="5D4E6932" w14:textId="77777777" w:rsidR="004D66CB" w:rsidRPr="004D66CB" w:rsidRDefault="004D66CB" w:rsidP="004D66CB">
      <w:pPr>
        <w:pStyle w:val="Listaszerbekezds"/>
        <w:rPr>
          <w:rFonts w:ascii="Arial" w:hAnsi="Arial" w:cs="Arial"/>
        </w:rPr>
      </w:pPr>
    </w:p>
    <w:p w14:paraId="1869D4B2" w14:textId="77777777" w:rsidR="00040323" w:rsidRDefault="00040323" w:rsidP="00ED266B">
      <w:pPr>
        <w:jc w:val="both"/>
        <w:rPr>
          <w:rFonts w:ascii="Arial" w:hAnsi="Arial" w:cs="Arial"/>
          <w:b/>
          <w:u w:val="single"/>
        </w:rPr>
      </w:pPr>
    </w:p>
    <w:p w14:paraId="0C376475" w14:textId="7A85DCC5" w:rsidR="00ED266B" w:rsidRDefault="00ED266B" w:rsidP="00ED266B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14:paraId="7C737822" w14:textId="4975E8C5" w:rsidR="0007464D" w:rsidRDefault="0007464D" w:rsidP="00ED2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B6F9F3D" w14:textId="2EB053F9" w:rsidR="0007464D" w:rsidRDefault="0007464D" w:rsidP="00ED2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D92496E" w14:textId="0ADA2200" w:rsidR="0007464D" w:rsidRPr="00FD3DC1" w:rsidRDefault="0007464D" w:rsidP="00ED2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4159D18" w14:textId="77777777" w:rsidR="00ED266B" w:rsidRPr="00FD3DC1" w:rsidRDefault="00ED266B" w:rsidP="00ED266B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14:paraId="6B764AD0" w14:textId="25163DE7" w:rsidR="00ED266B" w:rsidRDefault="00ED266B" w:rsidP="007D1B60">
      <w:pPr>
        <w:tabs>
          <w:tab w:val="left" w:pos="3261"/>
        </w:tabs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</w:t>
      </w:r>
      <w:r w:rsidR="007D1B60">
        <w:rPr>
          <w:rFonts w:ascii="Arial" w:hAnsi="Arial" w:cs="Arial"/>
        </w:rPr>
        <w:tab/>
      </w:r>
      <w:r w:rsidR="00AB7B66">
        <w:rPr>
          <w:rFonts w:ascii="Arial" w:hAnsi="Arial" w:cs="Arial"/>
        </w:rPr>
        <w:t xml:space="preserve">Dr. Holler Péter, a Hatósági </w:t>
      </w:r>
      <w:r w:rsidRPr="00FD3DC1">
        <w:rPr>
          <w:rFonts w:ascii="Arial" w:hAnsi="Arial" w:cs="Arial"/>
        </w:rPr>
        <w:t>Osztály vezetője</w:t>
      </w:r>
      <w:r w:rsidR="00F67EFA">
        <w:rPr>
          <w:rFonts w:ascii="Arial" w:hAnsi="Arial" w:cs="Arial"/>
        </w:rPr>
        <w:t>,</w:t>
      </w:r>
    </w:p>
    <w:p w14:paraId="7D0987AF" w14:textId="6C6D69B4" w:rsidR="000241E8" w:rsidRDefault="007D1B60" w:rsidP="007D1B60">
      <w:pPr>
        <w:tabs>
          <w:tab w:val="left" w:pos="3261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="000241E8">
        <w:rPr>
          <w:rFonts w:ascii="Arial" w:hAnsi="Arial" w:cs="Arial"/>
        </w:rPr>
        <w:t>,</w:t>
      </w:r>
    </w:p>
    <w:p w14:paraId="139B8363" w14:textId="5476BE93" w:rsidR="007D1B60" w:rsidRPr="00FD3DC1" w:rsidRDefault="000241E8" w:rsidP="00F67EFA">
      <w:pPr>
        <w:tabs>
          <w:tab w:val="left" w:pos="3261"/>
        </w:tabs>
        <w:ind w:left="326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Polákovics</w:t>
      </w:r>
      <w:proofErr w:type="spellEnd"/>
      <w:r>
        <w:rPr>
          <w:rFonts w:ascii="Arial" w:hAnsi="Arial" w:cs="Arial"/>
        </w:rPr>
        <w:t xml:space="preserve"> Marietta,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Városi Vásárcsarnok igazgatója</w:t>
      </w:r>
      <w:r w:rsidR="007D1B60">
        <w:rPr>
          <w:rFonts w:ascii="Arial" w:hAnsi="Arial" w:cs="Arial"/>
        </w:rPr>
        <w:t>)</w:t>
      </w:r>
    </w:p>
    <w:p w14:paraId="3420F6FD" w14:textId="77777777" w:rsidR="006E1BC8" w:rsidRPr="00E96B31" w:rsidRDefault="006E1BC8" w:rsidP="007D1B60">
      <w:pPr>
        <w:tabs>
          <w:tab w:val="left" w:pos="3261"/>
        </w:tabs>
        <w:ind w:left="1416"/>
        <w:jc w:val="both"/>
        <w:rPr>
          <w:rFonts w:ascii="Arial" w:hAnsi="Arial" w:cs="Arial"/>
          <w:b/>
          <w:u w:val="single"/>
        </w:rPr>
      </w:pPr>
    </w:p>
    <w:p w14:paraId="6FB01143" w14:textId="77777777" w:rsidR="006E1BC8" w:rsidRDefault="006E1BC8" w:rsidP="006E1BC8">
      <w:pPr>
        <w:jc w:val="both"/>
        <w:rPr>
          <w:rFonts w:ascii="Arial" w:hAnsi="Arial" w:cs="Arial"/>
          <w:b/>
          <w:u w:val="single"/>
        </w:rPr>
      </w:pPr>
    </w:p>
    <w:p w14:paraId="509330DF" w14:textId="77777777"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14:paraId="39C6CCD4" w14:textId="77777777"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F5CA" w14:textId="77777777" w:rsidR="00CE4774" w:rsidRDefault="00CE47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487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487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FFAE60" w14:textId="3350D825"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Telefon: +36 94/520-124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 w:rsidR="00CE4774">
      <w:rPr>
        <w:rFonts w:ascii="Arial" w:hAnsi="Arial" w:cs="Arial"/>
        <w:sz w:val="20"/>
        <w:szCs w:val="20"/>
      </w:rPr>
      <w:t>Fax:+</w:t>
    </w:r>
    <w:proofErr w:type="gramEnd"/>
    <w:r w:rsidR="00CE4774">
      <w:rPr>
        <w:rFonts w:ascii="Arial" w:hAnsi="Arial" w:cs="Arial"/>
        <w:sz w:val="20"/>
        <w:szCs w:val="20"/>
      </w:rPr>
      <w:t>36 94/313-172</w:t>
    </w:r>
    <w:r w:rsidR="00842C93" w:rsidRPr="00842C93"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8F47" w14:textId="77777777" w:rsidR="00CE4774" w:rsidRDefault="00CE47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0CDE" w14:textId="77777777" w:rsidR="00CE4774" w:rsidRDefault="00CE477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2F65AE6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40323"/>
    <w:rsid w:val="0004637A"/>
    <w:rsid w:val="00053D7A"/>
    <w:rsid w:val="00066A36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76A8"/>
    <w:rsid w:val="00154EDC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225474"/>
    <w:rsid w:val="00231860"/>
    <w:rsid w:val="002332AE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C574E"/>
    <w:rsid w:val="002D2693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B0628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7668"/>
    <w:rsid w:val="005D1243"/>
    <w:rsid w:val="005F0B8A"/>
    <w:rsid w:val="005F19FE"/>
    <w:rsid w:val="005F6344"/>
    <w:rsid w:val="00610075"/>
    <w:rsid w:val="00616260"/>
    <w:rsid w:val="0063023A"/>
    <w:rsid w:val="0065776B"/>
    <w:rsid w:val="00673677"/>
    <w:rsid w:val="00675F6F"/>
    <w:rsid w:val="00682AB2"/>
    <w:rsid w:val="00687B83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A5957"/>
    <w:rsid w:val="00BA6C62"/>
    <w:rsid w:val="00BA7014"/>
    <w:rsid w:val="00BB2E31"/>
    <w:rsid w:val="00BB4055"/>
    <w:rsid w:val="00BB7086"/>
    <w:rsid w:val="00BB75A8"/>
    <w:rsid w:val="00BC46F6"/>
    <w:rsid w:val="00BC51DA"/>
    <w:rsid w:val="00BC6CFC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303C5"/>
    <w:rsid w:val="00E30D6E"/>
    <w:rsid w:val="00E35A1D"/>
    <w:rsid w:val="00E371D0"/>
    <w:rsid w:val="00E37637"/>
    <w:rsid w:val="00E4663A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64005"/>
    <w:rsid w:val="00F65487"/>
    <w:rsid w:val="00F67EFA"/>
    <w:rsid w:val="00F85DA3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C49ED-12DA-4403-AAFF-268474A13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1031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6</cp:revision>
  <cp:lastPrinted>2021-06-15T09:07:00Z</cp:lastPrinted>
  <dcterms:created xsi:type="dcterms:W3CDTF">2021-06-15T06:03:00Z</dcterms:created>
  <dcterms:modified xsi:type="dcterms:W3CDTF">2021-06-15T14:36:00Z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