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8D99F" w14:textId="77777777" w:rsidR="00A50A3D" w:rsidRPr="009441C6" w:rsidRDefault="00A50A3D" w:rsidP="00A50A3D">
      <w:pPr>
        <w:pStyle w:val="Cmsor1"/>
        <w:jc w:val="center"/>
        <w:rPr>
          <w:rFonts w:ascii="Arial" w:hAnsi="Arial" w:cs="Arial"/>
          <w:b/>
          <w:szCs w:val="24"/>
        </w:rPr>
      </w:pPr>
      <w:r w:rsidRPr="009441C6">
        <w:rPr>
          <w:rFonts w:ascii="Arial" w:hAnsi="Arial" w:cs="Arial"/>
          <w:b/>
          <w:szCs w:val="24"/>
        </w:rPr>
        <w:t xml:space="preserve">M E G Á L </w:t>
      </w:r>
      <w:proofErr w:type="spellStart"/>
      <w:r w:rsidRPr="009441C6">
        <w:rPr>
          <w:rFonts w:ascii="Arial" w:hAnsi="Arial" w:cs="Arial"/>
          <w:b/>
          <w:szCs w:val="24"/>
        </w:rPr>
        <w:t>L</w:t>
      </w:r>
      <w:proofErr w:type="spellEnd"/>
      <w:r w:rsidRPr="009441C6">
        <w:rPr>
          <w:rFonts w:ascii="Arial" w:hAnsi="Arial" w:cs="Arial"/>
          <w:b/>
          <w:szCs w:val="24"/>
        </w:rPr>
        <w:t xml:space="preserve"> A P O D Á S</w:t>
      </w:r>
    </w:p>
    <w:p w14:paraId="560187B2" w14:textId="77777777" w:rsidR="00A50A3D" w:rsidRDefault="00A50A3D" w:rsidP="00A50A3D">
      <w:pPr>
        <w:rPr>
          <w:rFonts w:ascii="Arial" w:hAnsi="Arial" w:cs="Arial"/>
          <w:sz w:val="24"/>
          <w:szCs w:val="24"/>
        </w:rPr>
      </w:pPr>
    </w:p>
    <w:p w14:paraId="13BF96D3" w14:textId="77777777" w:rsidR="003E2CDB" w:rsidRPr="009441C6" w:rsidRDefault="003E2CDB" w:rsidP="00A50A3D">
      <w:pPr>
        <w:rPr>
          <w:rFonts w:ascii="Arial" w:hAnsi="Arial" w:cs="Arial"/>
          <w:sz w:val="24"/>
          <w:szCs w:val="24"/>
        </w:rPr>
      </w:pPr>
    </w:p>
    <w:p w14:paraId="3809EA5B" w14:textId="77777777" w:rsidR="008C3506" w:rsidRPr="00FD1397" w:rsidRDefault="008C3506" w:rsidP="008C3506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 xml:space="preserve">Amely létrejött egyrészről az </w:t>
      </w:r>
      <w:r w:rsidRPr="00FD1397">
        <w:rPr>
          <w:rFonts w:ascii="Arial" w:hAnsi="Arial" w:cs="Arial"/>
          <w:b/>
          <w:szCs w:val="24"/>
        </w:rPr>
        <w:t xml:space="preserve">Országos Mentőszolgálat </w:t>
      </w:r>
      <w:r w:rsidRPr="00FD1397">
        <w:rPr>
          <w:rFonts w:ascii="Arial" w:hAnsi="Arial" w:cs="Arial"/>
          <w:szCs w:val="24"/>
        </w:rPr>
        <w:t>(székhelye: 1055 Budapest, Markó u. 22., adószáma: 1509989-2-41, képviseli: Dr. Csató Gábor főigazgató, a továbbiakban: OMSZ),</w:t>
      </w:r>
    </w:p>
    <w:p w14:paraId="6F706665" w14:textId="77777777" w:rsidR="008C3506" w:rsidRDefault="008C3506" w:rsidP="008C3506">
      <w:pPr>
        <w:pStyle w:val="Szvegtrzs"/>
        <w:rPr>
          <w:rFonts w:ascii="Arial" w:hAnsi="Arial" w:cs="Arial"/>
          <w:szCs w:val="24"/>
        </w:rPr>
      </w:pPr>
    </w:p>
    <w:p w14:paraId="46151984" w14:textId="77777777" w:rsidR="005B6C81" w:rsidRPr="00FD1397" w:rsidRDefault="005B6C81" w:rsidP="008C3506">
      <w:pPr>
        <w:pStyle w:val="Szvegtrzs"/>
        <w:rPr>
          <w:rFonts w:ascii="Arial" w:hAnsi="Arial" w:cs="Arial"/>
          <w:szCs w:val="24"/>
        </w:rPr>
      </w:pPr>
    </w:p>
    <w:p w14:paraId="3280BB4A" w14:textId="77777777" w:rsidR="008C3506" w:rsidRPr="00FD1397" w:rsidRDefault="008C3506" w:rsidP="008C3506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 xml:space="preserve">másrészről </w:t>
      </w:r>
      <w:r w:rsidRPr="00FD1397">
        <w:rPr>
          <w:rFonts w:ascii="Arial" w:hAnsi="Arial" w:cs="Arial"/>
          <w:b/>
          <w:szCs w:val="24"/>
        </w:rPr>
        <w:t>Szombathely Megyei Jogú Város Önkormányzata</w:t>
      </w:r>
      <w:r w:rsidRPr="00FD1397">
        <w:rPr>
          <w:rFonts w:ascii="Arial" w:hAnsi="Arial" w:cs="Arial"/>
          <w:szCs w:val="24"/>
        </w:rPr>
        <w:t xml:space="preserve"> (székhelye: 9700 Szombathely, Kossuth Lajos u. 1-3., adószáma: 15733658-2-18, képviseli: Dr. Nemény András polgármester, a továbbiakban: Önkormányzat; együttesen: Felek)</w:t>
      </w:r>
    </w:p>
    <w:p w14:paraId="0F9DD3A9" w14:textId="77777777" w:rsidR="008C3506" w:rsidRDefault="008C3506" w:rsidP="008C3506">
      <w:pPr>
        <w:pStyle w:val="Szvegtrzs"/>
        <w:rPr>
          <w:rFonts w:ascii="Arial" w:hAnsi="Arial" w:cs="Arial"/>
          <w:szCs w:val="24"/>
        </w:rPr>
      </w:pPr>
    </w:p>
    <w:p w14:paraId="34CDC2B4" w14:textId="77777777" w:rsidR="005B6C81" w:rsidRPr="00FD1397" w:rsidRDefault="005B6C81" w:rsidP="008C3506">
      <w:pPr>
        <w:pStyle w:val="Szvegtrzs"/>
        <w:rPr>
          <w:rFonts w:ascii="Arial" w:hAnsi="Arial" w:cs="Arial"/>
          <w:szCs w:val="24"/>
        </w:rPr>
      </w:pPr>
    </w:p>
    <w:p w14:paraId="54B331BB" w14:textId="77777777" w:rsidR="008C3506" w:rsidRPr="00FD1397" w:rsidRDefault="008C3506" w:rsidP="008C3506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>között, az alulírott helyen és napon, az alábbi feltételekkel:</w:t>
      </w:r>
    </w:p>
    <w:p w14:paraId="7987B191" w14:textId="77777777" w:rsidR="009A33D5" w:rsidRPr="00FD1397" w:rsidRDefault="009A33D5" w:rsidP="00A50A3D">
      <w:pPr>
        <w:pStyle w:val="Szvegtrzs"/>
        <w:rPr>
          <w:rFonts w:ascii="Arial" w:hAnsi="Arial" w:cs="Arial"/>
          <w:szCs w:val="24"/>
        </w:rPr>
      </w:pPr>
    </w:p>
    <w:p w14:paraId="65B3F153" w14:textId="77777777" w:rsidR="008C3506" w:rsidRPr="00FD1397" w:rsidRDefault="008C3506" w:rsidP="009A33D5">
      <w:pPr>
        <w:pStyle w:val="Szvegtrzs"/>
        <w:rPr>
          <w:rFonts w:ascii="Arial" w:hAnsi="Arial" w:cs="Arial"/>
          <w:szCs w:val="24"/>
        </w:rPr>
      </w:pPr>
    </w:p>
    <w:p w14:paraId="433DDB7D" w14:textId="389F9AD8" w:rsidR="009A33D5" w:rsidRPr="006C0097" w:rsidRDefault="009A33D5" w:rsidP="008C3506">
      <w:pPr>
        <w:pStyle w:val="Szvegtrzs"/>
        <w:numPr>
          <w:ilvl w:val="0"/>
          <w:numId w:val="5"/>
        </w:numPr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>Szerződő felek előzményként rögzítik, hogy köztük 2003. január 7. napján aláírt megállapodás</w:t>
      </w:r>
      <w:r w:rsidR="008C3506" w:rsidRPr="00FD1397">
        <w:rPr>
          <w:rFonts w:ascii="Arial" w:hAnsi="Arial" w:cs="Arial"/>
          <w:szCs w:val="24"/>
        </w:rPr>
        <w:t xml:space="preserve"> (a továbbiakban: Megállapodás)</w:t>
      </w:r>
      <w:r w:rsidRPr="00FD1397">
        <w:rPr>
          <w:rFonts w:ascii="Arial" w:hAnsi="Arial" w:cs="Arial"/>
          <w:szCs w:val="24"/>
        </w:rPr>
        <w:t xml:space="preserve"> jött létre az Önkormányzat kötelező feladatát képező központi orvosi ügyeleti feladatok ellátására 2</w:t>
      </w:r>
      <w:r w:rsidRPr="00FD1397">
        <w:rPr>
          <w:rFonts w:ascii="Arial" w:hAnsi="Arial" w:cs="Arial"/>
          <w:bCs/>
          <w:szCs w:val="24"/>
        </w:rPr>
        <w:t>003. január 1.</w:t>
      </w:r>
      <w:r w:rsidRPr="00FD1397">
        <w:rPr>
          <w:rFonts w:ascii="Arial" w:hAnsi="Arial" w:cs="Arial"/>
          <w:szCs w:val="24"/>
        </w:rPr>
        <w:t xml:space="preserve"> napjától, amelyet az </w:t>
      </w:r>
      <w:r w:rsidRPr="006C0097">
        <w:rPr>
          <w:rFonts w:ascii="Arial" w:hAnsi="Arial" w:cs="Arial"/>
          <w:szCs w:val="24"/>
        </w:rPr>
        <w:t xml:space="preserve">Önkormányzat közgyűlése </w:t>
      </w:r>
      <w:r w:rsidR="00A50A3D" w:rsidRPr="006C0097">
        <w:rPr>
          <w:rFonts w:ascii="Arial" w:hAnsi="Arial" w:cs="Arial"/>
          <w:szCs w:val="24"/>
        </w:rPr>
        <w:t>a 356/2001. (XII.6) Kgy. számú határozat</w:t>
      </w:r>
      <w:r w:rsidRPr="006C0097">
        <w:rPr>
          <w:rFonts w:ascii="Arial" w:hAnsi="Arial" w:cs="Arial"/>
          <w:szCs w:val="24"/>
        </w:rPr>
        <w:t>ával hagyott jóvá.</w:t>
      </w:r>
      <w:r w:rsidR="008C3506" w:rsidRPr="006C0097">
        <w:rPr>
          <w:rFonts w:ascii="Arial" w:hAnsi="Arial" w:cs="Arial"/>
          <w:szCs w:val="24"/>
        </w:rPr>
        <w:t xml:space="preserve"> </w:t>
      </w:r>
    </w:p>
    <w:p w14:paraId="371A1830" w14:textId="77777777" w:rsidR="008C3506" w:rsidRPr="00FD1397" w:rsidRDefault="008C3506" w:rsidP="009A33D5">
      <w:pPr>
        <w:pStyle w:val="Szvegtrzs"/>
        <w:rPr>
          <w:rFonts w:ascii="Arial" w:hAnsi="Arial" w:cs="Arial"/>
          <w:szCs w:val="24"/>
        </w:rPr>
      </w:pPr>
    </w:p>
    <w:p w14:paraId="7F1EB1BD" w14:textId="27DEAE03" w:rsidR="008C3506" w:rsidRDefault="008C3506" w:rsidP="00465C4F">
      <w:pPr>
        <w:pStyle w:val="Szvegtrzs"/>
        <w:ind w:left="708"/>
        <w:rPr>
          <w:rFonts w:ascii="Arial" w:hAnsi="Arial" w:cs="Arial"/>
          <w:szCs w:val="24"/>
        </w:rPr>
      </w:pPr>
      <w:r w:rsidRPr="006D7345">
        <w:rPr>
          <w:rFonts w:ascii="Arial" w:hAnsi="Arial" w:cs="Arial"/>
          <w:szCs w:val="24"/>
        </w:rPr>
        <w:t xml:space="preserve">Szerződő felek az 1. pontban írt Megállapodást, egyező akaratelhatározással, </w:t>
      </w:r>
      <w:r w:rsidR="00FE7790">
        <w:rPr>
          <w:rFonts w:ascii="Arial" w:hAnsi="Arial" w:cs="Arial"/>
          <w:szCs w:val="24"/>
        </w:rPr>
        <w:t xml:space="preserve">- </w:t>
      </w:r>
      <w:proofErr w:type="gramStart"/>
      <w:r w:rsidR="006D7345">
        <w:rPr>
          <w:rFonts w:ascii="Arial" w:hAnsi="Arial" w:cs="Arial"/>
          <w:szCs w:val="24"/>
        </w:rPr>
        <w:t>ide</w:t>
      </w:r>
      <w:r w:rsidR="00A55F72">
        <w:rPr>
          <w:rFonts w:ascii="Arial" w:hAnsi="Arial" w:cs="Arial"/>
          <w:szCs w:val="24"/>
        </w:rPr>
        <w:t xml:space="preserve"> </w:t>
      </w:r>
      <w:r w:rsidR="006D7345">
        <w:rPr>
          <w:rFonts w:ascii="Arial" w:hAnsi="Arial" w:cs="Arial"/>
          <w:szCs w:val="24"/>
        </w:rPr>
        <w:t>értve</w:t>
      </w:r>
      <w:proofErr w:type="gramEnd"/>
      <w:r w:rsidR="006D7345">
        <w:rPr>
          <w:rFonts w:ascii="Arial" w:hAnsi="Arial" w:cs="Arial"/>
          <w:szCs w:val="24"/>
        </w:rPr>
        <w:t xml:space="preserve"> a szerződés módosításait is - </w:t>
      </w:r>
      <w:r w:rsidRPr="006D7345">
        <w:rPr>
          <w:rFonts w:ascii="Arial" w:hAnsi="Arial" w:cs="Arial"/>
          <w:szCs w:val="24"/>
        </w:rPr>
        <w:t>2020. december 31</w:t>
      </w:r>
      <w:r w:rsidR="006A6F77">
        <w:rPr>
          <w:rFonts w:ascii="Arial" w:hAnsi="Arial" w:cs="Arial"/>
          <w:szCs w:val="24"/>
        </w:rPr>
        <w:t>. napjával</w:t>
      </w:r>
      <w:r w:rsidRPr="006D7345">
        <w:rPr>
          <w:rFonts w:ascii="Arial" w:hAnsi="Arial" w:cs="Arial"/>
          <w:szCs w:val="24"/>
        </w:rPr>
        <w:t xml:space="preserve">, </w:t>
      </w:r>
      <w:r w:rsidR="002676D2">
        <w:rPr>
          <w:rFonts w:ascii="Arial" w:hAnsi="Arial" w:cs="Arial"/>
          <w:szCs w:val="24"/>
        </w:rPr>
        <w:t xml:space="preserve">8.00 órával </w:t>
      </w:r>
      <w:r w:rsidRPr="006D7345">
        <w:rPr>
          <w:rFonts w:ascii="Arial" w:hAnsi="Arial" w:cs="Arial"/>
          <w:szCs w:val="24"/>
        </w:rPr>
        <w:t>közös megegyezéssel megszüntetik</w:t>
      </w:r>
      <w:r w:rsidR="00B9305C">
        <w:rPr>
          <w:rFonts w:ascii="Arial" w:hAnsi="Arial" w:cs="Arial"/>
          <w:szCs w:val="24"/>
        </w:rPr>
        <w:t>, egyben rögzítik, hogy az Önkormá</w:t>
      </w:r>
      <w:r w:rsidR="000600AE">
        <w:rPr>
          <w:rFonts w:ascii="Arial" w:hAnsi="Arial" w:cs="Arial"/>
          <w:szCs w:val="24"/>
        </w:rPr>
        <w:t>nyzat az ügyeletet ezt követően más telephelyen működteti</w:t>
      </w:r>
      <w:r w:rsidR="00465C4F">
        <w:rPr>
          <w:rFonts w:ascii="Arial" w:hAnsi="Arial" w:cs="Arial"/>
          <w:szCs w:val="24"/>
        </w:rPr>
        <w:t>.</w:t>
      </w:r>
    </w:p>
    <w:p w14:paraId="5795AABA" w14:textId="77777777" w:rsidR="00465C4F" w:rsidRPr="00FD1397" w:rsidRDefault="00465C4F" w:rsidP="00465C4F">
      <w:pPr>
        <w:pStyle w:val="Szvegtrzs"/>
        <w:ind w:left="708"/>
        <w:rPr>
          <w:rFonts w:ascii="Arial" w:hAnsi="Arial" w:cs="Arial"/>
          <w:szCs w:val="24"/>
        </w:rPr>
      </w:pPr>
    </w:p>
    <w:p w14:paraId="23C38035" w14:textId="77777777" w:rsidR="009441C6" w:rsidRPr="00FD1397" w:rsidRDefault="009441C6" w:rsidP="008C3506">
      <w:pPr>
        <w:pStyle w:val="Szvegtrzs"/>
        <w:numPr>
          <w:ilvl w:val="0"/>
          <w:numId w:val="5"/>
        </w:numPr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>Szerződő felek a Megállapodás megszüntetéséhez kapcsolódóan rögzítik, hogy a jelenleg OMSZ alkalmazásában</w:t>
      </w:r>
      <w:r w:rsidR="000C1FE7">
        <w:rPr>
          <w:rFonts w:ascii="Arial" w:hAnsi="Arial" w:cs="Arial"/>
          <w:szCs w:val="24"/>
        </w:rPr>
        <w:t xml:space="preserve"> közalkalmazotti jogviszonyban</w:t>
      </w:r>
      <w:r w:rsidRPr="00FD1397">
        <w:rPr>
          <w:rFonts w:ascii="Arial" w:hAnsi="Arial" w:cs="Arial"/>
          <w:szCs w:val="24"/>
        </w:rPr>
        <w:t xml:space="preserve"> álló, a központi orvosi ügyeleti feladatok ellátásában közreműködő személyek </w:t>
      </w:r>
      <w:proofErr w:type="spellStart"/>
      <w:r w:rsidRPr="00FD1397">
        <w:rPr>
          <w:rFonts w:ascii="Arial" w:hAnsi="Arial" w:cs="Arial"/>
          <w:szCs w:val="24"/>
        </w:rPr>
        <w:t>továbbfoglalkoztatását</w:t>
      </w:r>
      <w:proofErr w:type="spellEnd"/>
      <w:r w:rsidRPr="00FD1397">
        <w:rPr>
          <w:rFonts w:ascii="Arial" w:hAnsi="Arial" w:cs="Arial"/>
          <w:szCs w:val="24"/>
        </w:rPr>
        <w:t xml:space="preserve"> az Önkormányzat az alábbiak szerint biztosítja</w:t>
      </w:r>
      <w:r w:rsidR="00DD128E">
        <w:rPr>
          <w:rFonts w:ascii="Arial" w:hAnsi="Arial" w:cs="Arial"/>
          <w:szCs w:val="24"/>
        </w:rPr>
        <w:t xml:space="preserve"> a feladatellátásért jelen megállapodás megszűnését követően felelős</w:t>
      </w:r>
      <w:r w:rsidR="002347FB">
        <w:rPr>
          <w:rFonts w:ascii="Arial" w:hAnsi="Arial" w:cs="Arial"/>
          <w:szCs w:val="24"/>
        </w:rPr>
        <w:t>,</w:t>
      </w:r>
      <w:r w:rsidR="00DD128E">
        <w:rPr>
          <w:rFonts w:ascii="Arial" w:hAnsi="Arial" w:cs="Arial"/>
          <w:szCs w:val="24"/>
        </w:rPr>
        <w:t xml:space="preserve"> Szombathelyi Egészségügyi és Kulturális GESZ-en keresztül</w:t>
      </w:r>
      <w:r w:rsidRPr="00FD1397">
        <w:rPr>
          <w:rFonts w:ascii="Arial" w:hAnsi="Arial" w:cs="Arial"/>
          <w:szCs w:val="24"/>
        </w:rPr>
        <w:t xml:space="preserve">: </w:t>
      </w:r>
    </w:p>
    <w:p w14:paraId="1E1A348B" w14:textId="77777777" w:rsidR="009441C6" w:rsidRPr="00FD1397" w:rsidRDefault="009441C6" w:rsidP="009441C6">
      <w:pPr>
        <w:pStyle w:val="Listaszerbekezds"/>
        <w:rPr>
          <w:rFonts w:ascii="Arial" w:hAnsi="Arial" w:cs="Arial"/>
          <w:sz w:val="24"/>
          <w:szCs w:val="24"/>
        </w:rPr>
      </w:pPr>
    </w:p>
    <w:p w14:paraId="6E5E7051" w14:textId="5007D8C5" w:rsidR="005B6C81" w:rsidRDefault="00E06B9C" w:rsidP="00F57F1E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C21884">
        <w:rPr>
          <w:rFonts w:ascii="Arial" w:hAnsi="Arial" w:cs="Arial"/>
          <w:sz w:val="24"/>
          <w:szCs w:val="24"/>
        </w:rPr>
        <w:t xml:space="preserve"> </w:t>
      </w:r>
      <w:r w:rsidR="009441C6" w:rsidRPr="00C21884">
        <w:rPr>
          <w:rFonts w:ascii="Arial" w:hAnsi="Arial" w:cs="Arial"/>
          <w:sz w:val="24"/>
          <w:szCs w:val="24"/>
        </w:rPr>
        <w:t>fő részfoglalkozású orvost</w:t>
      </w:r>
      <w:r w:rsidR="00F57F1E">
        <w:rPr>
          <w:rFonts w:ascii="Arial" w:hAnsi="Arial" w:cs="Arial"/>
          <w:sz w:val="24"/>
          <w:szCs w:val="24"/>
        </w:rPr>
        <w:t xml:space="preserve"> </w:t>
      </w:r>
      <w:r w:rsidR="009441C6" w:rsidRPr="00C21884">
        <w:rPr>
          <w:rFonts w:ascii="Arial" w:hAnsi="Arial" w:cs="Arial"/>
          <w:sz w:val="24"/>
          <w:szCs w:val="24"/>
        </w:rPr>
        <w:t>közalkalmazotti jogviszony</w:t>
      </w:r>
      <w:r w:rsidR="00866DE8">
        <w:rPr>
          <w:rFonts w:ascii="Arial" w:hAnsi="Arial" w:cs="Arial"/>
          <w:sz w:val="24"/>
          <w:szCs w:val="24"/>
        </w:rPr>
        <w:t>ban, ügyeletvezetőként foglalkoztat</w:t>
      </w:r>
      <w:r w:rsidR="009441C6" w:rsidRPr="00C21884">
        <w:rPr>
          <w:rFonts w:ascii="Arial" w:hAnsi="Arial" w:cs="Arial"/>
          <w:sz w:val="24"/>
          <w:szCs w:val="24"/>
        </w:rPr>
        <w:t xml:space="preserve"> </w:t>
      </w:r>
      <w:r w:rsidR="00866DE8">
        <w:rPr>
          <w:rFonts w:ascii="Arial" w:hAnsi="Arial" w:cs="Arial"/>
          <w:sz w:val="24"/>
          <w:szCs w:val="24"/>
        </w:rPr>
        <w:t xml:space="preserve">2020. december 31. </w:t>
      </w:r>
      <w:r w:rsidR="00C21884" w:rsidRPr="00C21884">
        <w:rPr>
          <w:rFonts w:ascii="Arial" w:hAnsi="Arial" w:cs="Arial"/>
          <w:sz w:val="24"/>
          <w:szCs w:val="24"/>
        </w:rPr>
        <w:t>napjától</w:t>
      </w:r>
      <w:r w:rsidR="009441C6" w:rsidRPr="00C21884">
        <w:rPr>
          <w:rFonts w:ascii="Arial" w:hAnsi="Arial" w:cs="Arial"/>
          <w:sz w:val="24"/>
          <w:szCs w:val="24"/>
        </w:rPr>
        <w:t>;</w:t>
      </w:r>
      <w:r w:rsidR="00E2406C" w:rsidRPr="00C21884">
        <w:rPr>
          <w:rFonts w:ascii="Arial" w:hAnsi="Arial" w:cs="Arial"/>
          <w:sz w:val="24"/>
          <w:szCs w:val="24"/>
        </w:rPr>
        <w:t xml:space="preserve"> </w:t>
      </w:r>
    </w:p>
    <w:p w14:paraId="12B8958F" w14:textId="77777777" w:rsidR="00C93DFB" w:rsidRPr="00C21884" w:rsidRDefault="00C93DFB" w:rsidP="00C21884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</w:p>
    <w:p w14:paraId="3807B9A1" w14:textId="0D50B93C" w:rsidR="009441C6" w:rsidRDefault="009441C6" w:rsidP="009441C6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D1397">
        <w:rPr>
          <w:rFonts w:ascii="Arial" w:hAnsi="Arial" w:cs="Arial"/>
          <w:sz w:val="24"/>
          <w:szCs w:val="24"/>
        </w:rPr>
        <w:t>az asszisztensként dolgozók (8 fő) esetében a 4 fő heti 40 órában foglalkoztatott dolgozó</w:t>
      </w:r>
      <w:r w:rsidR="009E4A6C">
        <w:rPr>
          <w:rFonts w:ascii="Arial" w:hAnsi="Arial" w:cs="Arial"/>
          <w:sz w:val="24"/>
          <w:szCs w:val="24"/>
        </w:rPr>
        <w:t xml:space="preserve"> közül 3 főt</w:t>
      </w:r>
      <w:r w:rsidR="0089153F">
        <w:rPr>
          <w:rFonts w:ascii="Arial" w:hAnsi="Arial" w:cs="Arial"/>
          <w:sz w:val="24"/>
          <w:szCs w:val="24"/>
        </w:rPr>
        <w:t xml:space="preserve"> az Önkormányzat</w:t>
      </w:r>
      <w:r w:rsidRPr="00FD1397">
        <w:rPr>
          <w:rFonts w:ascii="Arial" w:hAnsi="Arial" w:cs="Arial"/>
          <w:sz w:val="24"/>
          <w:szCs w:val="24"/>
        </w:rPr>
        <w:t xml:space="preserve"> áthelyezéssel</w:t>
      </w:r>
      <w:r w:rsidR="0063687C">
        <w:rPr>
          <w:rFonts w:ascii="Arial" w:hAnsi="Arial" w:cs="Arial"/>
          <w:sz w:val="24"/>
          <w:szCs w:val="24"/>
        </w:rPr>
        <w:t xml:space="preserve"> </w:t>
      </w:r>
      <w:r w:rsidRPr="00FD1397">
        <w:rPr>
          <w:rFonts w:ascii="Arial" w:hAnsi="Arial" w:cs="Arial"/>
          <w:sz w:val="24"/>
          <w:szCs w:val="24"/>
        </w:rPr>
        <w:t>át</w:t>
      </w:r>
      <w:r w:rsidR="0089153F">
        <w:rPr>
          <w:rFonts w:ascii="Arial" w:hAnsi="Arial" w:cs="Arial"/>
          <w:sz w:val="24"/>
          <w:szCs w:val="24"/>
        </w:rPr>
        <w:t>vesz</w:t>
      </w:r>
      <w:r w:rsidR="00A671AA">
        <w:rPr>
          <w:rFonts w:ascii="Arial" w:hAnsi="Arial" w:cs="Arial"/>
          <w:sz w:val="24"/>
          <w:szCs w:val="24"/>
        </w:rPr>
        <w:t xml:space="preserve">, </w:t>
      </w:r>
      <w:r w:rsidR="00926FDB">
        <w:rPr>
          <w:rFonts w:ascii="Arial" w:hAnsi="Arial" w:cs="Arial"/>
          <w:sz w:val="24"/>
          <w:szCs w:val="24"/>
        </w:rPr>
        <w:t>1 fő főállású dolgozó a részére ajánlott munkakört nem fogadta el. További 1 fő részállású dolgozót egyéb jogviszonyban kívánja foglalkoztatni az Önkormányzat</w:t>
      </w:r>
      <w:r w:rsidRPr="00FD1397">
        <w:rPr>
          <w:rFonts w:ascii="Arial" w:hAnsi="Arial" w:cs="Arial"/>
          <w:sz w:val="24"/>
          <w:szCs w:val="24"/>
        </w:rPr>
        <w:t xml:space="preserve"> </w:t>
      </w:r>
      <w:r w:rsidR="00926FDB">
        <w:rPr>
          <w:rFonts w:ascii="Arial" w:hAnsi="Arial" w:cs="Arial"/>
          <w:sz w:val="24"/>
          <w:szCs w:val="24"/>
        </w:rPr>
        <w:t xml:space="preserve"> </w:t>
      </w:r>
    </w:p>
    <w:p w14:paraId="1B69260A" w14:textId="77777777" w:rsidR="005B6C81" w:rsidRPr="005B6C81" w:rsidRDefault="005B6C81" w:rsidP="005B6C81">
      <w:pPr>
        <w:jc w:val="both"/>
        <w:rPr>
          <w:rFonts w:ascii="Arial" w:hAnsi="Arial" w:cs="Arial"/>
          <w:sz w:val="24"/>
          <w:szCs w:val="24"/>
        </w:rPr>
      </w:pPr>
    </w:p>
    <w:p w14:paraId="0CEC6F63" w14:textId="37096F64" w:rsidR="005549EE" w:rsidRDefault="009441C6" w:rsidP="00F57F1E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06B9C">
        <w:rPr>
          <w:rFonts w:ascii="Arial" w:hAnsi="Arial" w:cs="Arial"/>
          <w:sz w:val="24"/>
          <w:szCs w:val="24"/>
        </w:rPr>
        <w:t xml:space="preserve">az 5 fő ügyeleti gépkocsivezető közül az Önkormányzat </w:t>
      </w:r>
      <w:r w:rsidR="00825C43" w:rsidRPr="00E06B9C">
        <w:rPr>
          <w:rFonts w:ascii="Arial" w:hAnsi="Arial" w:cs="Arial"/>
          <w:sz w:val="24"/>
          <w:szCs w:val="24"/>
        </w:rPr>
        <w:t>2</w:t>
      </w:r>
      <w:r w:rsidRPr="00E06B9C">
        <w:rPr>
          <w:rFonts w:ascii="Arial" w:hAnsi="Arial" w:cs="Arial"/>
          <w:sz w:val="24"/>
          <w:szCs w:val="24"/>
        </w:rPr>
        <w:t xml:space="preserve"> fő főállású, teljes munkaidős munkavállalót </w:t>
      </w:r>
      <w:r w:rsidR="0089153F" w:rsidRPr="00926FDB">
        <w:rPr>
          <w:rFonts w:ascii="Arial" w:hAnsi="Arial" w:cs="Arial"/>
          <w:sz w:val="24"/>
          <w:szCs w:val="24"/>
        </w:rPr>
        <w:t>az Önkormányzat áthelyezéssel átvesz</w:t>
      </w:r>
      <w:r w:rsidRPr="00926FDB">
        <w:rPr>
          <w:rFonts w:ascii="Arial" w:hAnsi="Arial" w:cs="Arial"/>
          <w:sz w:val="24"/>
          <w:szCs w:val="24"/>
        </w:rPr>
        <w:t>.</w:t>
      </w:r>
      <w:r w:rsidR="00825C43" w:rsidRPr="00926FDB">
        <w:rPr>
          <w:rFonts w:ascii="Arial" w:hAnsi="Arial" w:cs="Arial"/>
          <w:sz w:val="24"/>
          <w:szCs w:val="24"/>
        </w:rPr>
        <w:t xml:space="preserve"> </w:t>
      </w:r>
    </w:p>
    <w:p w14:paraId="0003293F" w14:textId="77777777" w:rsidR="000600AE" w:rsidRPr="00F933B6" w:rsidRDefault="000600AE" w:rsidP="00F933B6">
      <w:pPr>
        <w:jc w:val="both"/>
        <w:rPr>
          <w:rFonts w:ascii="Arial" w:hAnsi="Arial" w:cs="Arial"/>
          <w:sz w:val="24"/>
          <w:szCs w:val="24"/>
        </w:rPr>
      </w:pPr>
    </w:p>
    <w:p w14:paraId="040838F6" w14:textId="35FD3AF6" w:rsidR="00926FDB" w:rsidRDefault="009D1612" w:rsidP="002A7CFE">
      <w:pPr>
        <w:ind w:left="708"/>
        <w:jc w:val="both"/>
        <w:rPr>
          <w:rFonts w:ascii="Arial" w:hAnsi="Arial" w:cs="Arial"/>
          <w:sz w:val="24"/>
          <w:szCs w:val="24"/>
        </w:rPr>
      </w:pPr>
      <w:r w:rsidRPr="001D6027">
        <w:rPr>
          <w:rFonts w:ascii="Arial" w:hAnsi="Arial" w:cs="Arial"/>
          <w:sz w:val="24"/>
          <w:szCs w:val="24"/>
        </w:rPr>
        <w:t>A</w:t>
      </w:r>
      <w:r w:rsidR="00E06B9C">
        <w:rPr>
          <w:rFonts w:ascii="Arial" w:hAnsi="Arial" w:cs="Arial"/>
          <w:sz w:val="24"/>
          <w:szCs w:val="24"/>
        </w:rPr>
        <w:t xml:space="preserve"> Felek rögzítik, hogy a</w:t>
      </w:r>
      <w:r w:rsidRPr="001D6027">
        <w:rPr>
          <w:rFonts w:ascii="Arial" w:hAnsi="Arial" w:cs="Arial"/>
          <w:sz w:val="24"/>
          <w:szCs w:val="24"/>
        </w:rPr>
        <w:t xml:space="preserve">z </w:t>
      </w:r>
      <w:r w:rsidR="001967BD" w:rsidRPr="001D6027">
        <w:rPr>
          <w:rFonts w:ascii="Arial" w:hAnsi="Arial" w:cs="Arial"/>
          <w:sz w:val="24"/>
          <w:szCs w:val="24"/>
        </w:rPr>
        <w:t>OMSZ</w:t>
      </w:r>
      <w:r w:rsidR="00A671AA">
        <w:rPr>
          <w:rFonts w:ascii="Arial" w:hAnsi="Arial" w:cs="Arial"/>
          <w:sz w:val="24"/>
          <w:szCs w:val="24"/>
        </w:rPr>
        <w:t xml:space="preserve"> </w:t>
      </w:r>
      <w:r w:rsidR="002841DD">
        <w:rPr>
          <w:rFonts w:ascii="Arial" w:hAnsi="Arial" w:cs="Arial"/>
          <w:sz w:val="24"/>
          <w:szCs w:val="24"/>
        </w:rPr>
        <w:t xml:space="preserve">az </w:t>
      </w:r>
      <w:r w:rsidR="00A671AA">
        <w:rPr>
          <w:rFonts w:ascii="Arial" w:hAnsi="Arial" w:cs="Arial"/>
          <w:sz w:val="24"/>
          <w:szCs w:val="24"/>
        </w:rPr>
        <w:t>Önkormányzat által átvett</w:t>
      </w:r>
      <w:r w:rsidR="00F3483D">
        <w:rPr>
          <w:rFonts w:ascii="Arial" w:hAnsi="Arial" w:cs="Arial"/>
          <w:sz w:val="24"/>
          <w:szCs w:val="24"/>
        </w:rPr>
        <w:t xml:space="preserve"> 3 fő asszisztens és 2 fő gépkocsivezető </w:t>
      </w:r>
      <w:r w:rsidRPr="001D6027">
        <w:rPr>
          <w:rFonts w:ascii="Arial" w:hAnsi="Arial" w:cs="Arial"/>
          <w:sz w:val="24"/>
          <w:szCs w:val="24"/>
        </w:rPr>
        <w:t>áthelyezésre vonatkozó dokumentumokat aláírva visszaküld</w:t>
      </w:r>
      <w:r w:rsidR="00E06B9C">
        <w:rPr>
          <w:rFonts w:ascii="Arial" w:hAnsi="Arial" w:cs="Arial"/>
          <w:sz w:val="24"/>
          <w:szCs w:val="24"/>
        </w:rPr>
        <w:t xml:space="preserve">te </w:t>
      </w:r>
      <w:r w:rsidR="001D6027" w:rsidRPr="001D6027">
        <w:rPr>
          <w:rFonts w:ascii="Arial" w:hAnsi="Arial" w:cs="Arial"/>
          <w:sz w:val="24"/>
          <w:szCs w:val="24"/>
        </w:rPr>
        <w:t>a Szombathelyi Egészségügyi és Kulturális GESZ részére</w:t>
      </w:r>
      <w:r w:rsidRPr="001D6027">
        <w:rPr>
          <w:rFonts w:ascii="Arial" w:hAnsi="Arial" w:cs="Arial"/>
          <w:sz w:val="24"/>
          <w:szCs w:val="24"/>
        </w:rPr>
        <w:t>.</w:t>
      </w:r>
    </w:p>
    <w:p w14:paraId="2B5E45C4" w14:textId="7777B004" w:rsidR="00C779EF" w:rsidRDefault="00926FDB" w:rsidP="00E06B9C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Felek továbbá rögzítik, hogy azon közalkalmazottak esetében, akik az áthelyezéssel történő foglalkoztatásban nem érintettek – 4 fő orvos és 5 fő asszisztens – az OMSZ, mint munkáltató a közalkalmazottak jogállásáról szóló 1992. évi XXXIII. törvény (Kjt.) 30/A.§-a alapján a munkakör-felajánlási lehetőségről tájékoztatta, azonban valamennyi dolgozó jegyzőkönyvbe foglaltan arról nyilatkozott, hogy ezen lehetőséggel nem kíván élni, és az OMSZ-</w:t>
      </w:r>
      <w:proofErr w:type="spellStart"/>
      <w:r w:rsidR="002841DD">
        <w:rPr>
          <w:rFonts w:ascii="Arial" w:hAnsi="Arial" w:cs="Arial"/>
          <w:sz w:val="24"/>
          <w:szCs w:val="24"/>
        </w:rPr>
        <w:t>sz</w:t>
      </w:r>
      <w:r>
        <w:rPr>
          <w:rFonts w:ascii="Arial" w:hAnsi="Arial" w:cs="Arial"/>
          <w:sz w:val="24"/>
          <w:szCs w:val="24"/>
        </w:rPr>
        <w:t>al</w:t>
      </w:r>
      <w:proofErr w:type="spellEnd"/>
      <w:r>
        <w:rPr>
          <w:rFonts w:ascii="Arial" w:hAnsi="Arial" w:cs="Arial"/>
          <w:sz w:val="24"/>
          <w:szCs w:val="24"/>
        </w:rPr>
        <w:t xml:space="preserve"> fennálló jogviszonyát 2020. december 31-ét követően nem kívánja fenntartani. </w:t>
      </w:r>
    </w:p>
    <w:p w14:paraId="58C68006" w14:textId="77777777" w:rsidR="00926FDB" w:rsidRPr="00FD1397" w:rsidRDefault="00926FDB" w:rsidP="00E06B9C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3E551952" w14:textId="3500E074" w:rsidR="009441C6" w:rsidRPr="00FD1397" w:rsidRDefault="009441C6" w:rsidP="009441C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397">
        <w:rPr>
          <w:rFonts w:ascii="Arial" w:hAnsi="Arial" w:cs="Arial"/>
          <w:sz w:val="24"/>
          <w:szCs w:val="24"/>
        </w:rPr>
        <w:t xml:space="preserve">Szerződő felek a Megállapodás megszüntetéséhez kapcsolódóan megállapodnak abban, hogy a feladatellátáshoz szükséges tárgyi eszközöket az </w:t>
      </w:r>
      <w:r w:rsidR="00227629" w:rsidRPr="00FD1397">
        <w:rPr>
          <w:rFonts w:ascii="Arial" w:hAnsi="Arial" w:cs="Arial"/>
          <w:sz w:val="24"/>
          <w:szCs w:val="24"/>
        </w:rPr>
        <w:t xml:space="preserve">OMSZ az </w:t>
      </w:r>
      <w:r w:rsidRPr="00FD1397">
        <w:rPr>
          <w:rFonts w:ascii="Arial" w:hAnsi="Arial" w:cs="Arial"/>
          <w:sz w:val="24"/>
          <w:szCs w:val="24"/>
        </w:rPr>
        <w:t>alábbiak szerint adja át az Önkormányzatnak</w:t>
      </w:r>
      <w:r w:rsidR="000E1F44">
        <w:rPr>
          <w:rFonts w:ascii="Arial" w:hAnsi="Arial" w:cs="Arial"/>
          <w:sz w:val="24"/>
          <w:szCs w:val="24"/>
        </w:rPr>
        <w:t xml:space="preserve"> legkésőbb</w:t>
      </w:r>
      <w:r w:rsidR="00303B1D">
        <w:rPr>
          <w:rFonts w:ascii="Arial" w:hAnsi="Arial" w:cs="Arial"/>
          <w:sz w:val="24"/>
          <w:szCs w:val="24"/>
        </w:rPr>
        <w:t xml:space="preserve"> 2020. december 31. </w:t>
      </w:r>
      <w:r w:rsidR="003B5E9A">
        <w:rPr>
          <w:rFonts w:ascii="Arial" w:hAnsi="Arial" w:cs="Arial"/>
          <w:sz w:val="24"/>
          <w:szCs w:val="24"/>
        </w:rPr>
        <w:t>16 óráig</w:t>
      </w:r>
      <w:r w:rsidRPr="00FD1397">
        <w:rPr>
          <w:rFonts w:ascii="Arial" w:hAnsi="Arial" w:cs="Arial"/>
          <w:sz w:val="24"/>
          <w:szCs w:val="24"/>
        </w:rPr>
        <w:t>:</w:t>
      </w:r>
    </w:p>
    <w:p w14:paraId="61B945BD" w14:textId="77777777" w:rsidR="009441C6" w:rsidRPr="00FD1397" w:rsidRDefault="009441C6" w:rsidP="009441C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1BB55388" w14:textId="77777777" w:rsidR="00227629" w:rsidRPr="00FD1397" w:rsidRDefault="009441C6" w:rsidP="0022762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D1397">
        <w:rPr>
          <w:rFonts w:ascii="Arial" w:hAnsi="Arial" w:cs="Arial"/>
          <w:sz w:val="24"/>
          <w:szCs w:val="24"/>
        </w:rPr>
        <w:t xml:space="preserve">Önkormányzat által 2003-ban az OMSZ részére átadott, és jelenleg </w:t>
      </w:r>
      <w:r w:rsidR="00227629" w:rsidRPr="00FD1397">
        <w:rPr>
          <w:rFonts w:ascii="Arial" w:hAnsi="Arial" w:cs="Arial"/>
          <w:sz w:val="24"/>
          <w:szCs w:val="24"/>
        </w:rPr>
        <w:t xml:space="preserve">is </w:t>
      </w:r>
      <w:r w:rsidRPr="00FD1397">
        <w:rPr>
          <w:rFonts w:ascii="Arial" w:hAnsi="Arial" w:cs="Arial"/>
          <w:sz w:val="24"/>
          <w:szCs w:val="24"/>
        </w:rPr>
        <w:t xml:space="preserve">meglévő, használatra alkalmas tárgyi eszközöket </w:t>
      </w:r>
      <w:r w:rsidR="00227629" w:rsidRPr="00FD1397">
        <w:rPr>
          <w:rFonts w:ascii="Arial" w:hAnsi="Arial" w:cs="Arial"/>
          <w:sz w:val="24"/>
          <w:szCs w:val="24"/>
        </w:rPr>
        <w:t xml:space="preserve">a Megállapodás megszűnésének időpontjával </w:t>
      </w:r>
      <w:r w:rsidR="00A609EB" w:rsidRPr="00FD1397">
        <w:rPr>
          <w:rFonts w:ascii="Arial" w:hAnsi="Arial" w:cs="Arial"/>
          <w:sz w:val="24"/>
          <w:szCs w:val="24"/>
        </w:rPr>
        <w:t>az OMSZ térítésmentesen tulajdonba visszaadja az Önkormányzatna</w:t>
      </w:r>
      <w:r w:rsidR="00227629" w:rsidRPr="00FD1397">
        <w:rPr>
          <w:rFonts w:ascii="Arial" w:hAnsi="Arial" w:cs="Arial"/>
          <w:sz w:val="24"/>
          <w:szCs w:val="24"/>
        </w:rPr>
        <w:t>k</w:t>
      </w:r>
      <w:r w:rsidR="00A609EB" w:rsidRPr="00FD1397">
        <w:rPr>
          <w:rFonts w:ascii="Arial" w:hAnsi="Arial" w:cs="Arial"/>
          <w:sz w:val="24"/>
          <w:szCs w:val="24"/>
        </w:rPr>
        <w:t xml:space="preserve">. Ezen eszközök felsorolását </w:t>
      </w:r>
      <w:r w:rsidRPr="00FD1397">
        <w:rPr>
          <w:rFonts w:ascii="Arial" w:hAnsi="Arial" w:cs="Arial"/>
          <w:sz w:val="24"/>
          <w:szCs w:val="24"/>
        </w:rPr>
        <w:t xml:space="preserve">a jelen </w:t>
      </w:r>
      <w:r w:rsidR="006B24C3">
        <w:rPr>
          <w:rFonts w:ascii="Arial" w:hAnsi="Arial" w:cs="Arial"/>
          <w:sz w:val="24"/>
          <w:szCs w:val="24"/>
        </w:rPr>
        <w:t>m</w:t>
      </w:r>
      <w:r w:rsidRPr="00FD1397">
        <w:rPr>
          <w:rFonts w:ascii="Arial" w:hAnsi="Arial" w:cs="Arial"/>
          <w:sz w:val="24"/>
          <w:szCs w:val="24"/>
        </w:rPr>
        <w:t>egállapodás elválaszthatatlan részét képező, 1. sz. melléklet</w:t>
      </w:r>
      <w:r w:rsidR="00A609EB" w:rsidRPr="00FD1397">
        <w:rPr>
          <w:rFonts w:ascii="Arial" w:hAnsi="Arial" w:cs="Arial"/>
          <w:sz w:val="24"/>
          <w:szCs w:val="24"/>
        </w:rPr>
        <w:t xml:space="preserve"> tartalmazza.</w:t>
      </w:r>
    </w:p>
    <w:p w14:paraId="16524327" w14:textId="77777777" w:rsidR="00227629" w:rsidRPr="00FD1397" w:rsidRDefault="00227629" w:rsidP="00227629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</w:p>
    <w:p w14:paraId="6CE6F23A" w14:textId="77777777" w:rsidR="00227629" w:rsidRPr="00FD1397" w:rsidRDefault="00227629" w:rsidP="009441C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D1397">
        <w:rPr>
          <w:rFonts w:ascii="Arial" w:hAnsi="Arial" w:cs="Arial"/>
          <w:sz w:val="24"/>
          <w:szCs w:val="24"/>
        </w:rPr>
        <w:t xml:space="preserve">az Önkormányzat által 2016-ban a saját költségén vásárolt, használatra adott eszközöket a Megállapodás megszűnésének időpontjával az OMSZ térítésmentesen visszaadja az Önkormányzatnak. Ezen eszközök felsorolását a jelen </w:t>
      </w:r>
      <w:r w:rsidR="006B24C3">
        <w:rPr>
          <w:rFonts w:ascii="Arial" w:hAnsi="Arial" w:cs="Arial"/>
          <w:sz w:val="24"/>
          <w:szCs w:val="24"/>
        </w:rPr>
        <w:t>m</w:t>
      </w:r>
      <w:r w:rsidRPr="00FD1397">
        <w:rPr>
          <w:rFonts w:ascii="Arial" w:hAnsi="Arial" w:cs="Arial"/>
          <w:sz w:val="24"/>
          <w:szCs w:val="24"/>
        </w:rPr>
        <w:t>egállapodás elválaszthatatlan részét képező, 2. sz. melléklet tartalmazza.</w:t>
      </w:r>
    </w:p>
    <w:p w14:paraId="72E78AB6" w14:textId="77777777" w:rsidR="00227629" w:rsidRPr="00FD1397" w:rsidRDefault="00227629" w:rsidP="00227629">
      <w:pPr>
        <w:pStyle w:val="Listaszerbekezds"/>
        <w:rPr>
          <w:rFonts w:ascii="Arial" w:hAnsi="Arial" w:cs="Arial"/>
          <w:color w:val="000000" w:themeColor="text1"/>
          <w:sz w:val="24"/>
          <w:szCs w:val="24"/>
        </w:rPr>
      </w:pPr>
    </w:p>
    <w:p w14:paraId="37C15AD5" w14:textId="6E2FDF74" w:rsidR="00227629" w:rsidRPr="000D4089" w:rsidRDefault="009441C6" w:rsidP="009441C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D4089">
        <w:rPr>
          <w:rFonts w:ascii="Arial" w:hAnsi="Arial" w:cs="Arial"/>
          <w:color w:val="000000" w:themeColor="text1"/>
          <w:sz w:val="24"/>
          <w:szCs w:val="24"/>
        </w:rPr>
        <w:t xml:space="preserve">Az Önkormányzat által 2003-ban </w:t>
      </w:r>
      <w:r w:rsidR="00227629" w:rsidRPr="000D4089">
        <w:rPr>
          <w:rFonts w:ascii="Arial" w:hAnsi="Arial" w:cs="Arial"/>
          <w:color w:val="000000" w:themeColor="text1"/>
          <w:sz w:val="24"/>
          <w:szCs w:val="24"/>
        </w:rPr>
        <w:t xml:space="preserve">a feladatellátáshoz </w:t>
      </w:r>
      <w:r w:rsidRPr="000D4089">
        <w:rPr>
          <w:rFonts w:ascii="Arial" w:hAnsi="Arial" w:cs="Arial"/>
          <w:color w:val="000000" w:themeColor="text1"/>
          <w:sz w:val="24"/>
          <w:szCs w:val="24"/>
        </w:rPr>
        <w:t>átadott, már meg nem lévő eszközök helyébe lépett,</w:t>
      </w:r>
      <w:r w:rsidR="00227629" w:rsidRPr="000D4089">
        <w:rPr>
          <w:rFonts w:ascii="Arial" w:hAnsi="Arial" w:cs="Arial"/>
          <w:color w:val="000000" w:themeColor="text1"/>
          <w:sz w:val="24"/>
          <w:szCs w:val="24"/>
        </w:rPr>
        <w:t xml:space="preserve"> a Megállapodás időtartama alatt az</w:t>
      </w:r>
      <w:r w:rsidRPr="000D4089">
        <w:rPr>
          <w:rFonts w:ascii="Arial" w:hAnsi="Arial" w:cs="Arial"/>
          <w:color w:val="000000" w:themeColor="text1"/>
          <w:sz w:val="24"/>
          <w:szCs w:val="24"/>
        </w:rPr>
        <w:t xml:space="preserve"> OMSZ által vásárolt</w:t>
      </w:r>
      <w:r w:rsidR="00227629" w:rsidRPr="000D408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27629" w:rsidRPr="000D4089">
        <w:rPr>
          <w:rFonts w:ascii="Arial" w:hAnsi="Arial" w:cs="Arial"/>
          <w:sz w:val="24"/>
          <w:szCs w:val="24"/>
        </w:rPr>
        <w:t xml:space="preserve">a jelen </w:t>
      </w:r>
      <w:r w:rsidR="006B24C3" w:rsidRPr="000D4089">
        <w:rPr>
          <w:rFonts w:ascii="Arial" w:hAnsi="Arial" w:cs="Arial"/>
          <w:sz w:val="24"/>
          <w:szCs w:val="24"/>
        </w:rPr>
        <w:t>m</w:t>
      </w:r>
      <w:r w:rsidR="00227629" w:rsidRPr="000D4089">
        <w:rPr>
          <w:rFonts w:ascii="Arial" w:hAnsi="Arial" w:cs="Arial"/>
          <w:sz w:val="24"/>
          <w:szCs w:val="24"/>
        </w:rPr>
        <w:t xml:space="preserve">egállapodás elválaszthatatlan részét képező, 3. sz. melléklet szerinti tárgyi eszközöket az OMSZ </w:t>
      </w:r>
      <w:r w:rsidR="006C0097" w:rsidRPr="000D4089">
        <w:rPr>
          <w:rFonts w:ascii="Arial" w:hAnsi="Arial" w:cs="Arial"/>
          <w:sz w:val="24"/>
          <w:szCs w:val="24"/>
        </w:rPr>
        <w:t>külön megállapodásban m</w:t>
      </w:r>
      <w:r w:rsidR="00303B1D">
        <w:rPr>
          <w:rFonts w:ascii="Arial" w:hAnsi="Arial" w:cs="Arial"/>
          <w:sz w:val="24"/>
          <w:szCs w:val="24"/>
        </w:rPr>
        <w:t>eghatározott térítés ellenében</w:t>
      </w:r>
      <w:r w:rsidR="005A4DD3">
        <w:rPr>
          <w:rFonts w:ascii="Arial" w:hAnsi="Arial" w:cs="Arial"/>
          <w:sz w:val="24"/>
          <w:szCs w:val="24"/>
        </w:rPr>
        <w:t xml:space="preserve"> adná </w:t>
      </w:r>
      <w:r w:rsidR="00227629" w:rsidRPr="000D4089">
        <w:rPr>
          <w:rFonts w:ascii="Arial" w:hAnsi="Arial" w:cs="Arial"/>
          <w:sz w:val="24"/>
          <w:szCs w:val="24"/>
        </w:rPr>
        <w:t xml:space="preserve">az Önkormányzat tulajdonába. </w:t>
      </w:r>
      <w:r w:rsidR="00EC1DB1">
        <w:rPr>
          <w:rFonts w:ascii="Arial" w:hAnsi="Arial" w:cs="Arial"/>
          <w:sz w:val="24"/>
          <w:szCs w:val="24"/>
        </w:rPr>
        <w:t>Az Önkormányzat jelen megállapodás aláírásával nyilatkozik arról, hogy térítés ellenében ezen eszközöket nem kívánja tulajdonba venni</w:t>
      </w:r>
      <w:r w:rsidR="005A4DD3">
        <w:rPr>
          <w:rFonts w:ascii="Arial" w:hAnsi="Arial" w:cs="Arial"/>
          <w:sz w:val="24"/>
          <w:szCs w:val="24"/>
        </w:rPr>
        <w:t>, így azok az OMSZ tulajdonában maradnak.</w:t>
      </w:r>
    </w:p>
    <w:p w14:paraId="0FC67AD1" w14:textId="77777777" w:rsidR="00590420" w:rsidRPr="00FD1397" w:rsidRDefault="00590420" w:rsidP="00590420">
      <w:pPr>
        <w:pStyle w:val="Listaszerbekezds"/>
        <w:rPr>
          <w:rFonts w:ascii="Arial" w:hAnsi="Arial" w:cs="Arial"/>
          <w:sz w:val="24"/>
          <w:szCs w:val="24"/>
        </w:rPr>
      </w:pPr>
    </w:p>
    <w:p w14:paraId="4C626ACF" w14:textId="6C91F0B4" w:rsidR="00590420" w:rsidRPr="00FD1397" w:rsidRDefault="00590420" w:rsidP="00590420">
      <w:pPr>
        <w:ind w:left="708"/>
        <w:jc w:val="both"/>
        <w:rPr>
          <w:rFonts w:ascii="Arial" w:hAnsi="Arial" w:cs="Arial"/>
          <w:sz w:val="24"/>
          <w:szCs w:val="24"/>
        </w:rPr>
      </w:pPr>
      <w:r w:rsidRPr="00FD1397">
        <w:rPr>
          <w:rFonts w:ascii="Arial" w:hAnsi="Arial" w:cs="Arial"/>
          <w:sz w:val="24"/>
          <w:szCs w:val="24"/>
        </w:rPr>
        <w:t xml:space="preserve">Szerződő felek megállapodnak abban, hogy a </w:t>
      </w:r>
      <w:r w:rsidR="00A671AA">
        <w:rPr>
          <w:rFonts w:ascii="Arial" w:hAnsi="Arial" w:cs="Arial"/>
          <w:sz w:val="24"/>
          <w:szCs w:val="24"/>
        </w:rPr>
        <w:t>3</w:t>
      </w:r>
      <w:r w:rsidRPr="00FD1397">
        <w:rPr>
          <w:rFonts w:ascii="Arial" w:hAnsi="Arial" w:cs="Arial"/>
          <w:sz w:val="24"/>
          <w:szCs w:val="24"/>
        </w:rPr>
        <w:t xml:space="preserve">. pont szerinti eszközök átadásáról külön jegyzőkönyvet vesznek fel. A jegyzőkönyv jelen </w:t>
      </w:r>
      <w:r w:rsidR="006B24C3">
        <w:rPr>
          <w:rFonts w:ascii="Arial" w:hAnsi="Arial" w:cs="Arial"/>
          <w:sz w:val="24"/>
          <w:szCs w:val="24"/>
        </w:rPr>
        <w:t>m</w:t>
      </w:r>
      <w:r w:rsidRPr="00FD1397">
        <w:rPr>
          <w:rFonts w:ascii="Arial" w:hAnsi="Arial" w:cs="Arial"/>
          <w:sz w:val="24"/>
          <w:szCs w:val="24"/>
        </w:rPr>
        <w:t>egállapodás elválaszthatatlan részét képezi.</w:t>
      </w:r>
    </w:p>
    <w:p w14:paraId="5C7B8D20" w14:textId="583A250A" w:rsidR="00D15BD4" w:rsidRPr="00F933B6" w:rsidRDefault="00D15BD4" w:rsidP="00F933B6">
      <w:pPr>
        <w:jc w:val="both"/>
        <w:rPr>
          <w:rFonts w:ascii="Arial" w:hAnsi="Arial" w:cs="Arial"/>
          <w:sz w:val="24"/>
          <w:szCs w:val="24"/>
        </w:rPr>
      </w:pPr>
    </w:p>
    <w:p w14:paraId="49ABC813" w14:textId="3472AC82" w:rsidR="00731265" w:rsidRDefault="00731265" w:rsidP="00731265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rögzítik, hogy az Önkormányzat jelen szerződés aláírásáig mindösszesen </w:t>
      </w:r>
      <w:r w:rsidR="001435F0">
        <w:rPr>
          <w:rFonts w:ascii="Arial" w:hAnsi="Arial" w:cs="Arial"/>
          <w:sz w:val="24"/>
          <w:szCs w:val="24"/>
        </w:rPr>
        <w:t>30.111.668.</w:t>
      </w:r>
      <w:r>
        <w:rPr>
          <w:rFonts w:ascii="Arial" w:hAnsi="Arial" w:cs="Arial"/>
          <w:sz w:val="24"/>
          <w:szCs w:val="24"/>
        </w:rPr>
        <w:t xml:space="preserve"> Ft-ot fizetett meg az OMSZ részére. Szerződő felek az OMSZ kimutatása alapján a 2020. évi teljes támogatás összegét mindösszesen </w:t>
      </w:r>
      <w:r w:rsidR="001435F0">
        <w:rPr>
          <w:rFonts w:ascii="Arial" w:hAnsi="Arial" w:cs="Arial"/>
          <w:sz w:val="24"/>
          <w:szCs w:val="24"/>
        </w:rPr>
        <w:t>101 926 610</w:t>
      </w:r>
      <w:r w:rsidR="00F217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Ft-ban határozzák meg. Az Önkormányzat a még meg nem fizetett, mindösszesen </w:t>
      </w:r>
      <w:r w:rsidR="001435F0">
        <w:rPr>
          <w:rFonts w:ascii="Arial" w:hAnsi="Arial" w:cs="Arial"/>
          <w:sz w:val="24"/>
          <w:szCs w:val="24"/>
        </w:rPr>
        <w:t xml:space="preserve">71 814 942 </w:t>
      </w:r>
      <w:r>
        <w:rPr>
          <w:rFonts w:ascii="Arial" w:hAnsi="Arial" w:cs="Arial"/>
          <w:sz w:val="24"/>
          <w:szCs w:val="24"/>
        </w:rPr>
        <w:t>Ft-ot az alábbiak szerint fizeti meg az OMSZ részére:</w:t>
      </w:r>
    </w:p>
    <w:p w14:paraId="31195F17" w14:textId="77777777" w:rsidR="00AB2183" w:rsidRPr="00C93DFB" w:rsidRDefault="00AB2183" w:rsidP="00C93DFB">
      <w:pPr>
        <w:pStyle w:val="Listaszerbekezds"/>
        <w:rPr>
          <w:rFonts w:ascii="Arial" w:hAnsi="Arial" w:cs="Arial"/>
          <w:sz w:val="24"/>
          <w:szCs w:val="24"/>
        </w:rPr>
      </w:pPr>
    </w:p>
    <w:p w14:paraId="4A837B2E" w14:textId="54FA25A1" w:rsidR="00AB2183" w:rsidRDefault="00AB2183" w:rsidP="00AB2183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2020. november </w:t>
      </w:r>
      <w:r w:rsidR="008205B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6. napjáig </w:t>
      </w:r>
      <w:r w:rsidR="001435F0">
        <w:rPr>
          <w:rFonts w:ascii="Arial" w:hAnsi="Arial" w:cs="Arial"/>
          <w:sz w:val="24"/>
          <w:szCs w:val="24"/>
        </w:rPr>
        <w:t>23 938 314</w:t>
      </w:r>
      <w:r>
        <w:rPr>
          <w:rFonts w:ascii="Arial" w:hAnsi="Arial" w:cs="Arial"/>
          <w:sz w:val="24"/>
          <w:szCs w:val="24"/>
        </w:rPr>
        <w:t xml:space="preserve"> Ft-ot,</w:t>
      </w:r>
    </w:p>
    <w:p w14:paraId="02321BE8" w14:textId="79197C1E" w:rsidR="00AB2183" w:rsidRDefault="00AB2183" w:rsidP="00AB2183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2020. november 30. napjáig </w:t>
      </w:r>
      <w:r w:rsidR="001435F0">
        <w:rPr>
          <w:rFonts w:ascii="Arial" w:hAnsi="Arial" w:cs="Arial"/>
          <w:sz w:val="24"/>
          <w:szCs w:val="24"/>
        </w:rPr>
        <w:t xml:space="preserve">23 938 314 </w:t>
      </w:r>
      <w:r>
        <w:rPr>
          <w:rFonts w:ascii="Arial" w:hAnsi="Arial" w:cs="Arial"/>
          <w:sz w:val="24"/>
          <w:szCs w:val="24"/>
        </w:rPr>
        <w:t>Ft-ot,</w:t>
      </w:r>
    </w:p>
    <w:p w14:paraId="4135CF18" w14:textId="72481647" w:rsidR="00AB2183" w:rsidRPr="00693D8E" w:rsidRDefault="00C93DFB" w:rsidP="00AB2183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3D8E">
        <w:rPr>
          <w:rFonts w:ascii="Arial" w:hAnsi="Arial" w:cs="Arial"/>
          <w:color w:val="000000" w:themeColor="text1"/>
          <w:sz w:val="24"/>
          <w:szCs w:val="24"/>
        </w:rPr>
        <w:t xml:space="preserve">a 3. pont szerinti eszközök átadását követő 30 napon belül </w:t>
      </w:r>
      <w:r w:rsidR="001435F0" w:rsidRPr="00693D8E">
        <w:rPr>
          <w:rFonts w:ascii="Arial" w:hAnsi="Arial" w:cs="Arial"/>
          <w:color w:val="000000" w:themeColor="text1"/>
          <w:sz w:val="24"/>
          <w:szCs w:val="24"/>
        </w:rPr>
        <w:t xml:space="preserve">23 938 314 </w:t>
      </w:r>
      <w:r w:rsidR="00AB2183" w:rsidRPr="00693D8E">
        <w:rPr>
          <w:rFonts w:ascii="Arial" w:hAnsi="Arial" w:cs="Arial"/>
          <w:color w:val="000000" w:themeColor="text1"/>
          <w:sz w:val="24"/>
          <w:szCs w:val="24"/>
        </w:rPr>
        <w:t>Ft-ot</w:t>
      </w:r>
      <w:r w:rsidRPr="00693D8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E1FF5C" w14:textId="6D8569F1" w:rsidR="00D15BD4" w:rsidRPr="00FD1397" w:rsidRDefault="00465C4F" w:rsidP="000565C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Az Önkormányzat a</w:t>
      </w:r>
      <w:r w:rsidR="00D15BD4" w:rsidRPr="00FD1397">
        <w:rPr>
          <w:rFonts w:ascii="Arial" w:hAnsi="Arial" w:cs="Arial"/>
          <w:sz w:val="24"/>
          <w:szCs w:val="24"/>
        </w:rPr>
        <w:t xml:space="preserve"> </w:t>
      </w:r>
      <w:r w:rsidR="006A6F77">
        <w:rPr>
          <w:rFonts w:ascii="Arial" w:hAnsi="Arial" w:cs="Arial"/>
          <w:sz w:val="24"/>
          <w:szCs w:val="24"/>
        </w:rPr>
        <w:t>4</w:t>
      </w:r>
      <w:r w:rsidR="00D15BD4" w:rsidRPr="00FD1397">
        <w:rPr>
          <w:rFonts w:ascii="Arial" w:hAnsi="Arial" w:cs="Arial"/>
          <w:sz w:val="24"/>
          <w:szCs w:val="24"/>
        </w:rPr>
        <w:t>. pont szerinti fizetési kötelezettségét átutalással teljesíti, az OMSZ Magyar Államkincstárnál vezetett 10032000-01491687-00000000-as számú számlájára.</w:t>
      </w:r>
    </w:p>
    <w:p w14:paraId="1B0E3421" w14:textId="77777777" w:rsidR="003E2CDB" w:rsidRPr="00FD1397" w:rsidRDefault="003E2CDB" w:rsidP="003E2CDB">
      <w:pPr>
        <w:pStyle w:val="Listaszerbekezds"/>
        <w:rPr>
          <w:rFonts w:ascii="Arial" w:hAnsi="Arial" w:cs="Arial"/>
          <w:sz w:val="24"/>
          <w:szCs w:val="24"/>
        </w:rPr>
      </w:pPr>
    </w:p>
    <w:p w14:paraId="0AF2A950" w14:textId="77777777" w:rsidR="003E2CDB" w:rsidRPr="00FD1397" w:rsidRDefault="003E2CDB" w:rsidP="000565C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397">
        <w:rPr>
          <w:rFonts w:ascii="Arial" w:hAnsi="Arial" w:cs="Arial"/>
          <w:sz w:val="24"/>
          <w:szCs w:val="24"/>
        </w:rPr>
        <w:t xml:space="preserve">Szerződő felek kijelentik, hogy a </w:t>
      </w:r>
      <w:r w:rsidR="006B24C3">
        <w:rPr>
          <w:rFonts w:ascii="Arial" w:hAnsi="Arial" w:cs="Arial"/>
          <w:sz w:val="24"/>
          <w:szCs w:val="24"/>
        </w:rPr>
        <w:t>jelen m</w:t>
      </w:r>
      <w:r w:rsidRPr="00FD1397">
        <w:rPr>
          <w:rFonts w:ascii="Arial" w:hAnsi="Arial" w:cs="Arial"/>
          <w:sz w:val="24"/>
          <w:szCs w:val="24"/>
        </w:rPr>
        <w:t>egállapodásban foglaltak maradéktalan teljesítését követően egymással elszámoltak, és egymással szemben sem most, sem a jövőben további igényt a feladatellátás és annak megszüntetése kapcsán nem támasztanak.</w:t>
      </w:r>
    </w:p>
    <w:p w14:paraId="1A5614F1" w14:textId="77777777" w:rsidR="00FD1397" w:rsidRPr="00FD1397" w:rsidRDefault="00FD1397" w:rsidP="00FD1397">
      <w:pPr>
        <w:pStyle w:val="Listaszerbekezds"/>
        <w:rPr>
          <w:rFonts w:ascii="Arial" w:hAnsi="Arial" w:cs="Arial"/>
          <w:sz w:val="24"/>
          <w:szCs w:val="24"/>
        </w:rPr>
      </w:pPr>
    </w:p>
    <w:p w14:paraId="736E21D6" w14:textId="77777777" w:rsidR="00FD1397" w:rsidRPr="00FD1397" w:rsidRDefault="00FD1397" w:rsidP="00FF77F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397">
        <w:rPr>
          <w:rFonts w:ascii="Arial" w:hAnsi="Arial" w:cs="Arial"/>
          <w:sz w:val="24"/>
          <w:szCs w:val="24"/>
        </w:rPr>
        <w:t>Szerződő felek rögzítik, hogy az illetékekről szóló 1990. évi XCIII. törvény 5.§ (1) bekezdés b) pontja alapján az Önkormányzat teljes személyi illetékmentességben részesül.</w:t>
      </w:r>
    </w:p>
    <w:p w14:paraId="63150919" w14:textId="77777777" w:rsidR="00FD1397" w:rsidRPr="00FD1397" w:rsidRDefault="00FD1397" w:rsidP="00FD1397">
      <w:pPr>
        <w:pStyle w:val="Listaszerbekezds"/>
        <w:rPr>
          <w:rFonts w:ascii="Arial" w:hAnsi="Arial" w:cs="Arial"/>
          <w:sz w:val="24"/>
          <w:szCs w:val="24"/>
        </w:rPr>
      </w:pPr>
    </w:p>
    <w:p w14:paraId="390AF5C0" w14:textId="77777777" w:rsidR="00FF77F7" w:rsidRPr="00FD1397" w:rsidRDefault="00FF77F7" w:rsidP="00FF77F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1397">
        <w:rPr>
          <w:rFonts w:ascii="Arial" w:hAnsi="Arial" w:cs="Arial"/>
          <w:sz w:val="24"/>
          <w:szCs w:val="24"/>
        </w:rPr>
        <w:t xml:space="preserve">Jelen </w:t>
      </w:r>
      <w:r w:rsidR="003562A6">
        <w:rPr>
          <w:rFonts w:ascii="Arial" w:hAnsi="Arial" w:cs="Arial"/>
          <w:sz w:val="24"/>
          <w:szCs w:val="24"/>
        </w:rPr>
        <w:t>m</w:t>
      </w:r>
      <w:r w:rsidR="00FD1397">
        <w:rPr>
          <w:rFonts w:ascii="Arial" w:hAnsi="Arial" w:cs="Arial"/>
          <w:sz w:val="24"/>
          <w:szCs w:val="24"/>
        </w:rPr>
        <w:t xml:space="preserve">egállapodás </w:t>
      </w:r>
      <w:r w:rsidRPr="00FD1397">
        <w:rPr>
          <w:rFonts w:ascii="Arial" w:hAnsi="Arial" w:cs="Arial"/>
          <w:sz w:val="24"/>
          <w:szCs w:val="24"/>
        </w:rPr>
        <w:t xml:space="preserve">6 (hat) egymással megegyező, magyar nyelvű példányban készült, </w:t>
      </w:r>
      <w:r w:rsidR="00FD1397">
        <w:rPr>
          <w:rFonts w:ascii="Arial" w:hAnsi="Arial" w:cs="Arial"/>
          <w:sz w:val="24"/>
          <w:szCs w:val="24"/>
        </w:rPr>
        <w:t>a</w:t>
      </w:r>
      <w:r w:rsidRPr="00FD1397">
        <w:rPr>
          <w:rFonts w:ascii="Arial" w:hAnsi="Arial" w:cs="Arial"/>
          <w:sz w:val="24"/>
          <w:szCs w:val="24"/>
        </w:rPr>
        <w:t>melyb</w:t>
      </w:r>
      <w:r w:rsidR="00FD1397">
        <w:rPr>
          <w:rFonts w:ascii="Arial" w:hAnsi="Arial" w:cs="Arial"/>
          <w:sz w:val="24"/>
          <w:szCs w:val="24"/>
        </w:rPr>
        <w:t>ő</w:t>
      </w:r>
      <w:r w:rsidRPr="00FD1397">
        <w:rPr>
          <w:rFonts w:ascii="Arial" w:hAnsi="Arial" w:cs="Arial"/>
          <w:sz w:val="24"/>
          <w:szCs w:val="24"/>
        </w:rPr>
        <w:t>l 3 (három) példány az OMSZ-t, 3 (három) példány az Önkormányzatot illeti meg.</w:t>
      </w:r>
    </w:p>
    <w:p w14:paraId="74828F47" w14:textId="77777777" w:rsidR="00FD1397" w:rsidRPr="00FD1397" w:rsidRDefault="00FD1397" w:rsidP="00FF77F7">
      <w:pPr>
        <w:pStyle w:val="Szvegtrzs"/>
        <w:rPr>
          <w:rFonts w:ascii="Arial" w:hAnsi="Arial" w:cs="Arial"/>
          <w:szCs w:val="24"/>
        </w:rPr>
      </w:pPr>
    </w:p>
    <w:p w14:paraId="4FBF9067" w14:textId="77777777" w:rsidR="00FF77F7" w:rsidRPr="00FD1397" w:rsidRDefault="00FF77F7" w:rsidP="00FD1397">
      <w:pPr>
        <w:pStyle w:val="Szvegtrzs"/>
        <w:numPr>
          <w:ilvl w:val="0"/>
          <w:numId w:val="5"/>
        </w:numPr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 xml:space="preserve">Felek jelen </w:t>
      </w:r>
      <w:r w:rsidR="003562A6">
        <w:rPr>
          <w:rFonts w:ascii="Arial" w:hAnsi="Arial" w:cs="Arial"/>
          <w:szCs w:val="24"/>
        </w:rPr>
        <w:t>m</w:t>
      </w:r>
      <w:r w:rsidR="00FD1397">
        <w:rPr>
          <w:rFonts w:ascii="Arial" w:hAnsi="Arial" w:cs="Arial"/>
          <w:szCs w:val="24"/>
        </w:rPr>
        <w:t>egállapodást</w:t>
      </w:r>
      <w:r w:rsidRPr="00FD1397">
        <w:rPr>
          <w:rFonts w:ascii="Arial" w:hAnsi="Arial" w:cs="Arial"/>
          <w:szCs w:val="24"/>
        </w:rPr>
        <w:t xml:space="preserve"> — annak elolvasását és kölcsönös értelmezését követően — mint akaratukkal mindenben megegyezőt jóv</w:t>
      </w:r>
      <w:r w:rsidR="00FD1397">
        <w:rPr>
          <w:rFonts w:ascii="Arial" w:hAnsi="Arial" w:cs="Arial"/>
          <w:szCs w:val="24"/>
        </w:rPr>
        <w:t>á</w:t>
      </w:r>
      <w:r w:rsidRPr="00FD1397">
        <w:rPr>
          <w:rFonts w:ascii="Arial" w:hAnsi="Arial" w:cs="Arial"/>
          <w:szCs w:val="24"/>
        </w:rPr>
        <w:t>hagyólag írják alá.</w:t>
      </w:r>
    </w:p>
    <w:p w14:paraId="031391C5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20CBD795" w14:textId="77777777" w:rsidR="00FF77F7" w:rsidRDefault="00FF77F7" w:rsidP="00FF77F7">
      <w:pPr>
        <w:pStyle w:val="Szvegtrzs"/>
        <w:rPr>
          <w:rFonts w:ascii="Arial" w:hAnsi="Arial" w:cs="Arial"/>
          <w:szCs w:val="24"/>
        </w:rPr>
      </w:pPr>
    </w:p>
    <w:p w14:paraId="471A3EA1" w14:textId="77777777" w:rsidR="00AB06DC" w:rsidRPr="00FD1397" w:rsidRDefault="00AB06DC" w:rsidP="00FF77F7">
      <w:pPr>
        <w:pStyle w:val="Szvegtrzs"/>
        <w:rPr>
          <w:rFonts w:ascii="Arial" w:hAnsi="Arial" w:cs="Arial"/>
          <w:szCs w:val="24"/>
        </w:rPr>
      </w:pPr>
    </w:p>
    <w:p w14:paraId="54E18C9D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 xml:space="preserve">Kelt: Budapest, 2020. </w:t>
      </w:r>
      <w:proofErr w:type="gramStart"/>
      <w:r w:rsidRPr="00FD1397">
        <w:rPr>
          <w:rFonts w:ascii="Arial" w:hAnsi="Arial" w:cs="Arial"/>
          <w:szCs w:val="24"/>
        </w:rPr>
        <w:t>…….</w:t>
      </w:r>
      <w:proofErr w:type="gramEnd"/>
      <w:r w:rsidRPr="00FD1397">
        <w:rPr>
          <w:rFonts w:ascii="Arial" w:hAnsi="Arial" w:cs="Arial"/>
          <w:szCs w:val="24"/>
        </w:rPr>
        <w:t xml:space="preserve">.… </w:t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  <w:t>Szombathely, 2020. …… …</w:t>
      </w:r>
    </w:p>
    <w:p w14:paraId="6BDC52FA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7E6828E4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7CF5BE91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7A9CB7BC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ab/>
        <w:t>………………………….</w:t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  <w:t>………………………………….</w:t>
      </w:r>
    </w:p>
    <w:p w14:paraId="69419943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ab/>
        <w:t xml:space="preserve">     Dr. Csató Gábor</w:t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  <w:t xml:space="preserve">     Dr. Nemény András</w:t>
      </w:r>
    </w:p>
    <w:p w14:paraId="14A183D2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ab/>
        <w:t xml:space="preserve">         főigazgató </w:t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  <w:t xml:space="preserve">polgármester </w:t>
      </w:r>
    </w:p>
    <w:p w14:paraId="134AD906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ab/>
        <w:t>OMSZ képviseletében</w:t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  <w:t xml:space="preserve"> Szombathely MJV Önkormányzata</w:t>
      </w:r>
    </w:p>
    <w:p w14:paraId="39746477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413F064B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29E135A7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3FD4094E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proofErr w:type="spellStart"/>
      <w:r w:rsidRPr="00FD1397">
        <w:rPr>
          <w:rFonts w:ascii="Arial" w:hAnsi="Arial" w:cs="Arial"/>
          <w:szCs w:val="24"/>
        </w:rPr>
        <w:t>Ellenjegyzem</w:t>
      </w:r>
      <w:proofErr w:type="spellEnd"/>
      <w:r w:rsidRPr="00FD1397">
        <w:rPr>
          <w:rFonts w:ascii="Arial" w:hAnsi="Arial" w:cs="Arial"/>
          <w:szCs w:val="24"/>
        </w:rPr>
        <w:t xml:space="preserve">: </w:t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proofErr w:type="spellStart"/>
      <w:r w:rsidRPr="00FD1397">
        <w:rPr>
          <w:rFonts w:ascii="Arial" w:hAnsi="Arial" w:cs="Arial"/>
          <w:szCs w:val="24"/>
        </w:rPr>
        <w:t>Ellenjegyzem</w:t>
      </w:r>
      <w:proofErr w:type="spellEnd"/>
      <w:r w:rsidRPr="00FD1397">
        <w:rPr>
          <w:rFonts w:ascii="Arial" w:hAnsi="Arial" w:cs="Arial"/>
          <w:szCs w:val="24"/>
        </w:rPr>
        <w:t xml:space="preserve">: </w:t>
      </w:r>
    </w:p>
    <w:p w14:paraId="4475D3AC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77463B42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5C5C41A5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5A4F3BB8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ab/>
        <w:t>……………………………</w:t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  <w:t>………………………………..</w:t>
      </w:r>
    </w:p>
    <w:p w14:paraId="2CB2E773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ab/>
        <w:t xml:space="preserve">        Gulyás Antal</w:t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  <w:t>Stéger Gábor</w:t>
      </w:r>
    </w:p>
    <w:p w14:paraId="6665E5F1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ab/>
        <w:t>gazdasági-műszaki igazgató</w:t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  <w:t xml:space="preserve"> osztályvezető </w:t>
      </w:r>
    </w:p>
    <w:p w14:paraId="6E332D1C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3C566DDA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5AC12693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>Jogi jóváhagyás:</w:t>
      </w:r>
    </w:p>
    <w:p w14:paraId="3EF1C233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5BB3EE79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20D090E5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</w:p>
    <w:p w14:paraId="7C535B1C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ab/>
        <w:t>………………………………</w:t>
      </w:r>
    </w:p>
    <w:p w14:paraId="24DB2AAC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ab/>
        <w:t xml:space="preserve">       Dr. Nagy Márta</w:t>
      </w:r>
    </w:p>
    <w:p w14:paraId="0700D8BD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 xml:space="preserve">           jogi és szervezési igazgató </w:t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  <w:r w:rsidRPr="00FD1397">
        <w:rPr>
          <w:rFonts w:ascii="Arial" w:hAnsi="Arial" w:cs="Arial"/>
          <w:szCs w:val="24"/>
        </w:rPr>
        <w:tab/>
      </w:r>
    </w:p>
    <w:p w14:paraId="46876C61" w14:textId="77777777" w:rsidR="00FF77F7" w:rsidRPr="00FD1397" w:rsidRDefault="00FF77F7" w:rsidP="00FF77F7">
      <w:pPr>
        <w:pStyle w:val="Szvegtrzs"/>
        <w:rPr>
          <w:rFonts w:ascii="Arial" w:hAnsi="Arial" w:cs="Arial"/>
          <w:szCs w:val="24"/>
        </w:rPr>
      </w:pPr>
      <w:r w:rsidRPr="00FD1397">
        <w:rPr>
          <w:rFonts w:ascii="Arial" w:hAnsi="Arial" w:cs="Arial"/>
          <w:szCs w:val="24"/>
        </w:rPr>
        <w:t xml:space="preserve"> </w:t>
      </w:r>
    </w:p>
    <w:p w14:paraId="77D6A9FF" w14:textId="77777777" w:rsidR="000565C7" w:rsidRDefault="000565C7" w:rsidP="006C0097">
      <w:pPr>
        <w:pStyle w:val="Listaszerbekezds"/>
        <w:numPr>
          <w:ilvl w:val="0"/>
          <w:numId w:val="9"/>
        </w:numPr>
        <w:jc w:val="center"/>
      </w:pPr>
      <w:r>
        <w:lastRenderedPageBreak/>
        <w:t>számú melléklet</w:t>
      </w:r>
    </w:p>
    <w:p w14:paraId="014499E5" w14:textId="77777777" w:rsidR="006C0097" w:rsidRDefault="006C0097" w:rsidP="006C0097">
      <w:pPr>
        <w:pStyle w:val="Listaszerbekezds"/>
      </w:pPr>
    </w:p>
    <w:tbl>
      <w:tblPr>
        <w:tblW w:w="9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2806"/>
        <w:gridCol w:w="1073"/>
        <w:gridCol w:w="983"/>
        <w:gridCol w:w="830"/>
        <w:gridCol w:w="2108"/>
        <w:gridCol w:w="1141"/>
      </w:tblGrid>
      <w:tr w:rsidR="000565C7" w:rsidRPr="000565C7" w14:paraId="4105C266" w14:textId="77777777" w:rsidTr="006C0097">
        <w:trPr>
          <w:trHeight w:val="184"/>
        </w:trPr>
        <w:tc>
          <w:tcPr>
            <w:tcW w:w="92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9C37" w14:textId="77777777" w:rsidR="000565C7" w:rsidRPr="000565C7" w:rsidRDefault="000565C7" w:rsidP="000565C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565C7">
              <w:rPr>
                <w:b/>
                <w:bCs/>
                <w:color w:val="000000"/>
                <w:sz w:val="10"/>
                <w:szCs w:val="10"/>
              </w:rPr>
              <w:t xml:space="preserve">A 2003. évben az OMSZ tulajdonába átadott, jelenleg is meglévő, használatra alkalmas eszközök </w:t>
            </w:r>
          </w:p>
        </w:tc>
      </w:tr>
      <w:tr w:rsidR="000565C7" w:rsidRPr="000565C7" w14:paraId="3F5F66B9" w14:textId="77777777" w:rsidTr="006C0097">
        <w:trPr>
          <w:trHeight w:val="203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8EE3" w14:textId="77777777" w:rsidR="000565C7" w:rsidRPr="000565C7" w:rsidRDefault="000565C7" w:rsidP="000565C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470C" w14:textId="77777777" w:rsidR="000565C7" w:rsidRPr="000565C7" w:rsidRDefault="000565C7" w:rsidP="000565C7">
            <w:pPr>
              <w:overflowPunct/>
              <w:autoSpaceDE/>
              <w:autoSpaceDN/>
              <w:adjustRightInd/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7420" w14:textId="77777777" w:rsidR="000565C7" w:rsidRPr="000565C7" w:rsidRDefault="000565C7" w:rsidP="000565C7">
            <w:pPr>
              <w:overflowPunct/>
              <w:autoSpaceDE/>
              <w:autoSpaceDN/>
              <w:adjustRightInd/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9E29" w14:textId="77777777" w:rsidR="000565C7" w:rsidRPr="000565C7" w:rsidRDefault="000565C7" w:rsidP="000565C7">
            <w:pPr>
              <w:overflowPunct/>
              <w:autoSpaceDE/>
              <w:autoSpaceDN/>
              <w:adjustRightInd/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36A7" w14:textId="77777777" w:rsidR="000565C7" w:rsidRPr="000565C7" w:rsidRDefault="000565C7" w:rsidP="000565C7">
            <w:pPr>
              <w:overflowPunct/>
              <w:autoSpaceDE/>
              <w:autoSpaceDN/>
              <w:adjustRightInd/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8180" w14:textId="77777777" w:rsidR="000565C7" w:rsidRPr="000565C7" w:rsidRDefault="000565C7" w:rsidP="000565C7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40DB9" w14:textId="77777777" w:rsidR="000565C7" w:rsidRPr="000565C7" w:rsidRDefault="000565C7" w:rsidP="000565C7">
            <w:pPr>
              <w:overflowPunct/>
              <w:autoSpaceDE/>
              <w:autoSpaceDN/>
              <w:adjustRightInd/>
            </w:pPr>
          </w:p>
        </w:tc>
      </w:tr>
      <w:tr w:rsidR="000565C7" w:rsidRPr="000565C7" w14:paraId="4194B4AA" w14:textId="77777777" w:rsidTr="006C0097">
        <w:trPr>
          <w:trHeight w:val="18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8C11" w14:textId="77777777" w:rsidR="000565C7" w:rsidRPr="006C0097" w:rsidRDefault="000565C7" w:rsidP="006C009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3F3E" w14:textId="77777777" w:rsidR="000565C7" w:rsidRPr="006C0097" w:rsidRDefault="000565C7" w:rsidP="006C009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097">
              <w:rPr>
                <w:b/>
                <w:bCs/>
                <w:color w:val="000000"/>
                <w:sz w:val="16"/>
                <w:szCs w:val="16"/>
              </w:rPr>
              <w:t>Megnevezés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09E9" w14:textId="77777777" w:rsidR="000565C7" w:rsidRPr="006C0097" w:rsidRDefault="000565C7" w:rsidP="006C009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097">
              <w:rPr>
                <w:b/>
                <w:bCs/>
                <w:color w:val="000000"/>
                <w:sz w:val="16"/>
                <w:szCs w:val="16"/>
              </w:rPr>
              <w:t>Gyártási szám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0810" w14:textId="77777777" w:rsidR="000565C7" w:rsidRPr="006C0097" w:rsidRDefault="000565C7" w:rsidP="006C009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097">
              <w:rPr>
                <w:b/>
                <w:bCs/>
                <w:color w:val="000000"/>
                <w:sz w:val="16"/>
                <w:szCs w:val="16"/>
              </w:rPr>
              <w:t>Könyv.ME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E2C" w14:textId="77777777" w:rsidR="000565C7" w:rsidRPr="006C0097" w:rsidRDefault="000565C7" w:rsidP="006C009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097">
              <w:rPr>
                <w:b/>
                <w:bCs/>
                <w:color w:val="000000"/>
                <w:sz w:val="16"/>
                <w:szCs w:val="16"/>
              </w:rPr>
              <w:t>Leltár ME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AF4F" w14:textId="77777777" w:rsidR="000565C7" w:rsidRPr="006C0097" w:rsidRDefault="000565C7" w:rsidP="006C009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097">
              <w:rPr>
                <w:b/>
                <w:bCs/>
                <w:color w:val="000000"/>
                <w:sz w:val="16"/>
                <w:szCs w:val="16"/>
              </w:rPr>
              <w:t>Leltári szám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5752" w14:textId="77777777" w:rsidR="000565C7" w:rsidRPr="006C0097" w:rsidRDefault="000565C7" w:rsidP="006C0097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097">
              <w:rPr>
                <w:b/>
                <w:bCs/>
                <w:color w:val="000000"/>
                <w:sz w:val="16"/>
                <w:szCs w:val="16"/>
              </w:rPr>
              <w:t>Megjegyzés</w:t>
            </w:r>
          </w:p>
        </w:tc>
      </w:tr>
      <w:tr w:rsidR="000565C7" w:rsidRPr="000565C7" w14:paraId="4044D406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A95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12D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6C0097">
              <w:rPr>
                <w:b/>
                <w:bCs/>
                <w:color w:val="000000"/>
                <w:sz w:val="16"/>
                <w:szCs w:val="16"/>
                <w:u w:val="single"/>
              </w:rPr>
              <w:t>Felnőtt ügyeleti szolgálati helyiségben: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11C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E8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B5B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AB3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97D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55F430FE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2B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E7A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6C0097">
              <w:rPr>
                <w:color w:val="000000"/>
                <w:sz w:val="16"/>
                <w:szCs w:val="16"/>
              </w:rPr>
              <w:t>Dopler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 xml:space="preserve"> véráramlásmérő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1DA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A44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0C8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A83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1000213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7A3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3A5D38F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AE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F3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Fa vizsgálópamlag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5E28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D39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FE0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38E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1026732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87A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2407E4FD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06E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B39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6C0097">
              <w:rPr>
                <w:color w:val="000000"/>
                <w:sz w:val="16"/>
                <w:szCs w:val="16"/>
              </w:rPr>
              <w:t>Heart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0097">
              <w:rPr>
                <w:color w:val="000000"/>
                <w:sz w:val="16"/>
                <w:szCs w:val="16"/>
              </w:rPr>
              <w:t>Screen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 xml:space="preserve"> EKG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772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2004387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D9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790D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A77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10412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2FF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31E040B5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CD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80D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Készenléti táska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F3E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98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6CF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9E5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21715-5120374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62A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448B8429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3C8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68D8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Laringoszkóp 4lap izzós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1EF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6A7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C37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48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17406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9C5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004E2D3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F3B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464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 xml:space="preserve">Lélegeztető </w:t>
            </w:r>
            <w:proofErr w:type="spellStart"/>
            <w:r w:rsidRPr="006C0097">
              <w:rPr>
                <w:color w:val="000000"/>
                <w:sz w:val="16"/>
                <w:szCs w:val="16"/>
              </w:rPr>
              <w:t>ambuball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4F1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BE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DF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22D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12988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3E9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35C73850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80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DCA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Medicin koffer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D30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7DA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158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EBB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21715-5120335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0DB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3C73852F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160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D08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OH-33/22L hőlégsterilizátor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978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97/295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9AC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3BC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FED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17529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308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27E54AAC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235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43C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Higanyos vérnyomásmérő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EB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66E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D53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E5D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1001508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45CB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28C80EFB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7EB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8209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Kullancskiszedő csipesz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4C4B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957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B7C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045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21715-5111140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2AF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36C60A9E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8C3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524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 xml:space="preserve">Készenléti táska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27C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3A7D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98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0B9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21715-5120374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6C3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3D3E14E8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0F4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479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Nyelvfogó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D89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4BA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6ED4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0E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21715-5111103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C9A2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6BA91CE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E5F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2A5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Olló egyenes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2A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D88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4AD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641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21715-5111005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54E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19C9DD37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A0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90C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Olló sebészeti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B7C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23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5BC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3F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21715-5111004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686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1E29F788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29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BE1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Órás vérnyomásmérő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9E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DD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385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CC5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1001509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75E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6CA1467C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D82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148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6C0097">
              <w:rPr>
                <w:color w:val="000000"/>
                <w:sz w:val="16"/>
                <w:szCs w:val="16"/>
              </w:rPr>
              <w:t>Oscilloméer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 xml:space="preserve"> 33613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1F4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515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7EC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20F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1000215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864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2DFE477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EF7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A22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Íróasztal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6D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173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50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BC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45679, 45678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A1E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4FBB84B2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9E2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E39B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Kvarclámpa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AB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5A7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C10D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FB8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1015827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EBF2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18C73860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7C1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D5D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Műszerasztal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A8D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FC6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E3C4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977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1015832, 1015846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921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5916E655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14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83A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Vizsgálóasztal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9E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6A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748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5A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1026761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D61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4108A80A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5E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BAE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Zsámoly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24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71A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F86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ECE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1026776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019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6F308383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B9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562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Állófogas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B969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2C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52B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5C6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1050333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421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4D63BDD3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A4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2E8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Homlok reflektor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28F3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D84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D0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AE6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CA1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5E98DA6F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24B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4AE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Állvány infúziós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81B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CBC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856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BA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1015888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F43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19A8F3A1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DF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D7A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Vizsgáló lámpa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94C8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8D34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E7D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2F2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1026740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8AF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A036025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242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77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Nyakrögzítő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F45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4ED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69E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F35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21715-5120356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54B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0AEB3D89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54B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D24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Végtagrögzítő készlet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2FD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98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DE9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F6F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1015910, 1015920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2065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60CE6F70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6E2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57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 xml:space="preserve">Fülhőmérő </w:t>
            </w:r>
            <w:proofErr w:type="spellStart"/>
            <w:r w:rsidRPr="006C0097">
              <w:rPr>
                <w:color w:val="000000"/>
                <w:sz w:val="16"/>
                <w:szCs w:val="16"/>
              </w:rPr>
              <w:t>Omron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F0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835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5F9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276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1014711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D34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6A689BB8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18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1D59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Műszerasztal 50x60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B1FB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B1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B6E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5F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1015843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6C32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E02C6A2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CEB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196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Műszerasztal EKG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2C8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318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A17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5BF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1015838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075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6C95B251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24D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47C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Műszerszekrény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125B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F2F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9A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BE8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1039241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B828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50752EEA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BAD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EB9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6C0097">
              <w:rPr>
                <w:color w:val="000000"/>
                <w:sz w:val="16"/>
                <w:szCs w:val="16"/>
              </w:rPr>
              <w:t>Herat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0097">
              <w:rPr>
                <w:color w:val="000000"/>
                <w:sz w:val="16"/>
                <w:szCs w:val="16"/>
              </w:rPr>
              <w:t>Screen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 xml:space="preserve"> 80G EKG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0AB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2004382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64D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CC8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58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10413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8632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3B3F2D97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F8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B8D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Szolga háziorvosi program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9A38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43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CA3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859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90279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8AA8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23857438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DC8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5613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Szoftver/</w:t>
            </w:r>
            <w:proofErr w:type="spellStart"/>
            <w:r w:rsidRPr="006C0097">
              <w:rPr>
                <w:color w:val="000000"/>
                <w:sz w:val="16"/>
                <w:szCs w:val="16"/>
              </w:rPr>
              <w:t>Koordinációsközp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>. Program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FCBB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7D0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7ED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7C3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90278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151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25E00C2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FC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121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  <w:u w:val="single"/>
              </w:rPr>
            </w:pPr>
            <w:r w:rsidRPr="006C0097">
              <w:rPr>
                <w:b/>
                <w:bCs/>
                <w:sz w:val="16"/>
                <w:szCs w:val="16"/>
                <w:u w:val="single"/>
              </w:rPr>
              <w:t>Gyerek ügyeleti szolgálati helyiségben: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AF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1173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39C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485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B1D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269312E8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FE2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D26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6C0097">
              <w:rPr>
                <w:color w:val="000000"/>
                <w:sz w:val="16"/>
                <w:szCs w:val="16"/>
              </w:rPr>
              <w:t>Heart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0097">
              <w:rPr>
                <w:color w:val="000000"/>
                <w:sz w:val="16"/>
                <w:szCs w:val="16"/>
              </w:rPr>
              <w:t>Screen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 xml:space="preserve"> EKG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375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2004366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B54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5DD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431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10415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D3D3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41AAA160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0C2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CF2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6C0097">
              <w:rPr>
                <w:color w:val="000000"/>
                <w:sz w:val="16"/>
                <w:szCs w:val="16"/>
              </w:rPr>
              <w:t>Heart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0097">
              <w:rPr>
                <w:color w:val="000000"/>
                <w:sz w:val="16"/>
                <w:szCs w:val="16"/>
              </w:rPr>
              <w:t>Screen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 xml:space="preserve"> EKG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A71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2004386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407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2642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B1E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10416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E0F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6C0097">
              <w:rPr>
                <w:color w:val="000000"/>
                <w:sz w:val="16"/>
                <w:szCs w:val="16"/>
              </w:rPr>
              <w:t>Bp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>-en javításon</w:t>
            </w:r>
          </w:p>
        </w:tc>
      </w:tr>
      <w:tr w:rsidR="000565C7" w:rsidRPr="000565C7" w14:paraId="372C57F4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F7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4D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Hőlégsterilizátor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D8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02/319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E86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4C8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793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17528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05F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AC3BCE0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FE4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1DC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Készenléti táska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F3F2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B8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81B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44D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21715-5120335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726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132E1A8B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23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5C2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Homlok reflektor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CA9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A9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0A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E49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172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F04D8E8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9E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B74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Állvány infúziós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3C7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554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BA9D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F99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1015889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0168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6B0A833F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C4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4EBB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 xml:space="preserve">Lélegeztető </w:t>
            </w:r>
            <w:proofErr w:type="spellStart"/>
            <w:r w:rsidRPr="006C0097">
              <w:rPr>
                <w:color w:val="000000"/>
                <w:sz w:val="16"/>
                <w:szCs w:val="16"/>
              </w:rPr>
              <w:t>ambuball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>. Csecsemő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1DC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E7F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965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B79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12987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A94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2FDC5808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F72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95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 xml:space="preserve">Lélegeztető </w:t>
            </w:r>
            <w:proofErr w:type="spellStart"/>
            <w:r w:rsidRPr="006C0097">
              <w:rPr>
                <w:color w:val="000000"/>
                <w:sz w:val="16"/>
                <w:szCs w:val="16"/>
              </w:rPr>
              <w:t>ambuball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>. Gyerek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4683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F81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595D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FCA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1005784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8C62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67923AAD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E8E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952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Készenléti táska KT-1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6A8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FFE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125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64A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21715-5120350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757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0AC9E9AC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BC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ED1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6C0097">
              <w:rPr>
                <w:color w:val="000000"/>
                <w:sz w:val="16"/>
                <w:szCs w:val="16"/>
              </w:rPr>
              <w:t>Laringoscop</w:t>
            </w:r>
            <w:proofErr w:type="spellEnd"/>
            <w:r w:rsidRPr="006C0097">
              <w:rPr>
                <w:color w:val="000000"/>
                <w:sz w:val="16"/>
                <w:szCs w:val="16"/>
              </w:rPr>
              <w:t xml:space="preserve"> gyerek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340B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55A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92D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C09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1015292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287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01013153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24F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8AB2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Órás vérnyomásmérő + mandzsetta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916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65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B0D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CFA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1001511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A95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9F90164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FD2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2C9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proofErr w:type="spellStart"/>
            <w:r w:rsidRPr="006C0097">
              <w:rPr>
                <w:color w:val="000000"/>
                <w:sz w:val="16"/>
                <w:szCs w:val="16"/>
              </w:rPr>
              <w:t>Otoscop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778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44B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160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7D9D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1014837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BB3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04187808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B2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DC3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Érfogó egyenes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28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1C4D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8ED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91E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21715-5111109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A69B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175CB6CB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77B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72C8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 ajtós szekrény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18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617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0AD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B1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1031954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321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3D2B9A12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484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F23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Dohányzóasztal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EB73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53C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9BB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96D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1028573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B9E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44065398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7A4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080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Falióra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40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05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3D9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D0F4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21942-5320356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E739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39F81EA6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B88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3E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Fotel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448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1E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6A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534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1046734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AB8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38DA0C93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954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AFD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Íróasztal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A0D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B6C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D4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E0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1026227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BCD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0BAF312E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2B0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C49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Orvosi táska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51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BC8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D1A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AD24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21715-5120348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FDC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D4A773D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778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46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Számítógépasztal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C6C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775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180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BE4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1031335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702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0967E41C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9E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6E0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Vizsgálóasztal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A39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B56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CB1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24A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1026763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A2D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E3E9CEF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C84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6DC3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Zsámoly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86F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834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201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02A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1026779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3EF2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58E577A4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778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70C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Állófogas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7018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9D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289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46D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1049945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48D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249DAF52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A63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864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Nyakrögzítő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C922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E7A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DF3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2FF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21715-5120356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7D9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4CF8FC73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AFB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9C0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Végtagrögzítő készlet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C057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C21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C93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8B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1015922, 1015924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7FB3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22204299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9C8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84D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 xml:space="preserve">Fülhőmérő </w:t>
            </w:r>
            <w:proofErr w:type="spellStart"/>
            <w:r w:rsidRPr="006C0097">
              <w:rPr>
                <w:color w:val="000000"/>
                <w:sz w:val="16"/>
                <w:szCs w:val="16"/>
              </w:rPr>
              <w:t>Omron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F75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85E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9D9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D6A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1014712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7262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5CF526A4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AE8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E8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Műszerasztal 50x60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EA3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F9D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AAE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99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1015847, 1015844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84D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55D754A7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44B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9E9B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Műszerszekrény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869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000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2C8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500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1039249, 1039253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F8F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1BAF82B1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F99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0DC3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Dohányzóasztal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A8C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202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2D7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2782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1028296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8FC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240B708E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844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CE8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Fotel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5F11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E31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FA5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C7A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1046740, 1046736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28C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6CD65BE2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CC0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1D9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Íróasztal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AC5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C2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911F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11A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1026229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00C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4EF15765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D08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CB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Vizsgálóágy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7F0C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CA0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19C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B9B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1026733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3D3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51E65C2C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8D3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5FED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Zsámoly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D9BF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3546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A3C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0CD3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1026777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F36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1C360F43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D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D879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Műszerasztal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EC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FC3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CB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A794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1015848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C915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09C216C9" w14:textId="77777777" w:rsidTr="006C0097">
        <w:trPr>
          <w:trHeight w:val="184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2EA4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375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EKG asztal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2F24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61CE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AA0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0E34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1015845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D82E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565C7" w:rsidRPr="000565C7" w14:paraId="7F847504" w14:textId="77777777" w:rsidTr="006C0097">
        <w:trPr>
          <w:trHeight w:val="702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C7B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2FEF" w14:textId="528B89A5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számítógép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BAD0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B958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4181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D837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31902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9477" w14:textId="4E2C4F7D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FF0000"/>
                <w:sz w:val="16"/>
                <w:szCs w:val="16"/>
              </w:rPr>
            </w:pPr>
          </w:p>
        </w:tc>
      </w:tr>
      <w:tr w:rsidR="000565C7" w:rsidRPr="000565C7" w14:paraId="0A1FA97E" w14:textId="77777777" w:rsidTr="006C0097">
        <w:trPr>
          <w:trHeight w:val="369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07DA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F12A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fémvázas szék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B039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5DFD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803C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6905" w14:textId="77777777" w:rsidR="000565C7" w:rsidRPr="006C0097" w:rsidRDefault="000565C7" w:rsidP="000565C7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1044907,1044915,1044917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BE2" w14:textId="77777777" w:rsidR="000565C7" w:rsidRPr="006C0097" w:rsidRDefault="000565C7" w:rsidP="000565C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7BB5F8D2" w14:textId="77777777" w:rsidR="000565C7" w:rsidRDefault="000565C7"/>
    <w:p w14:paraId="0F179D62" w14:textId="77777777" w:rsidR="000565C7" w:rsidRDefault="000565C7"/>
    <w:p w14:paraId="17FD6D47" w14:textId="77777777" w:rsidR="000565C7" w:rsidRDefault="000565C7"/>
    <w:p w14:paraId="70560ADE" w14:textId="77777777" w:rsidR="000565C7" w:rsidRDefault="000565C7"/>
    <w:p w14:paraId="2FEBCAD4" w14:textId="77777777" w:rsidR="000565C7" w:rsidRDefault="000565C7" w:rsidP="006C0097">
      <w:pPr>
        <w:pStyle w:val="Listaszerbekezds"/>
        <w:numPr>
          <w:ilvl w:val="0"/>
          <w:numId w:val="9"/>
        </w:numPr>
        <w:jc w:val="center"/>
      </w:pPr>
      <w:r>
        <w:t>számú melléklet</w:t>
      </w:r>
    </w:p>
    <w:p w14:paraId="03D0FB50" w14:textId="77777777" w:rsidR="000565C7" w:rsidRDefault="000565C7" w:rsidP="000565C7">
      <w:pPr>
        <w:pStyle w:val="Listaszerbekezds"/>
        <w:ind w:left="5310"/>
      </w:pPr>
    </w:p>
    <w:p w14:paraId="0345ECCE" w14:textId="77777777" w:rsidR="000565C7" w:rsidRDefault="000565C7" w:rsidP="000565C7">
      <w:pPr>
        <w:pStyle w:val="Listaszerbekezds"/>
        <w:ind w:left="5310"/>
      </w:pPr>
    </w:p>
    <w:tbl>
      <w:tblPr>
        <w:tblW w:w="9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480"/>
        <w:gridCol w:w="3740"/>
        <w:gridCol w:w="985"/>
        <w:gridCol w:w="1012"/>
        <w:gridCol w:w="788"/>
        <w:gridCol w:w="808"/>
      </w:tblGrid>
      <w:tr w:rsidR="002E5DFD" w:rsidRPr="006C0097" w14:paraId="365F28E0" w14:textId="77777777" w:rsidTr="006C0097">
        <w:trPr>
          <w:trHeight w:val="181"/>
        </w:trPr>
        <w:tc>
          <w:tcPr>
            <w:tcW w:w="9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4BE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0097">
              <w:rPr>
                <w:b/>
                <w:bCs/>
                <w:color w:val="000000"/>
                <w:sz w:val="16"/>
                <w:szCs w:val="16"/>
              </w:rPr>
              <w:t>GESZ tulajdonában lévő, 2016. évben vásárolt és használatba átadott eszközök listája</w:t>
            </w:r>
          </w:p>
        </w:tc>
      </w:tr>
      <w:tr w:rsidR="002E5DFD" w:rsidRPr="006C0097" w14:paraId="42FE2F1F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F42F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B4F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7EB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E62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597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8BB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C5A6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2E5DFD" w:rsidRPr="006C0097" w14:paraId="2284864F" w14:textId="77777777" w:rsidTr="006C0097">
        <w:trPr>
          <w:trHeight w:val="181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8C7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6C0097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2AD1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C0097">
              <w:rPr>
                <w:b/>
                <w:bCs/>
                <w:sz w:val="16"/>
                <w:szCs w:val="16"/>
              </w:rPr>
              <w:t>LELTÁRSZÁM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6F7D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C0097">
              <w:rPr>
                <w:b/>
                <w:bCs/>
                <w:sz w:val="16"/>
                <w:szCs w:val="16"/>
              </w:rPr>
              <w:t>NÉV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0E6E6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C0097">
              <w:rPr>
                <w:b/>
                <w:bCs/>
                <w:sz w:val="16"/>
                <w:szCs w:val="16"/>
              </w:rPr>
              <w:t>Bruttó ért.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6F34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C0097">
              <w:rPr>
                <w:b/>
                <w:bCs/>
                <w:sz w:val="16"/>
                <w:szCs w:val="16"/>
              </w:rPr>
              <w:t>Könyv.ME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EB518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6C0097">
              <w:rPr>
                <w:b/>
                <w:bCs/>
                <w:sz w:val="16"/>
                <w:szCs w:val="16"/>
              </w:rPr>
              <w:t>Lelt.ME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213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6C0097">
              <w:rPr>
                <w:sz w:val="16"/>
                <w:szCs w:val="16"/>
              </w:rPr>
              <w:t> </w:t>
            </w:r>
          </w:p>
        </w:tc>
      </w:tr>
      <w:tr w:rsidR="002E5DFD" w:rsidRPr="006C0097" w14:paraId="1969093B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43F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33B8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1112-762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20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MEDMAX LICENC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AC5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66929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5B72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EAD8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56C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70FD39E7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D65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43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1112-763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26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MEDMAX LICENC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4496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66929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24A8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5AB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334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62F7F081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5093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EDF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13112-840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2EE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EKG HEARTSCREEN 80 CL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895D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381890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98E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301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538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113214F2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0E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4D5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13112-841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B08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EKG HEARTSCREEN 80 GL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CAFF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346457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715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65EF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4C4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558EE330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BC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9C5B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131191-849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13D7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MONITOR 19" FUJITSU E19-7 LED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59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37000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3C41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8F1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FA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21282ED6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8CC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1D5B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131192-847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A5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VÁRÓTERMI PAD 4 ÜLÉSES KÉK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1B73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58268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332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B58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70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22BF08B4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89C2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8BE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131192-848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E2A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VÁRÓTERMI PAD 3 ÜLÉSES KÉK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2B0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46457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A52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9B71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DE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36812035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9F6F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2816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131192-865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A7C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HEVERŐ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C08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124410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C8F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BF5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00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3EA0B975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73C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BA6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131192-871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60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MIKROHULLÁMÚ SÜTŐ GORENJE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6A98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26770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FC18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0B6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0F8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590BA4F8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962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EB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131192-875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AB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HŰTŐSZEKRÉNY ELECTROLUX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ED1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62991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CFA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82F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B3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2F92BEDC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816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3D3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131192-882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E4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PHILIPS LCD TV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BAC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55117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308E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A71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8EE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7D76E251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C55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055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131192-883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2AE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KÁVÉFŐZŐ SZARVASI ESPRESSO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B888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14172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F52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9D8C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E44B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6CC13758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2BCB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FA0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131192-884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3B2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INDUKCIÓS FŐZŐLAP SENCOR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16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11023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7C9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C28F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50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0D3081C1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1EF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7DB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131192-945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823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PÓLYÁZÓ ASZTAL EGYES, FÉMVÁZAS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6268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44882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208C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82DC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04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69BF314E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916C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9A9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131192-946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80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ASZTAL SZÁMÍTÓGÉPHEZ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AE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12520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A78F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8DD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6DC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17A85191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6363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B5F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131192-947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46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PARAVÁN VÁSZONNAL GÖRGŐS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288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24409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B696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4F6B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74D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5D1B86C2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E0D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AF0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131192-948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D92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SZÉK ORVOSI GÖRGŐS FEHÉR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AC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119685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A9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590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2AC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77E9B9FB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B89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32D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131192-949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F4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PARAVÁN VÁSZONNAL GÖRGŐS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191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61024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C2E6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432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288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1C1E6B74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CFB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765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131192-950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CF6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VÁRÓTERMI PAD VARIO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D22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70866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D71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DD6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14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3BFA80FC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F8E3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FBB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131192-951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D6B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VÁRÓTERMI PAD 4 ÜLÉSES KÉK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4E3E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116535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89B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8F3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147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44F1A4C1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658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FCC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131192-952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D4E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OTOSZKÓP KAWE EUROL FO30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B37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36220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0CD6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C7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C866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27CD4FC2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66B2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615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131192-953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A2D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OTOSZKÓP KAWE EUROLIGHT FO LED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DFD6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39370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FC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9BC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7F1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6B4C4A88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7F4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6F7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131192-954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674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OTOSZKÓP KAWE EUROLIGHT FO LED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897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39370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C4D8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CCD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DF2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2340D5F9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3751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1EA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131192-958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D82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PHILIPS LCD TV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64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55118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CBF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72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8C0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2F2683E0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B1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ABE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181/03060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A8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FONENDOSZKÓP LITTMANN CLASSIC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9CE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DB3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186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53FB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12F8F90E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EAFC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B1B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181/03058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AAF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HŐMÉRŐ ROSSMAX INFRÁS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1FD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725D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0BE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F36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4FC2FCD2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AA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D357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181/01167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63C8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ORVOSI TÁSKA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CBD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FACD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573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195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396CE16C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DDD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EA2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181/00696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AA3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OTOSCOP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196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12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C9EE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88D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326D4C6C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B7FD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30E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181/03063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555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PUPILLALÁMPA MINI C HEINE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0BD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7FD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263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B31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7566F99F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9C62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A9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181/03062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347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VÉRNYOMÁSMÉRŐ HEINE GAMMA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F57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216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6A73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855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280FE8DA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509C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304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181/03061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4287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VÉRNYOMÁSMÉRŐ RIESTER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FF0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13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658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B1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0D1EB9E8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B5F6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4BC7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181/02717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C79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FÜGGÖNY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C65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3466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E32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E8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1585CE8A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B53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318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181/01616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8E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ORVOSI SZÉK KRÓMOZOTT FIX LÁBÚ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722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E1AB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53C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00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1ADAC27D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49BE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CE0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7BE7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 xml:space="preserve">PUPILLALÁMPA </w:t>
            </w:r>
            <w:proofErr w:type="spellStart"/>
            <w:r w:rsidRPr="006C0097">
              <w:rPr>
                <w:color w:val="000000"/>
                <w:sz w:val="16"/>
                <w:szCs w:val="16"/>
              </w:rPr>
              <w:t>Riester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02B7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105B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3FDC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BBB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3170A81B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E8CF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E4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436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Fehér köpeny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CFD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EDA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003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764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1F8151B6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DD63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70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EFF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Szemetes kuka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93D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8E2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28F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3BF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5D6FA8FC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FB2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9B9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E398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Szálkacsipesz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F07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0D6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1D6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00E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237D830B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AA2F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05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F79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Anatómiai csipesz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DB8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012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96A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211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4AABD81D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F10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2B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961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Fülcsipesz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A76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3412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58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D4E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4591394C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D9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90F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FB8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Olló sebészeti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083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3F1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3E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4A6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7B60759D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028E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FBA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BEB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Olló kötszeres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0B6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ADAE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D3F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5A6B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40506538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F176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053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2EE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Törölköző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90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239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A528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E40B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3C750933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C6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5488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DD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Takaró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080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C7D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1BE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17E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69A9972D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CA08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935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2806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Ágyneműhuzat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3E5B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EA2D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6DE8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218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6B98AC42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6B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4CC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DB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Párna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7BA6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6DCB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BA1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112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637C6E9D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11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14E7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DD8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Paplan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38D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BEF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A1B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B6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72083BB9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5B39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98B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068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Vízforraló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9B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272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CAB2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E0D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1C51BB54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265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998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173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Kanál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B1D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D4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03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891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74AF108E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510C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F06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993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Teáskanál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9A7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158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51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AA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5492F592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114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5D4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6010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 xml:space="preserve">Kés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20C6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3967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65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4E7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015850F4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D23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1D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0F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Villa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0B6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EC5A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026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DF3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6E2E1360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44D5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EF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683D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Lapostányér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30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C11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D7E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CAE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0D97B507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35B2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D631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D843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Mélytányér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609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AC1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4A8B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7476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7A5BBDD0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7F13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1DA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C9A4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Csemegéstányér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836E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730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4712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2DB8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E5DFD" w:rsidRPr="006C0097" w14:paraId="385F3EDE" w14:textId="77777777" w:rsidTr="006C0097">
        <w:trPr>
          <w:trHeight w:val="181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C9D4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87D5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CA99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Üvegpohár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2FB8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5B0B" w14:textId="77777777" w:rsidR="002E5DFD" w:rsidRPr="006C0097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8D7C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BBF" w14:textId="77777777" w:rsidR="002E5DFD" w:rsidRPr="006C0097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6C009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38FB9221" w14:textId="77777777" w:rsidR="002E5DFD" w:rsidRDefault="002E5DFD" w:rsidP="006C0097"/>
    <w:p w14:paraId="2621E0C5" w14:textId="77777777" w:rsidR="002E5DFD" w:rsidRDefault="002E5DFD" w:rsidP="000565C7">
      <w:pPr>
        <w:pStyle w:val="Listaszerbekezds"/>
        <w:ind w:left="-142"/>
      </w:pPr>
    </w:p>
    <w:p w14:paraId="7CB8A4CD" w14:textId="77777777" w:rsidR="002E5DFD" w:rsidRDefault="002E5DFD" w:rsidP="000565C7">
      <w:pPr>
        <w:pStyle w:val="Listaszerbekezds"/>
        <w:ind w:left="-142"/>
      </w:pPr>
    </w:p>
    <w:p w14:paraId="5297585D" w14:textId="77777777" w:rsidR="002E5DFD" w:rsidRDefault="002E5DFD" w:rsidP="000565C7">
      <w:pPr>
        <w:pStyle w:val="Listaszerbekezds"/>
        <w:ind w:left="-142"/>
      </w:pPr>
    </w:p>
    <w:p w14:paraId="1325C66C" w14:textId="77777777" w:rsidR="002E5DFD" w:rsidRDefault="002E5DFD" w:rsidP="000565C7">
      <w:pPr>
        <w:pStyle w:val="Listaszerbekezds"/>
        <w:ind w:left="-142"/>
      </w:pPr>
    </w:p>
    <w:p w14:paraId="2B39E086" w14:textId="77777777" w:rsidR="002E5DFD" w:rsidRDefault="002E5DFD" w:rsidP="002E5DFD">
      <w:pPr>
        <w:pStyle w:val="Listaszerbekezds"/>
        <w:numPr>
          <w:ilvl w:val="0"/>
          <w:numId w:val="9"/>
        </w:numPr>
        <w:jc w:val="center"/>
      </w:pPr>
      <w:r>
        <w:t>számú melléklet</w:t>
      </w:r>
    </w:p>
    <w:p w14:paraId="66672C80" w14:textId="77777777" w:rsidR="002E5DFD" w:rsidRDefault="002E5DFD" w:rsidP="002E5DFD"/>
    <w:tbl>
      <w:tblPr>
        <w:tblW w:w="9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"/>
        <w:gridCol w:w="3025"/>
        <w:gridCol w:w="1071"/>
        <w:gridCol w:w="851"/>
        <w:gridCol w:w="790"/>
        <w:gridCol w:w="941"/>
        <w:gridCol w:w="2247"/>
      </w:tblGrid>
      <w:tr w:rsidR="002E5DFD" w:rsidRPr="002E5DFD" w14:paraId="1F4499F1" w14:textId="77777777" w:rsidTr="006C0097">
        <w:trPr>
          <w:trHeight w:val="254"/>
        </w:trPr>
        <w:tc>
          <w:tcPr>
            <w:tcW w:w="9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10B4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E5DFD">
              <w:rPr>
                <w:b/>
                <w:bCs/>
                <w:color w:val="000000"/>
                <w:sz w:val="12"/>
                <w:szCs w:val="12"/>
              </w:rPr>
              <w:t xml:space="preserve">Jelenleg is meglévő, OMSZ által pótlásként beszerzett használatra alkalmas eszközök </w:t>
            </w:r>
          </w:p>
        </w:tc>
      </w:tr>
      <w:tr w:rsidR="002E5DFD" w:rsidRPr="002E5DFD" w14:paraId="1972E59A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7025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FAC2" w14:textId="77777777" w:rsidR="002E5DFD" w:rsidRPr="002E5DFD" w:rsidRDefault="002E5DFD" w:rsidP="002E5DFD">
            <w:pPr>
              <w:overflowPunct/>
              <w:autoSpaceDE/>
              <w:autoSpaceDN/>
              <w:adjustRightInd/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AA9C" w14:textId="77777777" w:rsidR="002E5DFD" w:rsidRPr="002E5DFD" w:rsidRDefault="002E5DFD" w:rsidP="002E5DFD">
            <w:pPr>
              <w:overflowPunct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FD1D" w14:textId="77777777" w:rsidR="002E5DFD" w:rsidRPr="002E5DFD" w:rsidRDefault="002E5DFD" w:rsidP="002E5DFD">
            <w:pPr>
              <w:overflowPunct/>
              <w:autoSpaceDE/>
              <w:autoSpaceDN/>
              <w:adjustRightInd/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FE3B" w14:textId="77777777" w:rsidR="002E5DFD" w:rsidRPr="002E5DFD" w:rsidRDefault="002E5DFD" w:rsidP="002E5DFD">
            <w:pPr>
              <w:overflowPunct/>
              <w:autoSpaceDE/>
              <w:autoSpaceDN/>
              <w:adjustRightInd/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D5DB" w14:textId="77777777" w:rsidR="002E5DFD" w:rsidRPr="002E5DFD" w:rsidRDefault="002E5DFD" w:rsidP="002E5DFD">
            <w:pPr>
              <w:overflowPunct/>
              <w:autoSpaceDE/>
              <w:autoSpaceDN/>
              <w:adjustRightInd/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903C8" w14:textId="77777777" w:rsidR="002E5DFD" w:rsidRPr="002E5DFD" w:rsidRDefault="002E5DFD" w:rsidP="002E5DFD">
            <w:pPr>
              <w:overflowPunct/>
              <w:autoSpaceDE/>
              <w:autoSpaceDN/>
              <w:adjustRightInd/>
            </w:pPr>
          </w:p>
        </w:tc>
      </w:tr>
      <w:tr w:rsidR="002E5DFD" w:rsidRPr="002E5DFD" w14:paraId="7F9B17CE" w14:textId="77777777" w:rsidTr="006C0097">
        <w:trPr>
          <w:trHeight w:val="215"/>
        </w:trPr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0588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2245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Megnevezés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B889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Gyártási szám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4932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Könyv.ME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CC72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Leltár ME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FD9F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Leltári szám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65D3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Megjegyzés</w:t>
            </w:r>
          </w:p>
        </w:tc>
      </w:tr>
      <w:tr w:rsidR="002E5DFD" w:rsidRPr="002E5DFD" w14:paraId="115C1799" w14:textId="77777777" w:rsidTr="006C0097">
        <w:trPr>
          <w:trHeight w:val="254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36F6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88C1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12"/>
                <w:szCs w:val="12"/>
              </w:rPr>
            </w:pPr>
            <w:r w:rsidRPr="002E5DFD">
              <w:rPr>
                <w:b/>
                <w:bCs/>
                <w:color w:val="000000"/>
                <w:sz w:val="12"/>
                <w:szCs w:val="12"/>
              </w:rPr>
              <w:t>Felnőtt ügyeleti szolgálati helyiségben: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4B07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0922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307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500A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6A13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E5DFD" w:rsidRPr="002E5DFD" w14:paraId="786D108F" w14:textId="77777777" w:rsidTr="006C0097">
        <w:trPr>
          <w:trHeight w:val="530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0102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5497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 xml:space="preserve">Opel </w:t>
            </w:r>
            <w:proofErr w:type="spellStart"/>
            <w:r w:rsidRPr="002E5DFD">
              <w:rPr>
                <w:color w:val="000000"/>
                <w:sz w:val="12"/>
                <w:szCs w:val="12"/>
              </w:rPr>
              <w:t>Astra</w:t>
            </w:r>
            <w:proofErr w:type="spellEnd"/>
            <w:r w:rsidRPr="002E5DFD">
              <w:rPr>
                <w:color w:val="000000"/>
                <w:sz w:val="12"/>
                <w:szCs w:val="12"/>
              </w:rPr>
              <w:t xml:space="preserve"> GFE-267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D470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8D47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64C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92B8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5FE7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 xml:space="preserve">Ford </w:t>
            </w:r>
            <w:proofErr w:type="spellStart"/>
            <w:r w:rsidRPr="002E5DFD">
              <w:rPr>
                <w:color w:val="000000"/>
                <w:sz w:val="12"/>
                <w:szCs w:val="12"/>
              </w:rPr>
              <w:t>Fusion</w:t>
            </w:r>
            <w:proofErr w:type="spellEnd"/>
            <w:r w:rsidRPr="002E5DFD">
              <w:rPr>
                <w:color w:val="000000"/>
                <w:sz w:val="12"/>
                <w:szCs w:val="12"/>
              </w:rPr>
              <w:t xml:space="preserve"> OMSZ beszerzés (a szombathelyi Mentőállomás leltárában van)</w:t>
            </w:r>
          </w:p>
        </w:tc>
      </w:tr>
      <w:tr w:rsidR="002E5DFD" w:rsidRPr="002E5DFD" w14:paraId="0C6A597A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0AB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C732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E5DFD">
              <w:rPr>
                <w:color w:val="000000"/>
                <w:sz w:val="12"/>
                <w:szCs w:val="12"/>
              </w:rPr>
              <w:t>Responder</w:t>
            </w:r>
            <w:proofErr w:type="spellEnd"/>
            <w:r w:rsidRPr="002E5DF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E5DFD">
              <w:rPr>
                <w:color w:val="000000"/>
                <w:sz w:val="12"/>
                <w:szCs w:val="12"/>
              </w:rPr>
              <w:t>defibrillátor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900C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EFC1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9F52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EF52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15505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F13B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LP 500 félautomata OMSZ által vásárolt</w:t>
            </w:r>
          </w:p>
        </w:tc>
      </w:tr>
      <w:tr w:rsidR="002E5DFD" w:rsidRPr="002E5DFD" w14:paraId="0D76D710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627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625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 xml:space="preserve">D-Cont </w:t>
            </w:r>
            <w:proofErr w:type="spellStart"/>
            <w:r w:rsidRPr="002E5DFD">
              <w:rPr>
                <w:color w:val="000000"/>
                <w:sz w:val="12"/>
                <w:szCs w:val="12"/>
              </w:rPr>
              <w:t>Cabrio</w:t>
            </w:r>
            <w:proofErr w:type="spellEnd"/>
            <w:r w:rsidRPr="002E5DFD">
              <w:rPr>
                <w:color w:val="000000"/>
                <w:sz w:val="12"/>
                <w:szCs w:val="12"/>
              </w:rPr>
              <w:t xml:space="preserve"> vércukormérő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C92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B2CA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E2D9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7526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1000777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163B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E5DFD">
              <w:rPr>
                <w:color w:val="000000"/>
                <w:sz w:val="12"/>
                <w:szCs w:val="12"/>
              </w:rPr>
              <w:t>Accu-chek</w:t>
            </w:r>
            <w:proofErr w:type="spellEnd"/>
            <w:r w:rsidRPr="002E5DFD">
              <w:rPr>
                <w:color w:val="000000"/>
                <w:sz w:val="12"/>
                <w:szCs w:val="12"/>
              </w:rPr>
              <w:t>, OMSZ beszerzés</w:t>
            </w:r>
          </w:p>
        </w:tc>
      </w:tr>
      <w:tr w:rsidR="002E5DFD" w:rsidRPr="002E5DFD" w14:paraId="11B80FF2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3D95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3C84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 xml:space="preserve">Hűtőszekrény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876B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A30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16DF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DEA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1053586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56A1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OMSZ beszerzés</w:t>
            </w:r>
          </w:p>
        </w:tc>
      </w:tr>
      <w:tr w:rsidR="002E5DFD" w:rsidRPr="002E5DFD" w14:paraId="78093C38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65E5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7C3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 xml:space="preserve">Szemtükör </w:t>
            </w:r>
            <w:proofErr w:type="spellStart"/>
            <w:r w:rsidRPr="002E5DFD">
              <w:rPr>
                <w:color w:val="000000"/>
                <w:sz w:val="12"/>
                <w:szCs w:val="12"/>
              </w:rPr>
              <w:t>Heynebeta</w:t>
            </w:r>
            <w:proofErr w:type="spellEnd"/>
            <w:r w:rsidRPr="002E5DFD">
              <w:rPr>
                <w:color w:val="000000"/>
                <w:sz w:val="12"/>
                <w:szCs w:val="12"/>
              </w:rPr>
              <w:t xml:space="preserve"> 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17F4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A363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EC33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533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19051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A2BF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OMSZ beszerzés</w:t>
            </w:r>
          </w:p>
        </w:tc>
      </w:tr>
      <w:tr w:rsidR="002E5DFD" w:rsidRPr="002E5DFD" w14:paraId="1039E6DD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173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BB0D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HP lézernyomtató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DD5A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CNC2310302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BACF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6D5E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84A4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33695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6B15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OMSZ beszerzés</w:t>
            </w:r>
          </w:p>
        </w:tc>
      </w:tr>
      <w:tr w:rsidR="002E5DFD" w:rsidRPr="002E5DFD" w14:paraId="7E81773F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4C9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24D8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Motoros szívó F18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6AA7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6FFE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4F9F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5343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1008353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1CA3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Taposó szívó, van OMSZ beszerzés</w:t>
            </w:r>
          </w:p>
        </w:tc>
      </w:tr>
      <w:tr w:rsidR="002E5DFD" w:rsidRPr="002E5DFD" w14:paraId="402363F4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AA84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62E4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Motoros szívó F19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5F9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2005/13381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CFBA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3E0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2FC7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13381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E977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Taposó szívó, van OMSZ beszerzés</w:t>
            </w:r>
          </w:p>
        </w:tc>
      </w:tr>
      <w:tr w:rsidR="002E5DFD" w:rsidRPr="002E5DFD" w14:paraId="61B837B2" w14:textId="77777777" w:rsidTr="006C0097">
        <w:trPr>
          <w:trHeight w:val="254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6CDF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69B3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b/>
                <w:bCs/>
                <w:sz w:val="12"/>
                <w:szCs w:val="12"/>
              </w:rPr>
            </w:pPr>
            <w:r w:rsidRPr="002E5DFD">
              <w:rPr>
                <w:b/>
                <w:bCs/>
                <w:sz w:val="12"/>
                <w:szCs w:val="12"/>
              </w:rPr>
              <w:t>Gyerek ügyeleti szolgálati helyiségben: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C4D3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D9D2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4134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41BA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749C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E5DFD" w:rsidRPr="002E5DFD" w14:paraId="27B50485" w14:textId="77777777" w:rsidTr="006C0097">
        <w:trPr>
          <w:trHeight w:val="431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9C40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355E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 xml:space="preserve">Opel </w:t>
            </w:r>
            <w:proofErr w:type="spellStart"/>
            <w:r w:rsidRPr="002E5DFD">
              <w:rPr>
                <w:color w:val="000000"/>
                <w:sz w:val="12"/>
                <w:szCs w:val="12"/>
              </w:rPr>
              <w:t>Astra</w:t>
            </w:r>
            <w:proofErr w:type="spellEnd"/>
            <w:r w:rsidRPr="002E5DFD">
              <w:rPr>
                <w:color w:val="000000"/>
                <w:sz w:val="12"/>
                <w:szCs w:val="12"/>
              </w:rPr>
              <w:t xml:space="preserve"> GFE-268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2334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4362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B0A3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333B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4C5B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 xml:space="preserve">Ford </w:t>
            </w:r>
            <w:proofErr w:type="spellStart"/>
            <w:r w:rsidRPr="002E5DFD">
              <w:rPr>
                <w:color w:val="000000"/>
                <w:sz w:val="12"/>
                <w:szCs w:val="12"/>
              </w:rPr>
              <w:t>Fusion</w:t>
            </w:r>
            <w:proofErr w:type="spellEnd"/>
            <w:r w:rsidRPr="002E5DFD">
              <w:rPr>
                <w:color w:val="000000"/>
                <w:sz w:val="12"/>
                <w:szCs w:val="12"/>
              </w:rPr>
              <w:t xml:space="preserve">, OMSZ által vásárolt </w:t>
            </w:r>
            <w:proofErr w:type="gramStart"/>
            <w:r w:rsidRPr="002E5DFD">
              <w:rPr>
                <w:color w:val="000000"/>
                <w:sz w:val="12"/>
                <w:szCs w:val="12"/>
              </w:rPr>
              <w:t>( a</w:t>
            </w:r>
            <w:proofErr w:type="gramEnd"/>
            <w:r w:rsidRPr="002E5DFD">
              <w:rPr>
                <w:color w:val="000000"/>
                <w:sz w:val="12"/>
                <w:szCs w:val="12"/>
              </w:rPr>
              <w:t xml:space="preserve"> szombathelyi mentőállomás leltárában van)</w:t>
            </w:r>
          </w:p>
        </w:tc>
      </w:tr>
      <w:tr w:rsidR="002E5DFD" w:rsidRPr="002E5DFD" w14:paraId="2FC027D9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2467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534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Inhalátor gyermek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30F0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81A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D363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2CD9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1056036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36EF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OMSZ beszerzés</w:t>
            </w:r>
          </w:p>
        </w:tc>
      </w:tr>
      <w:tr w:rsidR="002E5DFD" w:rsidRPr="002E5DFD" w14:paraId="141D68B1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6C12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F03E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E5DFD">
              <w:rPr>
                <w:color w:val="000000"/>
                <w:sz w:val="12"/>
                <w:szCs w:val="12"/>
              </w:rPr>
              <w:t>Responder</w:t>
            </w:r>
            <w:proofErr w:type="spellEnd"/>
            <w:r w:rsidRPr="002E5DF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E5DFD">
              <w:rPr>
                <w:color w:val="000000"/>
                <w:sz w:val="12"/>
                <w:szCs w:val="12"/>
              </w:rPr>
              <w:t>defibrillátor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3E2F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6BBC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0341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D79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15504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7446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LP 500 félautomata, OMSZ beszerzés</w:t>
            </w:r>
          </w:p>
        </w:tc>
      </w:tr>
      <w:tr w:rsidR="002E5DFD" w:rsidRPr="002E5DFD" w14:paraId="12BDCC21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F7D0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B22A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 xml:space="preserve">D-Cont </w:t>
            </w:r>
            <w:proofErr w:type="spellStart"/>
            <w:r w:rsidRPr="002E5DFD">
              <w:rPr>
                <w:color w:val="000000"/>
                <w:sz w:val="12"/>
                <w:szCs w:val="12"/>
              </w:rPr>
              <w:t>Cabrio</w:t>
            </w:r>
            <w:proofErr w:type="spellEnd"/>
            <w:r w:rsidRPr="002E5DFD">
              <w:rPr>
                <w:color w:val="000000"/>
                <w:sz w:val="12"/>
                <w:szCs w:val="12"/>
              </w:rPr>
              <w:t xml:space="preserve"> vércukormérő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D9A9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1186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EF16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FBAE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1000776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1E87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proofErr w:type="spellStart"/>
            <w:r w:rsidRPr="002E5DFD">
              <w:rPr>
                <w:color w:val="000000"/>
                <w:sz w:val="12"/>
                <w:szCs w:val="12"/>
              </w:rPr>
              <w:t>Accu-check</w:t>
            </w:r>
            <w:proofErr w:type="spellEnd"/>
            <w:r w:rsidRPr="002E5DFD">
              <w:rPr>
                <w:color w:val="000000"/>
                <w:sz w:val="12"/>
                <w:szCs w:val="12"/>
              </w:rPr>
              <w:t xml:space="preserve"> OMSZ beszerzés</w:t>
            </w:r>
          </w:p>
        </w:tc>
      </w:tr>
      <w:tr w:rsidR="002E5DFD" w:rsidRPr="002E5DFD" w14:paraId="3AA26AEA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D27A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468C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Hűtőszekrény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337C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18F4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1AB0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A7CE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1053603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69D2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OMSZ beszerzés</w:t>
            </w:r>
          </w:p>
        </w:tc>
      </w:tr>
      <w:tr w:rsidR="002E5DFD" w:rsidRPr="002E5DFD" w14:paraId="490E3722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73BF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069C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Motoros szívó F18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633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B67F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0CE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214B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1008309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07A5" w14:textId="77777777" w:rsidR="002E5DFD" w:rsidRPr="002E5DFD" w:rsidRDefault="002E5DFD" w:rsidP="002E5DFD">
            <w:pPr>
              <w:overflowPunct/>
              <w:autoSpaceDE/>
              <w:autoSpaceDN/>
              <w:adjustRightInd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Taposó szívó, OMSZ beszerzés</w:t>
            </w:r>
          </w:p>
        </w:tc>
      </w:tr>
      <w:tr w:rsidR="002E5DFD" w:rsidRPr="002E5DFD" w14:paraId="2A0053BE" w14:textId="77777777" w:rsidTr="006C0097">
        <w:trPr>
          <w:trHeight w:val="215"/>
        </w:trPr>
        <w:tc>
          <w:tcPr>
            <w:tcW w:w="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64C" w14:textId="77777777" w:rsidR="002E5DFD" w:rsidRPr="002E5DFD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12"/>
                <w:szCs w:val="12"/>
              </w:rPr>
            </w:pPr>
            <w:r w:rsidRPr="002E5DF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CE5E" w14:textId="77777777" w:rsidR="002E5DFD" w:rsidRPr="00F57F1E" w:rsidRDefault="002E5DFD" w:rsidP="002E5DFD">
            <w:pPr>
              <w:overflowPunct/>
              <w:autoSpaceDE/>
              <w:autoSpaceDN/>
              <w:adjustRightInd/>
              <w:rPr>
                <w:color w:val="000000" w:themeColor="text1"/>
                <w:sz w:val="12"/>
                <w:szCs w:val="12"/>
              </w:rPr>
            </w:pPr>
            <w:r w:rsidRPr="00F57F1E">
              <w:rPr>
                <w:color w:val="000000" w:themeColor="text1"/>
                <w:sz w:val="12"/>
                <w:szCs w:val="12"/>
              </w:rPr>
              <w:t>Monitor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E768" w14:textId="77777777" w:rsidR="002E5DFD" w:rsidRPr="00F57F1E" w:rsidRDefault="002E5DFD" w:rsidP="002E5DFD">
            <w:pPr>
              <w:overflowPunct/>
              <w:autoSpaceDE/>
              <w:autoSpaceDN/>
              <w:adjustRightInd/>
              <w:rPr>
                <w:color w:val="000000" w:themeColor="text1"/>
                <w:sz w:val="12"/>
                <w:szCs w:val="12"/>
              </w:rPr>
            </w:pPr>
            <w:r w:rsidRPr="00F57F1E">
              <w:rPr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52FA" w14:textId="77777777" w:rsidR="002E5DFD" w:rsidRPr="00F57F1E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2"/>
                <w:szCs w:val="12"/>
              </w:rPr>
            </w:pPr>
            <w:r w:rsidRPr="00F57F1E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249F" w14:textId="77777777" w:rsidR="002E5DFD" w:rsidRPr="00F57F1E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2"/>
                <w:szCs w:val="12"/>
              </w:rPr>
            </w:pPr>
            <w:r w:rsidRPr="00F57F1E"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E5DD" w14:textId="77777777" w:rsidR="002E5DFD" w:rsidRPr="00F57F1E" w:rsidRDefault="002E5DFD" w:rsidP="002E5DFD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2"/>
                <w:szCs w:val="12"/>
              </w:rPr>
            </w:pPr>
            <w:r w:rsidRPr="00F57F1E">
              <w:rPr>
                <w:color w:val="000000" w:themeColor="text1"/>
                <w:sz w:val="12"/>
                <w:szCs w:val="12"/>
              </w:rPr>
              <w:t>1023748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4419" w14:textId="77777777" w:rsidR="002E5DFD" w:rsidRPr="00F57F1E" w:rsidRDefault="002E5DFD" w:rsidP="002E5DFD">
            <w:pPr>
              <w:overflowPunct/>
              <w:autoSpaceDE/>
              <w:autoSpaceDN/>
              <w:adjustRightInd/>
              <w:rPr>
                <w:color w:val="000000" w:themeColor="text1"/>
                <w:sz w:val="12"/>
                <w:szCs w:val="12"/>
              </w:rPr>
            </w:pPr>
            <w:r w:rsidRPr="00F57F1E">
              <w:rPr>
                <w:color w:val="000000" w:themeColor="text1"/>
                <w:sz w:val="12"/>
                <w:szCs w:val="12"/>
              </w:rPr>
              <w:t>OMSZ beszerzés</w:t>
            </w:r>
          </w:p>
        </w:tc>
      </w:tr>
    </w:tbl>
    <w:p w14:paraId="69995FC9" w14:textId="77777777" w:rsidR="002E5DFD" w:rsidRDefault="002E5DFD" w:rsidP="002E5DFD"/>
    <w:sectPr w:rsidR="002E5DFD" w:rsidSect="0005713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D57B6" w14:textId="77777777" w:rsidR="00C93DFB" w:rsidRDefault="00C93DFB" w:rsidP="00227629">
      <w:r>
        <w:separator/>
      </w:r>
    </w:p>
  </w:endnote>
  <w:endnote w:type="continuationSeparator" w:id="0">
    <w:p w14:paraId="2F9C8789" w14:textId="77777777" w:rsidR="00C93DFB" w:rsidRDefault="00C93DFB" w:rsidP="00227629">
      <w:r>
        <w:continuationSeparator/>
      </w:r>
    </w:p>
  </w:endnote>
  <w:endnote w:type="continuationNotice" w:id="1">
    <w:p w14:paraId="15BFA866" w14:textId="77777777" w:rsidR="00C93DFB" w:rsidRDefault="00C93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0828526"/>
      <w:docPartObj>
        <w:docPartGallery w:val="Page Numbers (Bottom of Page)"/>
        <w:docPartUnique/>
      </w:docPartObj>
    </w:sdtPr>
    <w:sdtEndPr/>
    <w:sdtContent>
      <w:p w14:paraId="160D1BE0" w14:textId="636206BE" w:rsidR="00C93DFB" w:rsidRDefault="00C93D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FF32BAE" w14:textId="77777777" w:rsidR="00C93DFB" w:rsidRDefault="00C93D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B733C" w14:textId="77777777" w:rsidR="00C93DFB" w:rsidRDefault="00C93DFB" w:rsidP="00227629">
      <w:r>
        <w:separator/>
      </w:r>
    </w:p>
  </w:footnote>
  <w:footnote w:type="continuationSeparator" w:id="0">
    <w:p w14:paraId="43E7B256" w14:textId="77777777" w:rsidR="00C93DFB" w:rsidRDefault="00C93DFB" w:rsidP="00227629">
      <w:r>
        <w:continuationSeparator/>
      </w:r>
    </w:p>
  </w:footnote>
  <w:footnote w:type="continuationNotice" w:id="1">
    <w:p w14:paraId="73B817B1" w14:textId="77777777" w:rsidR="00C93DFB" w:rsidRDefault="00C93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E18E4" w14:textId="379AA3F3" w:rsidR="0005713E" w:rsidRPr="0005713E" w:rsidRDefault="0005713E" w:rsidP="0005713E">
    <w:pPr>
      <w:pStyle w:val="lfej"/>
      <w:numPr>
        <w:ilvl w:val="0"/>
        <w:numId w:val="11"/>
      </w:numPr>
      <w:ind w:left="7230"/>
      <w:rPr>
        <w:rFonts w:ascii="Arial" w:hAnsi="Arial" w:cs="Arial"/>
        <w:sz w:val="24"/>
        <w:szCs w:val="24"/>
      </w:rPr>
    </w:pPr>
    <w:r w:rsidRPr="0005713E">
      <w:rPr>
        <w:rFonts w:ascii="Arial" w:hAnsi="Arial" w:cs="Arial"/>
        <w:sz w:val="24"/>
        <w:szCs w:val="24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07D"/>
    <w:multiLevelType w:val="hybridMultilevel"/>
    <w:tmpl w:val="7454591A"/>
    <w:lvl w:ilvl="0" w:tplc="E220A8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F6676"/>
    <w:multiLevelType w:val="hybridMultilevel"/>
    <w:tmpl w:val="EAAA1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E35"/>
    <w:multiLevelType w:val="hybridMultilevel"/>
    <w:tmpl w:val="2DF461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0189"/>
    <w:multiLevelType w:val="hybridMultilevel"/>
    <w:tmpl w:val="18E09E90"/>
    <w:lvl w:ilvl="0" w:tplc="E17CDD44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0" w:hanging="360"/>
      </w:pPr>
    </w:lvl>
    <w:lvl w:ilvl="2" w:tplc="040E001B" w:tentative="1">
      <w:start w:val="1"/>
      <w:numFmt w:val="lowerRoman"/>
      <w:lvlText w:val="%3."/>
      <w:lvlJc w:val="right"/>
      <w:pPr>
        <w:ind w:left="6750" w:hanging="180"/>
      </w:pPr>
    </w:lvl>
    <w:lvl w:ilvl="3" w:tplc="040E000F" w:tentative="1">
      <w:start w:val="1"/>
      <w:numFmt w:val="decimal"/>
      <w:lvlText w:val="%4."/>
      <w:lvlJc w:val="left"/>
      <w:pPr>
        <w:ind w:left="7470" w:hanging="360"/>
      </w:pPr>
    </w:lvl>
    <w:lvl w:ilvl="4" w:tplc="040E0019" w:tentative="1">
      <w:start w:val="1"/>
      <w:numFmt w:val="lowerLetter"/>
      <w:lvlText w:val="%5."/>
      <w:lvlJc w:val="left"/>
      <w:pPr>
        <w:ind w:left="8190" w:hanging="360"/>
      </w:pPr>
    </w:lvl>
    <w:lvl w:ilvl="5" w:tplc="040E001B" w:tentative="1">
      <w:start w:val="1"/>
      <w:numFmt w:val="lowerRoman"/>
      <w:lvlText w:val="%6."/>
      <w:lvlJc w:val="right"/>
      <w:pPr>
        <w:ind w:left="8910" w:hanging="180"/>
      </w:pPr>
    </w:lvl>
    <w:lvl w:ilvl="6" w:tplc="040E000F" w:tentative="1">
      <w:start w:val="1"/>
      <w:numFmt w:val="decimal"/>
      <w:lvlText w:val="%7."/>
      <w:lvlJc w:val="left"/>
      <w:pPr>
        <w:ind w:left="9630" w:hanging="360"/>
      </w:pPr>
    </w:lvl>
    <w:lvl w:ilvl="7" w:tplc="040E0019" w:tentative="1">
      <w:start w:val="1"/>
      <w:numFmt w:val="lowerLetter"/>
      <w:lvlText w:val="%8."/>
      <w:lvlJc w:val="left"/>
      <w:pPr>
        <w:ind w:left="10350" w:hanging="360"/>
      </w:pPr>
    </w:lvl>
    <w:lvl w:ilvl="8" w:tplc="040E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 w15:restartNumberingAfterBreak="0">
    <w:nsid w:val="273E2DD9"/>
    <w:multiLevelType w:val="hybridMultilevel"/>
    <w:tmpl w:val="F52C29D0"/>
    <w:lvl w:ilvl="0" w:tplc="040E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308C2079"/>
    <w:multiLevelType w:val="hybridMultilevel"/>
    <w:tmpl w:val="C5828B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01FB0"/>
    <w:multiLevelType w:val="singleLevel"/>
    <w:tmpl w:val="9398CCBC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4DE6948"/>
    <w:multiLevelType w:val="hybridMultilevel"/>
    <w:tmpl w:val="0F8CE15E"/>
    <w:lvl w:ilvl="0" w:tplc="03D67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0A48F2"/>
    <w:multiLevelType w:val="singleLevel"/>
    <w:tmpl w:val="60AC27A4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629E1678"/>
    <w:multiLevelType w:val="singleLevel"/>
    <w:tmpl w:val="8610BC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CA213DB"/>
    <w:multiLevelType w:val="singleLevel"/>
    <w:tmpl w:val="F4F2984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  <w:lvlOverride w:ilvl="0">
      <w:startOverride w:val="1"/>
    </w:lvlOverride>
  </w:num>
  <w:num w:numId="2">
    <w:abstractNumId w:val="10"/>
    <w:lvlOverride w:ilvl="0">
      <w:startOverride w:val="3"/>
    </w:lvlOverride>
  </w:num>
  <w:num w:numId="3">
    <w:abstractNumId w:val="6"/>
    <w:lvlOverride w:ilvl="0">
      <w:startOverride w:val="5"/>
    </w:lvlOverride>
  </w:num>
  <w:num w:numId="4">
    <w:abstractNumId w:val="8"/>
    <w:lvlOverride w:ilvl="0">
      <w:startOverride w:val="10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3D"/>
    <w:rsid w:val="00007B2D"/>
    <w:rsid w:val="000449FD"/>
    <w:rsid w:val="000565C7"/>
    <w:rsid w:val="0005713E"/>
    <w:rsid w:val="000600AE"/>
    <w:rsid w:val="00064EE5"/>
    <w:rsid w:val="0009000F"/>
    <w:rsid w:val="0009639D"/>
    <w:rsid w:val="000A2C3E"/>
    <w:rsid w:val="000B5CDA"/>
    <w:rsid w:val="000C1FE7"/>
    <w:rsid w:val="000D4089"/>
    <w:rsid w:val="000E11B3"/>
    <w:rsid w:val="000E1F44"/>
    <w:rsid w:val="001435F0"/>
    <w:rsid w:val="00171A82"/>
    <w:rsid w:val="001816E6"/>
    <w:rsid w:val="00187D98"/>
    <w:rsid w:val="00191DFC"/>
    <w:rsid w:val="001967BD"/>
    <w:rsid w:val="001D6027"/>
    <w:rsid w:val="00206055"/>
    <w:rsid w:val="00227629"/>
    <w:rsid w:val="002347FB"/>
    <w:rsid w:val="00236AE3"/>
    <w:rsid w:val="00254879"/>
    <w:rsid w:val="002676D2"/>
    <w:rsid w:val="002841DD"/>
    <w:rsid w:val="00292C41"/>
    <w:rsid w:val="002A7CFE"/>
    <w:rsid w:val="002B6571"/>
    <w:rsid w:val="002C315F"/>
    <w:rsid w:val="002D7D8F"/>
    <w:rsid w:val="002E5DFD"/>
    <w:rsid w:val="00303B1D"/>
    <w:rsid w:val="0031179E"/>
    <w:rsid w:val="003130C2"/>
    <w:rsid w:val="003374ED"/>
    <w:rsid w:val="003562A6"/>
    <w:rsid w:val="003A2010"/>
    <w:rsid w:val="003B5E9A"/>
    <w:rsid w:val="003C2ED8"/>
    <w:rsid w:val="003C5E13"/>
    <w:rsid w:val="003E2CDB"/>
    <w:rsid w:val="003E7749"/>
    <w:rsid w:val="00465C4F"/>
    <w:rsid w:val="00522D2C"/>
    <w:rsid w:val="0053751C"/>
    <w:rsid w:val="005549EE"/>
    <w:rsid w:val="00590420"/>
    <w:rsid w:val="005A4DD3"/>
    <w:rsid w:val="005B6C81"/>
    <w:rsid w:val="005E43B6"/>
    <w:rsid w:val="005E5D07"/>
    <w:rsid w:val="00603DD4"/>
    <w:rsid w:val="0063687C"/>
    <w:rsid w:val="00661441"/>
    <w:rsid w:val="00684D11"/>
    <w:rsid w:val="00693D8E"/>
    <w:rsid w:val="006A6F77"/>
    <w:rsid w:val="006B24C3"/>
    <w:rsid w:val="006C0097"/>
    <w:rsid w:val="006D245F"/>
    <w:rsid w:val="006D7345"/>
    <w:rsid w:val="006F63D6"/>
    <w:rsid w:val="00700900"/>
    <w:rsid w:val="00731265"/>
    <w:rsid w:val="0075508C"/>
    <w:rsid w:val="007A2E17"/>
    <w:rsid w:val="007D3CD1"/>
    <w:rsid w:val="007F0C9F"/>
    <w:rsid w:val="00804E8D"/>
    <w:rsid w:val="008205BF"/>
    <w:rsid w:val="00825C43"/>
    <w:rsid w:val="00833FAB"/>
    <w:rsid w:val="00866DE8"/>
    <w:rsid w:val="0089153F"/>
    <w:rsid w:val="00892D7A"/>
    <w:rsid w:val="008C3506"/>
    <w:rsid w:val="00921A68"/>
    <w:rsid w:val="00926FDB"/>
    <w:rsid w:val="0093408A"/>
    <w:rsid w:val="009441C6"/>
    <w:rsid w:val="00975D62"/>
    <w:rsid w:val="00996171"/>
    <w:rsid w:val="009A33D5"/>
    <w:rsid w:val="009A7F19"/>
    <w:rsid w:val="009B6685"/>
    <w:rsid w:val="009C0CC6"/>
    <w:rsid w:val="009D140C"/>
    <w:rsid w:val="009D1612"/>
    <w:rsid w:val="009E01A6"/>
    <w:rsid w:val="009E4A6C"/>
    <w:rsid w:val="009E5238"/>
    <w:rsid w:val="009E74A9"/>
    <w:rsid w:val="009F1121"/>
    <w:rsid w:val="00A25180"/>
    <w:rsid w:val="00A27D3E"/>
    <w:rsid w:val="00A50A3D"/>
    <w:rsid w:val="00A55F72"/>
    <w:rsid w:val="00A609EB"/>
    <w:rsid w:val="00A671AA"/>
    <w:rsid w:val="00A870B7"/>
    <w:rsid w:val="00AB06DC"/>
    <w:rsid w:val="00AB2183"/>
    <w:rsid w:val="00AC281B"/>
    <w:rsid w:val="00AD30C3"/>
    <w:rsid w:val="00B11849"/>
    <w:rsid w:val="00B24D72"/>
    <w:rsid w:val="00B25C78"/>
    <w:rsid w:val="00B91FBF"/>
    <w:rsid w:val="00B9305C"/>
    <w:rsid w:val="00BC390C"/>
    <w:rsid w:val="00BE2D7E"/>
    <w:rsid w:val="00C21884"/>
    <w:rsid w:val="00C37E2C"/>
    <w:rsid w:val="00C50585"/>
    <w:rsid w:val="00C779EF"/>
    <w:rsid w:val="00C93DFB"/>
    <w:rsid w:val="00CC6D41"/>
    <w:rsid w:val="00D02FFD"/>
    <w:rsid w:val="00D14463"/>
    <w:rsid w:val="00D15BD4"/>
    <w:rsid w:val="00D33CDF"/>
    <w:rsid w:val="00D3757F"/>
    <w:rsid w:val="00D46D0C"/>
    <w:rsid w:val="00D56C41"/>
    <w:rsid w:val="00D76086"/>
    <w:rsid w:val="00DA22D0"/>
    <w:rsid w:val="00DC2ED1"/>
    <w:rsid w:val="00DD128E"/>
    <w:rsid w:val="00DE3D54"/>
    <w:rsid w:val="00DE594E"/>
    <w:rsid w:val="00E06B9C"/>
    <w:rsid w:val="00E2406C"/>
    <w:rsid w:val="00E437AF"/>
    <w:rsid w:val="00E51766"/>
    <w:rsid w:val="00E87A32"/>
    <w:rsid w:val="00EC1DB1"/>
    <w:rsid w:val="00F10299"/>
    <w:rsid w:val="00F217CC"/>
    <w:rsid w:val="00F3483D"/>
    <w:rsid w:val="00F35BDA"/>
    <w:rsid w:val="00F464BC"/>
    <w:rsid w:val="00F4661C"/>
    <w:rsid w:val="00F57F1E"/>
    <w:rsid w:val="00F638DF"/>
    <w:rsid w:val="00F72714"/>
    <w:rsid w:val="00F83C03"/>
    <w:rsid w:val="00F933B6"/>
    <w:rsid w:val="00FA3249"/>
    <w:rsid w:val="00FB1995"/>
    <w:rsid w:val="00FC7137"/>
    <w:rsid w:val="00FD1397"/>
    <w:rsid w:val="00FE1714"/>
    <w:rsid w:val="00FE7790"/>
    <w:rsid w:val="00FF31E8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FA95"/>
  <w15:docId w15:val="{D0491827-010F-45BB-981E-623B09F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0A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50A3D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50A3D"/>
    <w:pPr>
      <w:keepNext/>
      <w:ind w:left="567"/>
      <w:jc w:val="both"/>
      <w:outlineLvl w:val="1"/>
    </w:pPr>
    <w:rPr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A50A3D"/>
    <w:pPr>
      <w:keepNext/>
      <w:jc w:val="both"/>
      <w:outlineLvl w:val="2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50A3D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A50A3D"/>
    <w:rPr>
      <w:rFonts w:ascii="Times New Roman" w:eastAsia="Times New Roman" w:hAnsi="Times New Roman" w:cs="Times New Roman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A50A3D"/>
    <w:rPr>
      <w:rFonts w:ascii="Times New Roman" w:eastAsia="Times New Roman" w:hAnsi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A50A3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50A3D"/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zvegtrzs21">
    <w:name w:val="Szövegtörzs 21"/>
    <w:basedOn w:val="Norml"/>
    <w:rsid w:val="00A50A3D"/>
    <w:pPr>
      <w:ind w:left="426"/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8C350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276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76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276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76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60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6086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E171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E171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E171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171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171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0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D93A-C4A5-404E-800D-235C89FD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1650</Words>
  <Characters>11390</Characters>
  <Application>Microsoft Office Word</Application>
  <DocSecurity>0</DocSecurity>
  <Lines>94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</dc:creator>
  <cp:keywords/>
  <dc:description/>
  <cp:lastModifiedBy>Mester Ágnes</cp:lastModifiedBy>
  <cp:revision>3</cp:revision>
  <cp:lastPrinted>2020-10-19T09:42:00Z</cp:lastPrinted>
  <dcterms:created xsi:type="dcterms:W3CDTF">2020-10-19T09:40:00Z</dcterms:created>
  <dcterms:modified xsi:type="dcterms:W3CDTF">2020-10-19T09:42:00Z</dcterms:modified>
</cp:coreProperties>
</file>