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209B6" w14:textId="77777777" w:rsidR="001410CA" w:rsidRDefault="001410CA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64D5D41" w14:textId="43D6CA07" w:rsidR="006721B8" w:rsidRPr="00F06C2D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BC8C5FE" w14:textId="77777777" w:rsidR="006721B8" w:rsidRPr="00F06C2D" w:rsidRDefault="006721B8" w:rsidP="006721B8">
      <w:pPr>
        <w:jc w:val="center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 Megyei Jogú Város Önkormányzata Közgyűlésének</w:t>
      </w:r>
    </w:p>
    <w:p w14:paraId="70606E5F" w14:textId="5AC45A5B" w:rsidR="006721B8" w:rsidRPr="00F06C2D" w:rsidRDefault="006721B8" w:rsidP="006721B8">
      <w:pPr>
        <w:jc w:val="center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ED165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évi </w:t>
      </w:r>
      <w:r w:rsidR="00191223">
        <w:rPr>
          <w:rFonts w:ascii="Arial" w:hAnsi="Arial" w:cs="Arial"/>
          <w:b/>
        </w:rPr>
        <w:t>szeptember 24-i</w:t>
      </w:r>
      <w:r>
        <w:rPr>
          <w:rFonts w:ascii="Arial" w:hAnsi="Arial" w:cs="Arial"/>
          <w:b/>
        </w:rPr>
        <w:t xml:space="preserve"> </w:t>
      </w:r>
      <w:r w:rsidRPr="006E707B">
        <w:rPr>
          <w:rFonts w:ascii="Arial" w:hAnsi="Arial" w:cs="Arial"/>
          <w:b/>
        </w:rPr>
        <w:t>ülésére</w:t>
      </w:r>
    </w:p>
    <w:p w14:paraId="7D5A4E3A" w14:textId="77777777" w:rsidR="006721B8" w:rsidRPr="00403907" w:rsidRDefault="006721B8" w:rsidP="006721B8">
      <w:pPr>
        <w:jc w:val="center"/>
        <w:rPr>
          <w:rFonts w:ascii="Arial" w:hAnsi="Arial" w:cs="Arial"/>
          <w:b/>
        </w:rPr>
      </w:pPr>
    </w:p>
    <w:p w14:paraId="3A090618" w14:textId="77777777" w:rsidR="00A10090" w:rsidRDefault="00A10090" w:rsidP="005B0470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5DBBFF23" w14:textId="598F77FC" w:rsidR="00A10090" w:rsidRDefault="00A10090" w:rsidP="00A10090">
      <w:pPr>
        <w:ind w:left="705" w:hanging="7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önkormányzati rendeletekkel kapcsolatos döntések meghozatalára</w:t>
      </w:r>
    </w:p>
    <w:p w14:paraId="073B8E81" w14:textId="77777777" w:rsidR="00A10090" w:rsidRDefault="00A10090" w:rsidP="005B0470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12D69ECB" w14:textId="77777777" w:rsidR="00A10090" w:rsidRPr="00A10090" w:rsidRDefault="00A10090" w:rsidP="005B0470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4C3D373D" w14:textId="660EB5D2" w:rsidR="00125893" w:rsidRDefault="008E77DC" w:rsidP="001258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258A0">
        <w:rPr>
          <w:rFonts w:ascii="Arial" w:hAnsi="Arial" w:cs="Arial"/>
          <w:b/>
        </w:rPr>
        <w:t>.</w:t>
      </w:r>
      <w:r w:rsidR="00125893">
        <w:rPr>
          <w:rFonts w:ascii="Arial" w:hAnsi="Arial" w:cs="Arial"/>
          <w:b/>
        </w:rPr>
        <w:t xml:space="preserve"> A helyi adókról szóló 38/2011. (XII.19.) önkormányzati rendelet módosítása</w:t>
      </w:r>
    </w:p>
    <w:p w14:paraId="637CFEC4" w14:textId="77777777" w:rsidR="00125893" w:rsidRDefault="00125893" w:rsidP="00125893">
      <w:pPr>
        <w:rPr>
          <w:rFonts w:ascii="Arial" w:hAnsi="Arial" w:cs="Arial"/>
          <w:b/>
        </w:rPr>
      </w:pPr>
    </w:p>
    <w:p w14:paraId="4D469CB7" w14:textId="77777777" w:rsidR="00125893" w:rsidRDefault="00125893" w:rsidP="00125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 adókról szóló 1990. évi C. törvény (továbbiakban: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 xml:space="preserve">.) 2018. január 1. napjától hatályba lépett 11/A. § előírása szerint az építményadó tárgyi hatálya kiterjedt az épület, épületrész mellett a reklámhordozókra is, ezáltal az önkormányzatok az építményadó keretein belül adóztatták a szabadtéri reklámhordozókat. </w:t>
      </w:r>
    </w:p>
    <w:p w14:paraId="28F6E775" w14:textId="77777777" w:rsidR="00125893" w:rsidRDefault="00125893" w:rsidP="00125893">
      <w:pPr>
        <w:jc w:val="both"/>
        <w:rPr>
          <w:rFonts w:ascii="Arial" w:hAnsi="Arial" w:cs="Arial"/>
        </w:rPr>
      </w:pPr>
    </w:p>
    <w:p w14:paraId="231A3837" w14:textId="77777777" w:rsidR="00125893" w:rsidRDefault="00125893" w:rsidP="00125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törvénymódosítás alapján adókötelessé vált az önkormányzat illetékességi területén lévő ingatlanon elhelyezett, a településkép védelméről szóló 2016. évi LXXIV. törvény szerinti reklámhordozó.</w:t>
      </w:r>
    </w:p>
    <w:p w14:paraId="3FEB5F1C" w14:textId="77777777" w:rsidR="00125893" w:rsidRDefault="00125893" w:rsidP="00125893">
      <w:pPr>
        <w:jc w:val="both"/>
        <w:rPr>
          <w:rFonts w:ascii="Arial" w:hAnsi="Arial" w:cs="Arial"/>
        </w:rPr>
      </w:pPr>
    </w:p>
    <w:p w14:paraId="43AC99CD" w14:textId="77777777" w:rsidR="00125893" w:rsidRDefault="00125893" w:rsidP="00125893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2018. január 1. napjától a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 xml:space="preserve">. felhatalmazása alapján a helyi adókról szóló 38/2011. (XII.19.) önkormányzati rendeletében (továbbiakban: </w:t>
      </w:r>
      <w:proofErr w:type="spellStart"/>
      <w:r>
        <w:rPr>
          <w:rFonts w:ascii="Arial" w:hAnsi="Arial" w:cs="Arial"/>
        </w:rPr>
        <w:t>Ör</w:t>
      </w:r>
      <w:proofErr w:type="spellEnd"/>
      <w:r>
        <w:rPr>
          <w:rFonts w:ascii="Arial" w:hAnsi="Arial" w:cs="Arial"/>
        </w:rPr>
        <w:t>.)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adókötelezettséget állapított meg a fenti reklámhordozók után. Az </w:t>
      </w:r>
      <w:proofErr w:type="spellStart"/>
      <w:r>
        <w:rPr>
          <w:rFonts w:ascii="Arial" w:hAnsi="Arial" w:cs="Arial"/>
        </w:rPr>
        <w:t>Ör</w:t>
      </w:r>
      <w:proofErr w:type="spellEnd"/>
      <w:r>
        <w:rPr>
          <w:rFonts w:ascii="Arial" w:hAnsi="Arial" w:cs="Arial"/>
        </w:rPr>
        <w:t>. 3/A. §-a értelmében reklámhordozó esetén az építményadó éves mértéke 0-1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adóalap esetén 0 Ft/m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1,01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adóalaptól 12000 Ft/m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4F952523" w14:textId="77777777" w:rsidR="00125893" w:rsidRDefault="00125893" w:rsidP="00125893">
      <w:pPr>
        <w:jc w:val="both"/>
        <w:rPr>
          <w:rFonts w:ascii="Arial" w:hAnsi="Arial" w:cs="Arial"/>
        </w:rPr>
      </w:pPr>
    </w:p>
    <w:p w14:paraId="27BE9D7D" w14:textId="77777777" w:rsidR="00125893" w:rsidRDefault="00125893" w:rsidP="00125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érintett adóalanyok adatbejelentései alapján 2020. évben 46 millió forint reklámhordozók utáni építményadó került előírásra. A határozattal megállapított éves adó összegét az adóalanyoknak két egyenlő részletben (március 15. napig és szeptember 15. napig) kell megfizetniük. </w:t>
      </w:r>
    </w:p>
    <w:p w14:paraId="56AC7BDB" w14:textId="77777777" w:rsidR="00125893" w:rsidRDefault="00125893" w:rsidP="00125893">
      <w:pPr>
        <w:jc w:val="both"/>
        <w:rPr>
          <w:rFonts w:ascii="Arial" w:hAnsi="Arial" w:cs="Arial"/>
        </w:rPr>
      </w:pPr>
    </w:p>
    <w:p w14:paraId="32186A49" w14:textId="77777777" w:rsidR="00125893" w:rsidRDefault="00125893" w:rsidP="00125893">
      <w:pPr>
        <w:pStyle w:val="Default"/>
        <w:jc w:val="both"/>
        <w:rPr>
          <w:bCs/>
        </w:rPr>
      </w:pPr>
      <w:r>
        <w:rPr>
          <w:bCs/>
        </w:rPr>
        <w:t xml:space="preserve">Magyarország 2021. évi központi költségvetésének megalapozásáról szóló 2020. évi LXXVI. törvény </w:t>
      </w:r>
      <w:proofErr w:type="spellStart"/>
      <w:r>
        <w:rPr>
          <w:bCs/>
        </w:rPr>
        <w:t>Htv</w:t>
      </w:r>
      <w:proofErr w:type="spellEnd"/>
      <w:r>
        <w:rPr>
          <w:bCs/>
        </w:rPr>
        <w:t xml:space="preserve">.-t érintő módosítása hatályon kívül helyezte a reklámhordozók utáni építményadó kötelezettségre vonatkozó rendelkezéseket. </w:t>
      </w:r>
      <w:r>
        <w:t>Az indokolás értelmében</w:t>
      </w:r>
      <w:r>
        <w:rPr>
          <w:bCs/>
        </w:rPr>
        <w:t xml:space="preserve"> a módosítás </w:t>
      </w:r>
      <w:r>
        <w:t>az adórendszer egyszerűsítése érdekében történ</w:t>
      </w:r>
      <w:r>
        <w:rPr>
          <w:sz w:val="23"/>
          <w:szCs w:val="23"/>
        </w:rPr>
        <w:t xml:space="preserve">t. </w:t>
      </w:r>
      <w:r>
        <w:rPr>
          <w:bCs/>
        </w:rPr>
        <w:t>A hatályon kívül helyező rendelkezés a törvény kihirdetését követő napon, 2020. július 15. napján lépett hatályba.</w:t>
      </w:r>
    </w:p>
    <w:p w14:paraId="6DB2314F" w14:textId="77777777" w:rsidR="00125893" w:rsidRDefault="00125893" w:rsidP="00125893">
      <w:pPr>
        <w:pStyle w:val="Default"/>
        <w:jc w:val="both"/>
        <w:rPr>
          <w:bCs/>
        </w:rPr>
      </w:pPr>
    </w:p>
    <w:p w14:paraId="681A85C7" w14:textId="77777777" w:rsidR="00125893" w:rsidRDefault="00125893" w:rsidP="001258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Htv</w:t>
      </w:r>
      <w:proofErr w:type="spellEnd"/>
      <w:r>
        <w:rPr>
          <w:rFonts w:ascii="Arial" w:hAnsi="Arial" w:cs="Arial"/>
          <w:bCs/>
        </w:rPr>
        <w:t xml:space="preserve">. 6. §-a szerint az önkormányzat adómegállapítási joga arra terjed ki, hogy a </w:t>
      </w:r>
      <w:proofErr w:type="spellStart"/>
      <w:r>
        <w:rPr>
          <w:rFonts w:ascii="Arial" w:hAnsi="Arial" w:cs="Arial"/>
          <w:bCs/>
        </w:rPr>
        <w:t>Htv</w:t>
      </w:r>
      <w:proofErr w:type="spellEnd"/>
      <w:r>
        <w:rPr>
          <w:rFonts w:ascii="Arial" w:hAnsi="Arial" w:cs="Arial"/>
          <w:bCs/>
        </w:rPr>
        <w:t xml:space="preserve">.-ben meghatározott adókat vagy azok valamelyikét bevezesse, a már bevezetett adót hatályon kívül helyezze, illetőleg módosítsa. </w:t>
      </w:r>
    </w:p>
    <w:p w14:paraId="5C8B1AA7" w14:textId="77777777" w:rsidR="00125893" w:rsidRDefault="00125893" w:rsidP="00125893">
      <w:pPr>
        <w:jc w:val="both"/>
        <w:rPr>
          <w:rFonts w:ascii="Arial" w:hAnsi="Arial" w:cs="Arial"/>
          <w:bCs/>
        </w:rPr>
      </w:pPr>
    </w:p>
    <w:p w14:paraId="5F8A6011" w14:textId="77777777" w:rsidR="00125893" w:rsidRDefault="00125893" w:rsidP="00125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az Országgyűlés döntése alapján az önkormányzatok 2020. július 15. napjától nem állapíthatnak meg a reklámhordozók után építményadót, indokolt a helyi adókról szóló 38/2011. (XII.19.) önkormányzati rendelet módosítása, melynek értelmében szintén hatályon kívül kell helyezni a rendelet reklámhordozókra vonatkozó rendelkezéseit.</w:t>
      </w:r>
    </w:p>
    <w:p w14:paraId="5A945F7D" w14:textId="77777777" w:rsidR="00125893" w:rsidRDefault="00125893" w:rsidP="0012589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9202D28" w14:textId="77777777" w:rsidR="00125893" w:rsidRDefault="00125893" w:rsidP="00125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adóalanyokat érintő 2020. évi reklámhordozók utáni építményadó megállapítás módosítását, valamint az időarányos adó eltörlését tartalmazó határozatokat az önkormányzati adóhatóság hivatalból hozza meg és közli az adóalanyokkal. </w:t>
      </w:r>
    </w:p>
    <w:p w14:paraId="32711CD7" w14:textId="77777777" w:rsidR="00125893" w:rsidRDefault="00125893" w:rsidP="00125893">
      <w:pPr>
        <w:jc w:val="both"/>
        <w:rPr>
          <w:rFonts w:ascii="Arial" w:hAnsi="Arial" w:cs="Arial"/>
        </w:rPr>
      </w:pPr>
    </w:p>
    <w:p w14:paraId="386C3E9F" w14:textId="77777777" w:rsidR="00125893" w:rsidRDefault="00125893" w:rsidP="00125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időarányos adóbevétel kiesés a reklámhordozók utáni építményadó megszüntetésével 2020. évben várhatóan 21,5 millió forint lesz.</w:t>
      </w:r>
    </w:p>
    <w:p w14:paraId="2BAB1D6C" w14:textId="77777777" w:rsidR="00125893" w:rsidRDefault="00125893" w:rsidP="00125893">
      <w:pPr>
        <w:jc w:val="both"/>
        <w:rPr>
          <w:rFonts w:ascii="Arial" w:hAnsi="Arial" w:cs="Arial"/>
        </w:rPr>
      </w:pPr>
    </w:p>
    <w:p w14:paraId="5E9492E5" w14:textId="77777777" w:rsidR="00125893" w:rsidRDefault="00125893" w:rsidP="00125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Szükséges az </w:t>
      </w:r>
      <w:proofErr w:type="spellStart"/>
      <w:r>
        <w:rPr>
          <w:rFonts w:ascii="Arial" w:hAnsi="Arial" w:cs="Arial"/>
        </w:rPr>
        <w:t>Ör</w:t>
      </w:r>
      <w:proofErr w:type="spellEnd"/>
      <w:r>
        <w:rPr>
          <w:rFonts w:ascii="Arial" w:hAnsi="Arial" w:cs="Arial"/>
        </w:rPr>
        <w:t>. technikai jellegű módosítása is, az alábbi szempontok szerint:</w:t>
      </w:r>
    </w:p>
    <w:p w14:paraId="04D45328" w14:textId="77777777" w:rsidR="00125893" w:rsidRDefault="00125893" w:rsidP="00125893">
      <w:pPr>
        <w:jc w:val="both"/>
        <w:rPr>
          <w:rFonts w:ascii="Arial" w:hAnsi="Arial" w:cs="Arial"/>
        </w:rPr>
      </w:pPr>
    </w:p>
    <w:p w14:paraId="6086D196" w14:textId="77777777" w:rsidR="00125893" w:rsidRDefault="00125893" w:rsidP="00125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jogalkotásról szóló 2010. évi CXXX. törvény 8. § (2) bekezdésének 2019. március 15. napjától hatályos módosítása lehetővé tette önkormányzati rendeletek esetében a bevezető rész módosítását. Az egyéb, az előterjesztés szerinti módosításokkal egyidejűleg indokolt az </w:t>
      </w:r>
      <w:proofErr w:type="spellStart"/>
      <w:r>
        <w:rPr>
          <w:rFonts w:ascii="Arial" w:hAnsi="Arial" w:cs="Arial"/>
        </w:rPr>
        <w:t>Ör</w:t>
      </w:r>
      <w:proofErr w:type="spellEnd"/>
      <w:r>
        <w:rPr>
          <w:rFonts w:ascii="Arial" w:hAnsi="Arial" w:cs="Arial"/>
        </w:rPr>
        <w:t>. bevezető részében a felhatalmazó rendelkezések aktualizálása.</w:t>
      </w:r>
    </w:p>
    <w:p w14:paraId="2F236034" w14:textId="77777777" w:rsidR="00125893" w:rsidRDefault="00125893" w:rsidP="00125893">
      <w:pPr>
        <w:jc w:val="both"/>
        <w:rPr>
          <w:rFonts w:ascii="Arial" w:hAnsi="Arial" w:cs="Arial"/>
        </w:rPr>
      </w:pPr>
    </w:p>
    <w:p w14:paraId="7B2E7644" w14:textId="77777777" w:rsidR="00125893" w:rsidRDefault="00125893" w:rsidP="00125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Továbbá a jogszabályszerkesztésről szóló 61/2009. (XII. 14.) IRM rendelet 50. § (2) bekezdés d) pontja szerint a jogszabály záró rendelkezése önkormányzati rendelet esetében kizárólag hatályba léptető rendelkezéseket, átmeneti rendelkezéseket, a jogalkotásra vonatkozó európai uniós követelményekre utaló rendelkezéseket, módosító rendelkezéseket, hatályon kívül helyező rendelkezéseket, valamint hatályba nem lépésről szóló rendelkezéseket tartalmazhat. Ennek megfelelően szükséges az </w:t>
      </w:r>
      <w:proofErr w:type="spellStart"/>
      <w:r>
        <w:rPr>
          <w:rFonts w:ascii="Arial" w:hAnsi="Arial" w:cs="Arial"/>
        </w:rPr>
        <w:t>Ör</w:t>
      </w:r>
      <w:proofErr w:type="spellEnd"/>
      <w:r>
        <w:rPr>
          <w:rFonts w:ascii="Arial" w:hAnsi="Arial" w:cs="Arial"/>
        </w:rPr>
        <w:t>. záró rendelkezéseiből az alkalmazandó jogszabályokat megjelölő szerkezeti egység hatályon kívül helyezése.</w:t>
      </w:r>
    </w:p>
    <w:p w14:paraId="407C0491" w14:textId="77777777" w:rsidR="00125893" w:rsidRDefault="00125893" w:rsidP="00125893">
      <w:pPr>
        <w:jc w:val="both"/>
        <w:rPr>
          <w:rFonts w:ascii="Arial" w:hAnsi="Arial" w:cs="Arial"/>
        </w:rPr>
      </w:pPr>
    </w:p>
    <w:p w14:paraId="2394F801" w14:textId="77777777" w:rsidR="00125893" w:rsidRDefault="00125893" w:rsidP="00A10090">
      <w:pPr>
        <w:ind w:left="1413" w:hanging="705"/>
        <w:jc w:val="both"/>
        <w:rPr>
          <w:rFonts w:ascii="Arial" w:hAnsi="Arial" w:cs="Arial"/>
          <w:b/>
          <w:sz w:val="20"/>
          <w:szCs w:val="20"/>
        </w:rPr>
      </w:pPr>
    </w:p>
    <w:p w14:paraId="24FB12A9" w14:textId="77777777" w:rsidR="00125893" w:rsidRPr="00A10090" w:rsidRDefault="00125893" w:rsidP="00A10090">
      <w:pPr>
        <w:ind w:left="1413" w:hanging="705"/>
        <w:jc w:val="both"/>
        <w:rPr>
          <w:rFonts w:ascii="Arial" w:hAnsi="Arial" w:cs="Arial"/>
          <w:b/>
          <w:sz w:val="20"/>
          <w:szCs w:val="20"/>
        </w:rPr>
      </w:pPr>
    </w:p>
    <w:p w14:paraId="2544B252" w14:textId="27942F73" w:rsidR="00125893" w:rsidRPr="002258A0" w:rsidRDefault="008E77DC" w:rsidP="002258A0">
      <w:pPr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II</w:t>
      </w:r>
      <w:r w:rsidR="00A10090" w:rsidRPr="00A10090">
        <w:rPr>
          <w:rFonts w:ascii="Arial" w:hAnsi="Arial" w:cs="Arial"/>
          <w:b/>
          <w:bCs/>
          <w:color w:val="000000"/>
        </w:rPr>
        <w:t>.   </w:t>
      </w:r>
      <w:r w:rsidR="00125893" w:rsidRPr="002258A0">
        <w:rPr>
          <w:rFonts w:ascii="Arial" w:hAnsi="Arial" w:cs="Arial"/>
          <w:b/>
          <w:bCs/>
        </w:rPr>
        <w:t>A Szombathely Megyei Jogú Város Önkormányzatának Szervezeti és Működési Szabályzatáról szóló 18/2019. (X.31.) önkormányzati rendelet módosítása</w:t>
      </w:r>
    </w:p>
    <w:p w14:paraId="5779B341" w14:textId="77777777" w:rsidR="00125893" w:rsidRDefault="00125893" w:rsidP="00125893">
      <w:pPr>
        <w:jc w:val="both"/>
        <w:rPr>
          <w:rFonts w:ascii="Arial" w:hAnsi="Arial" w:cs="Arial"/>
        </w:rPr>
      </w:pPr>
    </w:p>
    <w:p w14:paraId="72DE98AE" w14:textId="77777777" w:rsidR="00125893" w:rsidRDefault="00125893" w:rsidP="00125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Tisztelt Közgyűlés 2020. június 25. napján tartott ülésén felmerült az igény, hogy amennyiben a bizottsági elnökök a bizottság adott napirendi ponttal kapcsolatos álláspontját ismertetik, akkor ennek megtételére álljon rendelkezésükre egy </w:t>
      </w:r>
      <w:proofErr w:type="spellStart"/>
      <w:r>
        <w:rPr>
          <w:rFonts w:ascii="Arial" w:hAnsi="Arial" w:cs="Arial"/>
        </w:rPr>
        <w:t>egy</w:t>
      </w:r>
      <w:proofErr w:type="spellEnd"/>
      <w:r>
        <w:rPr>
          <w:rFonts w:ascii="Arial" w:hAnsi="Arial" w:cs="Arial"/>
        </w:rPr>
        <w:t xml:space="preserve"> perces időkeret, amely nem számít bele a</w:t>
      </w:r>
      <w:r w:rsidRPr="00A35BD6">
        <w:rPr>
          <w:rFonts w:ascii="Arial" w:hAnsi="Arial" w:cs="Arial"/>
        </w:rPr>
        <w:t xml:space="preserve"> Szombathely Megyei Jogú Város Önkormányzatának Szervezeti és Működési Szabályzatáról szóló 18/2019. (X.31.) önkormányzati rendelet</w:t>
      </w:r>
      <w:r>
        <w:rPr>
          <w:rFonts w:ascii="Arial" w:hAnsi="Arial" w:cs="Arial"/>
        </w:rPr>
        <w:t>ben (a továbbiakban: SZMSZ) szabályozott felszólalási időkeretbe.</w:t>
      </w:r>
    </w:p>
    <w:p w14:paraId="609443C5" w14:textId="77777777" w:rsidR="00125893" w:rsidRDefault="00125893" w:rsidP="00125893">
      <w:pPr>
        <w:jc w:val="both"/>
        <w:rPr>
          <w:rFonts w:ascii="Arial" w:hAnsi="Arial" w:cs="Arial"/>
        </w:rPr>
      </w:pPr>
    </w:p>
    <w:p w14:paraId="32F8C072" w14:textId="77777777" w:rsidR="00125893" w:rsidRDefault="00125893" w:rsidP="00125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Ehhez szükséges az SZMSZ hozzászólási időkereteket szabályozó rendelkezéseinek módosítása. A módosító rendelet tervezete az előterjesztés mellékletét képezi.</w:t>
      </w:r>
    </w:p>
    <w:p w14:paraId="0BFBB420" w14:textId="77777777" w:rsidR="00125893" w:rsidRDefault="00125893" w:rsidP="00125893">
      <w:pPr>
        <w:jc w:val="both"/>
        <w:rPr>
          <w:rFonts w:ascii="Arial" w:hAnsi="Arial" w:cs="Arial"/>
        </w:rPr>
      </w:pPr>
    </w:p>
    <w:p w14:paraId="5239F9E1" w14:textId="77777777" w:rsidR="00125893" w:rsidRDefault="00125893" w:rsidP="00125893">
      <w:pPr>
        <w:jc w:val="both"/>
        <w:rPr>
          <w:rFonts w:ascii="Arial" w:hAnsi="Arial" w:cs="Arial"/>
        </w:rPr>
      </w:pPr>
      <w:r w:rsidRPr="009B5808">
        <w:rPr>
          <w:rFonts w:ascii="Arial" w:hAnsi="Arial" w:cs="Arial"/>
        </w:rPr>
        <w:t xml:space="preserve">A jogalkotásról szóló 2010. évi CXXX. törvény (a továbbiakban: </w:t>
      </w:r>
      <w:proofErr w:type="spellStart"/>
      <w:r w:rsidRPr="009B5808">
        <w:rPr>
          <w:rFonts w:ascii="Arial" w:hAnsi="Arial" w:cs="Arial"/>
        </w:rPr>
        <w:t>Jat</w:t>
      </w:r>
      <w:proofErr w:type="spellEnd"/>
      <w:r w:rsidRPr="009B5808">
        <w:rPr>
          <w:rFonts w:ascii="Arial" w:hAnsi="Arial" w:cs="Arial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9B5808">
        <w:rPr>
          <w:rFonts w:ascii="Arial" w:hAnsi="Arial" w:cs="Arial"/>
        </w:rPr>
        <w:t>Jat</w:t>
      </w:r>
      <w:proofErr w:type="spellEnd"/>
      <w:r w:rsidRPr="009B5808">
        <w:rPr>
          <w:rFonts w:ascii="Arial" w:hAnsi="Arial" w:cs="Arial"/>
        </w:rPr>
        <w:t xml:space="preserve">. 18. § (1) bekezdése alapján pedig a jogszabály tervezetéhez a jogszabály előkészítője indokolást csatol. Erre tekintettel az előterjesztés mellékletét képezi </w:t>
      </w:r>
      <w:r>
        <w:rPr>
          <w:rFonts w:ascii="Arial" w:hAnsi="Arial" w:cs="Arial"/>
        </w:rPr>
        <w:t>a</w:t>
      </w:r>
      <w:r w:rsidRPr="009B5808">
        <w:rPr>
          <w:rFonts w:ascii="Arial" w:hAnsi="Arial" w:cs="Arial"/>
        </w:rPr>
        <w:t xml:space="preserve"> rendelet-módosítás tervezete mellett a tervezethez fűzött előzetes hatásvizsgálat és indokolás</w:t>
      </w:r>
      <w:r>
        <w:rPr>
          <w:rFonts w:ascii="Arial" w:hAnsi="Arial" w:cs="Arial"/>
        </w:rPr>
        <w:t>.</w:t>
      </w:r>
    </w:p>
    <w:p w14:paraId="153406CE" w14:textId="35C53CA8" w:rsidR="00125893" w:rsidRDefault="00125893" w:rsidP="00125893">
      <w:pPr>
        <w:jc w:val="both"/>
        <w:rPr>
          <w:rFonts w:ascii="Arial" w:hAnsi="Arial" w:cs="Arial"/>
        </w:rPr>
      </w:pPr>
    </w:p>
    <w:p w14:paraId="6AB4C096" w14:textId="77777777" w:rsidR="003E139C" w:rsidRDefault="003E139C" w:rsidP="00125893">
      <w:pPr>
        <w:jc w:val="both"/>
        <w:rPr>
          <w:rFonts w:ascii="Arial" w:hAnsi="Arial" w:cs="Arial"/>
        </w:rPr>
      </w:pPr>
    </w:p>
    <w:p w14:paraId="79A7BD16" w14:textId="1C208B7E" w:rsidR="00A10090" w:rsidRPr="00A10090" w:rsidRDefault="008E77DC" w:rsidP="002258A0">
      <w:pPr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III.</w:t>
      </w:r>
      <w:r w:rsidR="00A10090" w:rsidRPr="00A10090">
        <w:rPr>
          <w:rFonts w:ascii="Arial" w:hAnsi="Arial" w:cs="Arial"/>
          <w:b/>
          <w:bCs/>
          <w:color w:val="000000"/>
        </w:rPr>
        <w:t>   A lakáshoz jutás, a lakbérek és a lakbértámogatás, az önkormányzat által a lakásvásárláshoz és építéshez nyújtott támogatások szabályai megállapításáról szóló 36/2010. (XII.01.) önkormányzati rendelet módosítása</w:t>
      </w:r>
    </w:p>
    <w:p w14:paraId="7ECC9586" w14:textId="77777777" w:rsidR="00A10090" w:rsidRDefault="00A10090" w:rsidP="005B0470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09912C85" w14:textId="77777777" w:rsidR="00A10090" w:rsidRDefault="00A10090" w:rsidP="005B0470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1DAB88AA" w14:textId="77777777" w:rsidR="003E139C" w:rsidRPr="00E92044" w:rsidRDefault="003E139C" w:rsidP="003E139C">
      <w:pPr>
        <w:jc w:val="both"/>
        <w:rPr>
          <w:rFonts w:ascii="Arial" w:hAnsi="Arial" w:cs="Arial"/>
          <w:bCs/>
        </w:rPr>
      </w:pPr>
      <w:bookmarkStart w:id="0" w:name="_Hlk51009254"/>
      <w:r>
        <w:rPr>
          <w:rFonts w:ascii="Arial" w:hAnsi="Arial" w:cs="Arial"/>
          <w:bCs/>
        </w:rPr>
        <w:t>A</w:t>
      </w:r>
      <w:r w:rsidRPr="00B55B56">
        <w:rPr>
          <w:rFonts w:ascii="Arial" w:hAnsi="Arial" w:cs="Arial"/>
          <w:bCs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</w:t>
      </w:r>
      <w:r>
        <w:rPr>
          <w:rFonts w:ascii="Arial" w:hAnsi="Arial" w:cs="Arial"/>
          <w:bCs/>
        </w:rPr>
        <w:t xml:space="preserve"> </w:t>
      </w:r>
      <w:bookmarkEnd w:id="0"/>
      <w:r>
        <w:rPr>
          <w:rFonts w:ascii="Arial" w:hAnsi="Arial" w:cs="Arial"/>
          <w:bCs/>
        </w:rPr>
        <w:t xml:space="preserve">(a továbbiakban: rendelet) meghatározza Szombathely Megyei Jogú Város Önkormányzatának tulajdonában lévő ingatlanok bérbeadására, továbbá az önkormányzati lakásokban élők bérleti jogviszonyára vonatkozó szabályokat. A rendelet szerint a bérlakás kijelölésének, a bérleti jogviszony helyreállításának, hosszabbításának feltétele, hogy a pályázó, a bérlő, valamint a vele </w:t>
      </w:r>
      <w:proofErr w:type="spellStart"/>
      <w:r>
        <w:rPr>
          <w:rFonts w:ascii="Arial" w:hAnsi="Arial" w:cs="Arial"/>
          <w:bCs/>
        </w:rPr>
        <w:t>együttköltöző</w:t>
      </w:r>
      <w:proofErr w:type="spellEnd"/>
      <w:r>
        <w:rPr>
          <w:rFonts w:ascii="Arial" w:hAnsi="Arial" w:cs="Arial"/>
          <w:bCs/>
        </w:rPr>
        <w:t xml:space="preserve">, illetve együtt élő személyek vagyonnal nem rendelkeznek. Vagyon a szociális igazgatásról és szociális ellátásokról szóló 1993. évi III. törvény szerinti ingatlan, ideértve azt az ingatlant is, amelyben a kérelmező, pályázó lakik. </w:t>
      </w:r>
      <w:r w:rsidRPr="00E92044">
        <w:rPr>
          <w:rFonts w:ascii="Arial" w:hAnsi="Arial" w:cs="Arial"/>
        </w:rPr>
        <w:t>Kivételt képez a Nyugdíjas Bérlők Házában történő elhelyezés jogosultsági feltétel rendszere, amelyben a bejutási feltételek között a vagyon vizsgálata nem szerepel.</w:t>
      </w:r>
    </w:p>
    <w:p w14:paraId="58A69349" w14:textId="77777777" w:rsidR="003E139C" w:rsidRPr="00E92044" w:rsidRDefault="003E139C" w:rsidP="003E139C">
      <w:pPr>
        <w:jc w:val="both"/>
        <w:rPr>
          <w:rFonts w:ascii="Arial" w:hAnsi="Arial" w:cs="Arial"/>
        </w:rPr>
      </w:pPr>
    </w:p>
    <w:p w14:paraId="096D33D6" w14:textId="77777777" w:rsidR="003E139C" w:rsidRPr="00E92044" w:rsidRDefault="003E139C" w:rsidP="003E139C">
      <w:pPr>
        <w:jc w:val="both"/>
        <w:rPr>
          <w:rFonts w:ascii="Arial" w:hAnsi="Arial" w:cs="Arial"/>
        </w:rPr>
      </w:pPr>
      <w:r w:rsidRPr="00E92044">
        <w:rPr>
          <w:rFonts w:ascii="Arial" w:hAnsi="Arial" w:cs="Arial"/>
        </w:rPr>
        <w:t>Fentiekre tekintettel a bérbeadás, valamint a bérleti jogviszonnyal kapcsolatos eljárások során a kérelmek kötelező melléklete a kérelmezők által kitöltött vagyonnyilatkozat. Az elmúlt időszakban több olyan lakossági jelzés érkezett a Polgármesteri Hivatal Lakás Irodájához, valamint a SZOVA Nonprofit Zrt-</w:t>
      </w:r>
      <w:proofErr w:type="spellStart"/>
      <w:r w:rsidRPr="00E92044">
        <w:rPr>
          <w:rFonts w:ascii="Arial" w:hAnsi="Arial" w:cs="Arial"/>
        </w:rPr>
        <w:t>hez</w:t>
      </w:r>
      <w:proofErr w:type="spellEnd"/>
      <w:r w:rsidRPr="00E92044">
        <w:rPr>
          <w:rFonts w:ascii="Arial" w:hAnsi="Arial" w:cs="Arial"/>
        </w:rPr>
        <w:t xml:space="preserve">, amely szerint a bejelentőnek tudomása van arról, hogy önkormányzati lakásban élő ingatlantulajdonnal rendelkezik. </w:t>
      </w:r>
    </w:p>
    <w:p w14:paraId="3D6A43D4" w14:textId="77777777" w:rsidR="003E139C" w:rsidRPr="00E92044" w:rsidRDefault="003E139C" w:rsidP="003E139C">
      <w:pPr>
        <w:jc w:val="both"/>
        <w:rPr>
          <w:rFonts w:ascii="Arial" w:hAnsi="Arial" w:cs="Arial"/>
        </w:rPr>
      </w:pPr>
    </w:p>
    <w:p w14:paraId="30B8E080" w14:textId="77777777" w:rsidR="003E139C" w:rsidRPr="00E92044" w:rsidRDefault="003E139C" w:rsidP="003E139C">
      <w:pPr>
        <w:pStyle w:val="Szvegtrzs"/>
        <w:rPr>
          <w:rFonts w:cs="Arial"/>
          <w:bCs/>
          <w:sz w:val="20"/>
        </w:rPr>
      </w:pPr>
      <w:r w:rsidRPr="00E92044">
        <w:rPr>
          <w:rFonts w:cs="Arial"/>
        </w:rPr>
        <w:t xml:space="preserve">Fentiek </w:t>
      </w:r>
      <w:proofErr w:type="gramStart"/>
      <w:r w:rsidRPr="00E92044">
        <w:rPr>
          <w:rFonts w:cs="Arial"/>
        </w:rPr>
        <w:t>figyelembe vételével</w:t>
      </w:r>
      <w:proofErr w:type="gramEnd"/>
      <w:r w:rsidRPr="00E92044">
        <w:rPr>
          <w:rFonts w:cs="Arial"/>
        </w:rPr>
        <w:t xml:space="preserve"> javasolt, hogy az eljárások során az ingatlan-nyilvántartást vezető ingatlanügyi hatóság által kiállított i</w:t>
      </w:r>
      <w:r w:rsidRPr="00E92044">
        <w:rPr>
          <w:rFonts w:cs="Arial"/>
          <w:bCs/>
        </w:rPr>
        <w:t>ngatlantulajdon fennállásáról szóló hatósági bizonyítvány</w:t>
      </w:r>
      <w:r w:rsidRPr="00E92044">
        <w:rPr>
          <w:rFonts w:cs="Arial"/>
        </w:rPr>
        <w:t xml:space="preserve"> a benyújtott kérelmek melléklete legyen</w:t>
      </w:r>
      <w:r w:rsidRPr="00E92044">
        <w:rPr>
          <w:rFonts w:cs="Arial"/>
          <w:bCs/>
        </w:rPr>
        <w:t xml:space="preserve"> </w:t>
      </w:r>
      <w:r w:rsidRPr="00E92044">
        <w:rPr>
          <w:rFonts w:cs="Arial"/>
        </w:rPr>
        <w:t>a vagyonnyilatkozat tartalmának igazolására,</w:t>
      </w:r>
      <w:r w:rsidRPr="00E92044">
        <w:rPr>
          <w:rFonts w:cs="Arial"/>
          <w:bCs/>
        </w:rPr>
        <w:t xml:space="preserve"> ezért indokolt a rendelet módosítása.</w:t>
      </w:r>
      <w:r w:rsidRPr="00E92044">
        <w:rPr>
          <w:rFonts w:cs="Arial"/>
          <w:bCs/>
          <w:sz w:val="20"/>
        </w:rPr>
        <w:t xml:space="preserve"> </w:t>
      </w:r>
    </w:p>
    <w:p w14:paraId="3F896917" w14:textId="77777777" w:rsidR="003E139C" w:rsidRPr="00E92044" w:rsidRDefault="003E139C" w:rsidP="003E139C">
      <w:pPr>
        <w:pStyle w:val="Szvegtrzs"/>
        <w:rPr>
          <w:rFonts w:cs="Arial"/>
          <w:bCs/>
          <w:sz w:val="20"/>
        </w:rPr>
      </w:pPr>
    </w:p>
    <w:p w14:paraId="159161FD" w14:textId="77777777" w:rsidR="003E139C" w:rsidRPr="00E92044" w:rsidRDefault="003E139C" w:rsidP="003E139C">
      <w:pPr>
        <w:pStyle w:val="Szvegtrzs"/>
        <w:rPr>
          <w:rFonts w:cs="Arial"/>
          <w:bCs/>
        </w:rPr>
      </w:pPr>
      <w:r w:rsidRPr="00E92044">
        <w:rPr>
          <w:rFonts w:cs="Arial"/>
          <w:bCs/>
        </w:rPr>
        <w:t xml:space="preserve">A lakáshoz jutás rendelet által szabályozott módjait áttekintve látható, hogy a Nyugdíjas Bérlők Házában történő elhelyezés a jelenlegi szabályozás szerint sem szociális szempontok, sem pedig egyéb szükségletek fennállásának vizsgálatához nem kötött. Annak érdekében, hogy a Nyugdíjas Bérlők Házában rendelkezésre álló – az igényekhez képest szűkös – lakásállomány bérbeadása </w:t>
      </w:r>
      <w:proofErr w:type="spellStart"/>
      <w:r w:rsidRPr="00E92044">
        <w:rPr>
          <w:rFonts w:cs="Arial"/>
          <w:bCs/>
        </w:rPr>
        <w:t>célzottabban</w:t>
      </w:r>
      <w:proofErr w:type="spellEnd"/>
      <w:r w:rsidRPr="00E92044">
        <w:rPr>
          <w:rFonts w:cs="Arial"/>
          <w:bCs/>
        </w:rPr>
        <w:t>, igazságosabban, az egyéni szükségleteket figyelembe véve történhessen, javasolt a jelenlegi szabályozás, feltételrendszer felülvizsgálata.</w:t>
      </w:r>
    </w:p>
    <w:p w14:paraId="0568D718" w14:textId="77777777" w:rsidR="003E139C" w:rsidRDefault="003E139C" w:rsidP="003E139C">
      <w:pPr>
        <w:autoSpaceDE w:val="0"/>
        <w:autoSpaceDN w:val="0"/>
        <w:adjustRightInd w:val="0"/>
        <w:jc w:val="both"/>
        <w:rPr>
          <w:rFonts w:cs="Arial"/>
          <w:shd w:val="clear" w:color="auto" w:fill="FFFFFF"/>
        </w:rPr>
      </w:pPr>
    </w:p>
    <w:p w14:paraId="22105F54" w14:textId="77777777" w:rsidR="003E139C" w:rsidRDefault="003E139C" w:rsidP="003E139C">
      <w:pPr>
        <w:jc w:val="both"/>
        <w:rPr>
          <w:rFonts w:ascii="Arial" w:hAnsi="Arial" w:cs="Arial"/>
        </w:rPr>
      </w:pPr>
      <w:r w:rsidRPr="00F55DD6">
        <w:rPr>
          <w:rFonts w:ascii="Arial" w:hAnsi="Arial" w:cs="Arial"/>
        </w:rPr>
        <w:t xml:space="preserve">A jogalkotásról szóló 2010. évi CXXX. törvény (a továbbiakban: </w:t>
      </w:r>
      <w:proofErr w:type="spellStart"/>
      <w:r w:rsidRPr="00F55DD6">
        <w:rPr>
          <w:rFonts w:ascii="Arial" w:hAnsi="Arial" w:cs="Arial"/>
        </w:rPr>
        <w:t>Jat</w:t>
      </w:r>
      <w:proofErr w:type="spellEnd"/>
      <w:r w:rsidRPr="00F55DD6">
        <w:rPr>
          <w:rFonts w:ascii="Arial" w:hAnsi="Arial" w:cs="Arial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F55DD6">
        <w:rPr>
          <w:rFonts w:ascii="Arial" w:hAnsi="Arial" w:cs="Arial"/>
        </w:rPr>
        <w:t>Jat</w:t>
      </w:r>
      <w:proofErr w:type="spellEnd"/>
      <w:r w:rsidRPr="00F55DD6">
        <w:rPr>
          <w:rFonts w:ascii="Arial" w:hAnsi="Arial" w:cs="Arial"/>
        </w:rPr>
        <w:t>. 1</w:t>
      </w:r>
      <w:r>
        <w:rPr>
          <w:rFonts w:ascii="Arial" w:hAnsi="Arial" w:cs="Arial"/>
        </w:rPr>
        <w:t xml:space="preserve">8. § (1) bekezdése alapján </w:t>
      </w:r>
      <w:r w:rsidRPr="00F55DD6">
        <w:rPr>
          <w:rFonts w:ascii="Arial" w:hAnsi="Arial" w:cs="Arial"/>
        </w:rPr>
        <w:t xml:space="preserve">a jogszabály tervezetéhez a jogszabály </w:t>
      </w:r>
      <w:r w:rsidRPr="00F55DD6">
        <w:rPr>
          <w:rFonts w:ascii="Arial" w:hAnsi="Arial" w:cs="Arial"/>
        </w:rPr>
        <w:lastRenderedPageBreak/>
        <w:t>előkészítője indokolást csatol.</w:t>
      </w:r>
      <w:r>
        <w:rPr>
          <w:rFonts w:ascii="Arial" w:hAnsi="Arial" w:cs="Arial"/>
        </w:rPr>
        <w:t xml:space="preserve"> Erre tekintettel az előterjesztés mellékletét képezi a rendelet-módosítás tervezete mellett a tervezethez fűzött előzetes hatásvizsgálat és indokolás.</w:t>
      </w:r>
    </w:p>
    <w:p w14:paraId="6925E86A" w14:textId="77777777" w:rsidR="003E139C" w:rsidRPr="00D45A4C" w:rsidRDefault="003E139C" w:rsidP="003E139C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2165A117" w14:textId="77777777" w:rsidR="00A10090" w:rsidRDefault="00A10090" w:rsidP="005B0470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52E1C0BA" w14:textId="77777777" w:rsidR="00A10090" w:rsidRDefault="00A10090" w:rsidP="005B0470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39AB8373" w14:textId="77777777" w:rsidR="00A10090" w:rsidRDefault="00A10090" w:rsidP="005B0470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432CC7CB" w14:textId="25815D2C" w:rsidR="00444A77" w:rsidRPr="00F06C2D" w:rsidRDefault="00444A77" w:rsidP="00444A77">
      <w:pPr>
        <w:jc w:val="both"/>
        <w:rPr>
          <w:rFonts w:ascii="Arial" w:hAnsi="Arial" w:cs="Arial"/>
        </w:rPr>
      </w:pPr>
      <w:r w:rsidRPr="0037266A">
        <w:rPr>
          <w:rFonts w:ascii="Arial" w:hAnsi="Arial" w:cs="Arial"/>
        </w:rPr>
        <w:t>Kérem a Tisztelt Közgyűlést, hogy a rendelet</w:t>
      </w:r>
      <w:r>
        <w:rPr>
          <w:rFonts w:ascii="Arial" w:hAnsi="Arial" w:cs="Arial"/>
        </w:rPr>
        <w:t>ek</w:t>
      </w:r>
      <w:r w:rsidRPr="0037266A">
        <w:rPr>
          <w:rFonts w:ascii="Arial" w:hAnsi="Arial" w:cs="Arial"/>
        </w:rPr>
        <w:t xml:space="preserve"> tervezetét megtárgyalni, a rendelet</w:t>
      </w:r>
      <w:r>
        <w:rPr>
          <w:rFonts w:ascii="Arial" w:hAnsi="Arial" w:cs="Arial"/>
        </w:rPr>
        <w:t>ek</w:t>
      </w:r>
      <w:r w:rsidRPr="0037266A">
        <w:rPr>
          <w:rFonts w:ascii="Arial" w:hAnsi="Arial" w:cs="Arial"/>
        </w:rPr>
        <w:t>et megalkotni, és a határozati javaslatot elfogadni szíveskedjék.</w:t>
      </w:r>
    </w:p>
    <w:p w14:paraId="27F99502" w14:textId="77777777" w:rsidR="00444A77" w:rsidRPr="00981EBC" w:rsidRDefault="00444A77" w:rsidP="00444A77">
      <w:pPr>
        <w:jc w:val="both"/>
        <w:rPr>
          <w:rFonts w:ascii="Arial" w:hAnsi="Arial" w:cs="Arial"/>
          <w:i/>
        </w:rPr>
      </w:pPr>
    </w:p>
    <w:p w14:paraId="2CD63489" w14:textId="50A7FF1A" w:rsidR="00444A77" w:rsidRPr="00F06C2D" w:rsidRDefault="00444A77" w:rsidP="00444A77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Szombathely, 20</w:t>
      </w:r>
      <w:r>
        <w:rPr>
          <w:rFonts w:ascii="Arial" w:hAnsi="Arial" w:cs="Arial"/>
          <w:b/>
        </w:rPr>
        <w:t xml:space="preserve">20.  </w:t>
      </w:r>
      <w:r w:rsidR="00CB1D08">
        <w:rPr>
          <w:rFonts w:ascii="Arial" w:hAnsi="Arial" w:cs="Arial"/>
          <w:b/>
        </w:rPr>
        <w:t xml:space="preserve">szeptember </w:t>
      </w:r>
      <w:proofErr w:type="gramStart"/>
      <w:r w:rsidRPr="00F06C2D">
        <w:rPr>
          <w:rFonts w:ascii="Arial" w:hAnsi="Arial" w:cs="Arial"/>
          <w:b/>
        </w:rPr>
        <w:t xml:space="preserve">„  </w:t>
      </w:r>
      <w:proofErr w:type="gramEnd"/>
      <w:r>
        <w:rPr>
          <w:rFonts w:ascii="Arial" w:hAnsi="Arial" w:cs="Arial"/>
          <w:b/>
        </w:rPr>
        <w:t xml:space="preserve"> </w:t>
      </w:r>
      <w:r w:rsidRPr="00F06C2D">
        <w:rPr>
          <w:rFonts w:ascii="Arial" w:hAnsi="Arial" w:cs="Arial"/>
          <w:b/>
        </w:rPr>
        <w:t xml:space="preserve">   ”</w:t>
      </w:r>
    </w:p>
    <w:p w14:paraId="30AA3833" w14:textId="77777777" w:rsidR="00444A77" w:rsidRDefault="00444A77" w:rsidP="00444A77">
      <w:pPr>
        <w:rPr>
          <w:rFonts w:ascii="Arial" w:hAnsi="Arial" w:cs="Arial"/>
          <w:b/>
        </w:rPr>
      </w:pPr>
    </w:p>
    <w:p w14:paraId="0D3ABA7F" w14:textId="77777777" w:rsidR="00444A77" w:rsidRDefault="00444A77" w:rsidP="00444A77">
      <w:pPr>
        <w:rPr>
          <w:rFonts w:ascii="Arial" w:hAnsi="Arial" w:cs="Arial"/>
          <w:b/>
        </w:rPr>
      </w:pPr>
    </w:p>
    <w:p w14:paraId="211155EF" w14:textId="77777777" w:rsidR="00444A77" w:rsidRPr="00F06C2D" w:rsidRDefault="00444A77" w:rsidP="00444A77">
      <w:pPr>
        <w:rPr>
          <w:rFonts w:ascii="Arial" w:hAnsi="Arial" w:cs="Arial"/>
          <w:b/>
        </w:rPr>
      </w:pPr>
    </w:p>
    <w:p w14:paraId="311A635A" w14:textId="77777777" w:rsidR="00444A77" w:rsidRDefault="00444A77" w:rsidP="00444A77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                                                                             /: Dr. </w:t>
      </w:r>
      <w:r>
        <w:rPr>
          <w:rFonts w:ascii="Arial" w:hAnsi="Arial" w:cs="Arial"/>
          <w:b/>
        </w:rPr>
        <w:t>Nemény András</w:t>
      </w:r>
      <w:r w:rsidRPr="00F06C2D">
        <w:rPr>
          <w:rFonts w:ascii="Arial" w:hAnsi="Arial" w:cs="Arial"/>
          <w:b/>
        </w:rPr>
        <w:t xml:space="preserve"> :/ </w:t>
      </w:r>
    </w:p>
    <w:p w14:paraId="5C625001" w14:textId="77777777" w:rsidR="00444A77" w:rsidRDefault="00444A77" w:rsidP="00444A77">
      <w:pPr>
        <w:jc w:val="center"/>
        <w:rPr>
          <w:rFonts w:ascii="Arial" w:hAnsi="Arial" w:cs="Arial"/>
          <w:b/>
        </w:rPr>
      </w:pPr>
    </w:p>
    <w:p w14:paraId="36BC77DE" w14:textId="77777777" w:rsidR="00D27104" w:rsidRDefault="00D27104" w:rsidP="00D27104">
      <w:pPr>
        <w:jc w:val="center"/>
        <w:rPr>
          <w:b/>
        </w:rPr>
      </w:pPr>
    </w:p>
    <w:p w14:paraId="38E410B2" w14:textId="4CB45E82" w:rsidR="00D27104" w:rsidRDefault="00D27104" w:rsidP="00D27104">
      <w:pPr>
        <w:jc w:val="center"/>
        <w:rPr>
          <w:b/>
        </w:rPr>
      </w:pPr>
    </w:p>
    <w:p w14:paraId="3E9A845B" w14:textId="48D47CD0" w:rsidR="00D43444" w:rsidRDefault="00D43444" w:rsidP="00D27104">
      <w:pPr>
        <w:jc w:val="center"/>
        <w:rPr>
          <w:b/>
        </w:rPr>
      </w:pPr>
    </w:p>
    <w:p w14:paraId="1AC504AB" w14:textId="1350C414" w:rsidR="00D43444" w:rsidRDefault="00D43444" w:rsidP="00D27104">
      <w:pPr>
        <w:jc w:val="center"/>
        <w:rPr>
          <w:b/>
        </w:rPr>
      </w:pPr>
    </w:p>
    <w:p w14:paraId="1C7EF056" w14:textId="77777777" w:rsidR="00D43444" w:rsidRDefault="00D43444" w:rsidP="00D27104">
      <w:pPr>
        <w:jc w:val="center"/>
        <w:rPr>
          <w:b/>
        </w:rPr>
      </w:pPr>
    </w:p>
    <w:p w14:paraId="51FE1C00" w14:textId="77777777" w:rsidR="00D27104" w:rsidRDefault="00D27104" w:rsidP="00D27104">
      <w:pPr>
        <w:jc w:val="center"/>
        <w:rPr>
          <w:b/>
        </w:rPr>
      </w:pPr>
    </w:p>
    <w:p w14:paraId="3F557C0B" w14:textId="77777777" w:rsidR="00D43444" w:rsidRPr="00AD4874" w:rsidRDefault="00D43444" w:rsidP="00D43444">
      <w:pPr>
        <w:jc w:val="center"/>
        <w:rPr>
          <w:rFonts w:ascii="Arial" w:hAnsi="Arial" w:cs="Arial"/>
          <w:b/>
          <w:u w:val="single"/>
        </w:rPr>
      </w:pPr>
      <w:r w:rsidRPr="00AD4874">
        <w:rPr>
          <w:rFonts w:ascii="Arial" w:hAnsi="Arial" w:cs="Arial"/>
          <w:b/>
          <w:u w:val="single"/>
        </w:rPr>
        <w:t>HATÁROZATI JAVASLAT</w:t>
      </w:r>
    </w:p>
    <w:p w14:paraId="4D849799" w14:textId="77777777" w:rsidR="00D43444" w:rsidRPr="00AD4874" w:rsidRDefault="00D43444" w:rsidP="00D43444">
      <w:pPr>
        <w:spacing w:after="360"/>
        <w:jc w:val="center"/>
        <w:rPr>
          <w:rFonts w:ascii="Arial" w:hAnsi="Arial" w:cs="Arial"/>
          <w:b/>
          <w:u w:val="single"/>
        </w:rPr>
      </w:pPr>
      <w:r w:rsidRPr="00AD4874">
        <w:rPr>
          <w:rFonts w:ascii="Arial" w:hAnsi="Arial" w:cs="Arial"/>
          <w:b/>
          <w:u w:val="single"/>
        </w:rPr>
        <w:t>…/20</w:t>
      </w:r>
      <w:r>
        <w:rPr>
          <w:rFonts w:ascii="Arial" w:hAnsi="Arial" w:cs="Arial"/>
          <w:b/>
          <w:u w:val="single"/>
        </w:rPr>
        <w:t>20</w:t>
      </w:r>
      <w:r w:rsidRPr="00AD4874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</w:t>
      </w:r>
      <w:r w:rsidRPr="00AD4874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.24</w:t>
      </w:r>
      <w:r w:rsidRPr="00AD4874">
        <w:rPr>
          <w:rFonts w:ascii="Arial" w:hAnsi="Arial" w:cs="Arial"/>
          <w:b/>
          <w:u w:val="single"/>
        </w:rPr>
        <w:t>.) Kgy. számú határozat</w:t>
      </w:r>
    </w:p>
    <w:p w14:paraId="72B8AE1B" w14:textId="77777777" w:rsidR="00D43444" w:rsidRDefault="00D43444" w:rsidP="00D4344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vizsgálja meg a</w:t>
      </w:r>
      <w:r w:rsidRPr="00B55B56">
        <w:rPr>
          <w:rFonts w:ascii="Arial" w:hAnsi="Arial" w:cs="Arial"/>
          <w:bCs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</w:t>
      </w:r>
      <w:r>
        <w:rPr>
          <w:rFonts w:ascii="Arial" w:hAnsi="Arial" w:cs="Arial"/>
          <w:bCs/>
        </w:rPr>
        <w:t xml:space="preserve"> által szabályozott </w:t>
      </w:r>
      <w:r>
        <w:rPr>
          <w:rFonts w:ascii="Arial" w:hAnsi="Arial" w:cs="Arial"/>
        </w:rPr>
        <w:t>Nyugdíjas Bérlők Házában történő elhelyezés feltétel rendszerét, és javaslatát terjessze a közgyűlés elé.</w:t>
      </w:r>
    </w:p>
    <w:p w14:paraId="31FC46BC" w14:textId="77777777" w:rsidR="00D43444" w:rsidRPr="00AC679A" w:rsidRDefault="00D43444" w:rsidP="00D43444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/>
          <w:u w:val="single"/>
        </w:rPr>
        <w:t>Felelősök:</w:t>
      </w:r>
      <w:r w:rsidRPr="00AC679A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Nemény András</w:t>
      </w:r>
      <w:r w:rsidRPr="00AC679A">
        <w:rPr>
          <w:rFonts w:ascii="Arial" w:hAnsi="Arial" w:cs="Arial"/>
          <w:bCs/>
        </w:rPr>
        <w:t xml:space="preserve"> polgármester</w:t>
      </w:r>
    </w:p>
    <w:p w14:paraId="363256C4" w14:textId="77777777" w:rsidR="00D43444" w:rsidRDefault="00D43444" w:rsidP="00D43444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Cs/>
        </w:rPr>
        <w:t xml:space="preserve">                     </w:t>
      </w:r>
      <w:r w:rsidRPr="00AC679A">
        <w:rPr>
          <w:rFonts w:ascii="Arial" w:hAnsi="Arial" w:cs="Arial"/>
          <w:bCs/>
        </w:rPr>
        <w:tab/>
        <w:t>/az előkészítésért:</w:t>
      </w:r>
    </w:p>
    <w:p w14:paraId="44376715" w14:textId="77777777" w:rsidR="00D43444" w:rsidRPr="00AC679A" w:rsidRDefault="00D43444" w:rsidP="00D43444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</w:t>
      </w:r>
      <w:r w:rsidRPr="00AC679A">
        <w:rPr>
          <w:rFonts w:ascii="Arial" w:hAnsi="Arial" w:cs="Arial"/>
          <w:bCs/>
        </w:rPr>
        <w:t>/</w:t>
      </w:r>
    </w:p>
    <w:p w14:paraId="1C7A6E38" w14:textId="77777777" w:rsidR="00D43444" w:rsidRPr="00AC679A" w:rsidRDefault="00D43444" w:rsidP="00D43444">
      <w:pPr>
        <w:rPr>
          <w:rFonts w:ascii="Arial" w:hAnsi="Arial" w:cs="Arial"/>
          <w:bCs/>
        </w:rPr>
      </w:pPr>
    </w:p>
    <w:p w14:paraId="1FE308CD" w14:textId="77777777" w:rsidR="00D43444" w:rsidRDefault="00D43444" w:rsidP="00D43444">
      <w:pPr>
        <w:ind w:left="1410" w:hanging="1410"/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/>
          <w:u w:val="single"/>
        </w:rPr>
        <w:t>Határidő:</w:t>
      </w:r>
      <w:r w:rsidRPr="00AC679A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közgyűlés következő ülése</w:t>
      </w:r>
    </w:p>
    <w:p w14:paraId="35A86181" w14:textId="77777777" w:rsidR="00D27104" w:rsidRDefault="00D27104" w:rsidP="00D27104">
      <w:pPr>
        <w:jc w:val="center"/>
        <w:rPr>
          <w:b/>
        </w:rPr>
      </w:pPr>
    </w:p>
    <w:p w14:paraId="0A0B0642" w14:textId="77777777" w:rsidR="00D27104" w:rsidRDefault="00D27104" w:rsidP="00D27104">
      <w:pPr>
        <w:jc w:val="center"/>
        <w:rPr>
          <w:b/>
        </w:rPr>
      </w:pPr>
    </w:p>
    <w:p w14:paraId="4F28A9E9" w14:textId="77777777" w:rsidR="00D27104" w:rsidRDefault="00D27104" w:rsidP="00D27104">
      <w:pPr>
        <w:jc w:val="center"/>
        <w:rPr>
          <w:b/>
        </w:rPr>
      </w:pPr>
    </w:p>
    <w:p w14:paraId="58F7E10A" w14:textId="77777777" w:rsidR="00D27104" w:rsidRDefault="00D27104" w:rsidP="00D27104">
      <w:pPr>
        <w:jc w:val="center"/>
        <w:rPr>
          <w:b/>
        </w:rPr>
      </w:pPr>
    </w:p>
    <w:p w14:paraId="4E614DEF" w14:textId="77777777" w:rsidR="00D27104" w:rsidRDefault="00D27104" w:rsidP="00D27104">
      <w:pPr>
        <w:jc w:val="center"/>
        <w:rPr>
          <w:b/>
        </w:rPr>
      </w:pPr>
    </w:p>
    <w:p w14:paraId="0A42ABEE" w14:textId="77777777" w:rsidR="00D27104" w:rsidRDefault="00D27104" w:rsidP="00D27104">
      <w:pPr>
        <w:jc w:val="center"/>
        <w:rPr>
          <w:b/>
        </w:rPr>
      </w:pPr>
    </w:p>
    <w:p w14:paraId="06DCC135" w14:textId="4D84207B" w:rsidR="00D27104" w:rsidRDefault="00D27104" w:rsidP="00D27104">
      <w:pPr>
        <w:jc w:val="center"/>
        <w:rPr>
          <w:b/>
        </w:rPr>
      </w:pPr>
    </w:p>
    <w:p w14:paraId="60DEE9B8" w14:textId="62B92C48" w:rsidR="003E139C" w:rsidRDefault="003E139C" w:rsidP="00D27104">
      <w:pPr>
        <w:jc w:val="center"/>
        <w:rPr>
          <w:b/>
        </w:rPr>
      </w:pPr>
    </w:p>
    <w:p w14:paraId="74E4AA55" w14:textId="03677977" w:rsidR="003E139C" w:rsidRDefault="003E139C" w:rsidP="00D27104">
      <w:pPr>
        <w:jc w:val="center"/>
        <w:rPr>
          <w:b/>
        </w:rPr>
      </w:pPr>
    </w:p>
    <w:p w14:paraId="33AB8400" w14:textId="55F3CF90" w:rsidR="003E139C" w:rsidRDefault="003E139C" w:rsidP="00D27104">
      <w:pPr>
        <w:jc w:val="center"/>
        <w:rPr>
          <w:b/>
        </w:rPr>
      </w:pPr>
    </w:p>
    <w:sectPr w:rsidR="003E139C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2589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2589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68AEB242" w:rsidR="00514CD3" w:rsidRDefault="00DE381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b/>
      </w:rPr>
    </w:pPr>
    <w:r>
      <w:rPr>
        <w:rFonts w:ascii="Arial" w:hAnsi="Arial" w:cs="Arial"/>
        <w:b/>
      </w:rPr>
      <w:t>Gazdasági és Jogi Bizottság</w:t>
    </w:r>
  </w:p>
  <w:p w14:paraId="10F981BE" w14:textId="034BFE09" w:rsidR="00DE381E" w:rsidRPr="00977162" w:rsidRDefault="00DE381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b/>
      </w:rPr>
    </w:pPr>
    <w:r>
      <w:rPr>
        <w:rFonts w:ascii="Arial" w:hAnsi="Arial" w:cs="Arial"/>
        <w:b/>
      </w:rPr>
      <w:t>Szociális és Lakás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097C2DC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</w:t>
    </w:r>
    <w:r w:rsidR="00927BF6">
      <w:rPr>
        <w:rFonts w:ascii="Arial" w:hAnsi="Arial" w:cs="Arial"/>
        <w:b/>
        <w:u w:val="single"/>
      </w:rPr>
      <w:t>ot</w:t>
    </w:r>
    <w:r w:rsidR="00415A39">
      <w:rPr>
        <w:rFonts w:ascii="Arial" w:hAnsi="Arial" w:cs="Arial"/>
        <w:b/>
        <w:u w:val="single"/>
      </w:rPr>
      <w:t xml:space="preserve"> </w:t>
    </w:r>
    <w:r w:rsidR="001B6A6E">
      <w:rPr>
        <w:rFonts w:ascii="Arial" w:hAnsi="Arial" w:cs="Arial"/>
        <w:b/>
        <w:u w:val="single"/>
      </w:rPr>
      <w:t>és a</w:t>
    </w:r>
    <w:r w:rsidR="00415A39">
      <w:rPr>
        <w:rFonts w:ascii="Arial" w:hAnsi="Arial" w:cs="Arial"/>
        <w:b/>
        <w:u w:val="single"/>
      </w:rPr>
      <w:t xml:space="preserve"> 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118D72A"/>
    <w:lvl w:ilvl="0">
      <w:numFmt w:val="bullet"/>
      <w:lvlText w:val="*"/>
      <w:lvlJc w:val="left"/>
    </w:lvl>
  </w:abstractNum>
  <w:abstractNum w:abstractNumId="1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A484B"/>
    <w:multiLevelType w:val="hybridMultilevel"/>
    <w:tmpl w:val="2BB6542A"/>
    <w:lvl w:ilvl="0" w:tplc="65E0DB1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097B"/>
    <w:multiLevelType w:val="hybridMultilevel"/>
    <w:tmpl w:val="509A7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1E0F"/>
    <w:multiLevelType w:val="hybridMultilevel"/>
    <w:tmpl w:val="DF6CBA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2886"/>
    <w:multiLevelType w:val="hybridMultilevel"/>
    <w:tmpl w:val="0470ACAC"/>
    <w:lvl w:ilvl="0" w:tplc="8416B19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B195B"/>
    <w:multiLevelType w:val="hybridMultilevel"/>
    <w:tmpl w:val="4928F6F6"/>
    <w:lvl w:ilvl="0" w:tplc="7E5AAB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95619"/>
    <w:multiLevelType w:val="hybridMultilevel"/>
    <w:tmpl w:val="FA38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C6D01"/>
    <w:multiLevelType w:val="hybridMultilevel"/>
    <w:tmpl w:val="5CF22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B5793"/>
    <w:multiLevelType w:val="hybridMultilevel"/>
    <w:tmpl w:val="B2CA958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6BEA"/>
    <w:multiLevelType w:val="hybridMultilevel"/>
    <w:tmpl w:val="1E0AD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F1A6D"/>
    <w:multiLevelType w:val="hybridMultilevel"/>
    <w:tmpl w:val="45261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77BF0"/>
    <w:multiLevelType w:val="hybridMultilevel"/>
    <w:tmpl w:val="2886EB14"/>
    <w:lvl w:ilvl="0" w:tplc="C096E558">
      <w:start w:val="20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46A2A"/>
    <w:multiLevelType w:val="hybridMultilevel"/>
    <w:tmpl w:val="3A7041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766"/>
    <w:multiLevelType w:val="hybridMultilevel"/>
    <w:tmpl w:val="DE68E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0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437A6"/>
    <w:multiLevelType w:val="hybridMultilevel"/>
    <w:tmpl w:val="181C5600"/>
    <w:lvl w:ilvl="0" w:tplc="596628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B7163E"/>
    <w:multiLevelType w:val="hybridMultilevel"/>
    <w:tmpl w:val="82CEA35A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4CC860F4"/>
    <w:multiLevelType w:val="hybridMultilevel"/>
    <w:tmpl w:val="4E66F67C"/>
    <w:lvl w:ilvl="0" w:tplc="1D3AB9A4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468AB"/>
    <w:multiLevelType w:val="hybridMultilevel"/>
    <w:tmpl w:val="845070E8"/>
    <w:lvl w:ilvl="0" w:tplc="8A3EE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50675"/>
    <w:multiLevelType w:val="hybridMultilevel"/>
    <w:tmpl w:val="30128F82"/>
    <w:lvl w:ilvl="0" w:tplc="040E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E23D1"/>
    <w:multiLevelType w:val="hybridMultilevel"/>
    <w:tmpl w:val="F6C482D6"/>
    <w:lvl w:ilvl="0" w:tplc="E514CF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2618F9"/>
    <w:multiLevelType w:val="multilevel"/>
    <w:tmpl w:val="6B24B47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50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7C5476"/>
    <w:multiLevelType w:val="hybridMultilevel"/>
    <w:tmpl w:val="FA286E24"/>
    <w:lvl w:ilvl="0" w:tplc="65A26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10CF7"/>
    <w:multiLevelType w:val="hybridMultilevel"/>
    <w:tmpl w:val="46F47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61608B"/>
    <w:multiLevelType w:val="hybridMultilevel"/>
    <w:tmpl w:val="F3324C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A20E7"/>
    <w:multiLevelType w:val="hybridMultilevel"/>
    <w:tmpl w:val="E326E24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35E71"/>
    <w:multiLevelType w:val="multilevel"/>
    <w:tmpl w:val="E35E2BF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424E33"/>
    <w:multiLevelType w:val="hybridMultilevel"/>
    <w:tmpl w:val="10BC6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50D4"/>
    <w:multiLevelType w:val="hybridMultilevel"/>
    <w:tmpl w:val="53AAF9EC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D132E0B"/>
    <w:multiLevelType w:val="hybridMultilevel"/>
    <w:tmpl w:val="81BCB1E4"/>
    <w:lvl w:ilvl="0" w:tplc="224AC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03011"/>
    <w:multiLevelType w:val="hybridMultilevel"/>
    <w:tmpl w:val="61A8E9C8"/>
    <w:lvl w:ilvl="0" w:tplc="257C9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014C0"/>
    <w:multiLevelType w:val="hybridMultilevel"/>
    <w:tmpl w:val="CD640240"/>
    <w:lvl w:ilvl="0" w:tplc="D5B082AE">
      <w:start w:val="2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4D01F52"/>
    <w:multiLevelType w:val="hybridMultilevel"/>
    <w:tmpl w:val="DD14D1A0"/>
    <w:lvl w:ilvl="0" w:tplc="5CBE672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5C139CF"/>
    <w:multiLevelType w:val="hybridMultilevel"/>
    <w:tmpl w:val="00C4D424"/>
    <w:lvl w:ilvl="0" w:tplc="709CA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923B6"/>
    <w:multiLevelType w:val="hybridMultilevel"/>
    <w:tmpl w:val="5E7C23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7"/>
  </w:num>
  <w:num w:numId="4">
    <w:abstractNumId w:val="39"/>
  </w:num>
  <w:num w:numId="5">
    <w:abstractNumId w:val="36"/>
  </w:num>
  <w:num w:numId="6">
    <w:abstractNumId w:val="1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7"/>
  </w:num>
  <w:num w:numId="10">
    <w:abstractNumId w:val="34"/>
  </w:num>
  <w:num w:numId="11">
    <w:abstractNumId w:val="10"/>
  </w:num>
  <w:num w:numId="12">
    <w:abstractNumId w:val="38"/>
  </w:num>
  <w:num w:numId="13">
    <w:abstractNumId w:val="45"/>
  </w:num>
  <w:num w:numId="14">
    <w:abstractNumId w:val="16"/>
  </w:num>
  <w:num w:numId="15">
    <w:abstractNumId w:val="42"/>
  </w:num>
  <w:num w:numId="16">
    <w:abstractNumId w:val="4"/>
  </w:num>
  <w:num w:numId="17">
    <w:abstractNumId w:val="30"/>
  </w:num>
  <w:num w:numId="18">
    <w:abstractNumId w:val="35"/>
  </w:num>
  <w:num w:numId="19">
    <w:abstractNumId w:val="27"/>
  </w:num>
  <w:num w:numId="20">
    <w:abstractNumId w:val="7"/>
  </w:num>
  <w:num w:numId="21">
    <w:abstractNumId w:val="41"/>
  </w:num>
  <w:num w:numId="22">
    <w:abstractNumId w:val="6"/>
  </w:num>
  <w:num w:numId="23">
    <w:abstractNumId w:val="1"/>
  </w:num>
  <w:num w:numId="24">
    <w:abstractNumId w:val="18"/>
  </w:num>
  <w:num w:numId="25">
    <w:abstractNumId w:val="33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Arial Unicode MS" w:hAnsi="Arial Unicode MS" w:hint="default"/>
        </w:rPr>
      </w:lvl>
    </w:lvlOverride>
  </w:num>
  <w:num w:numId="27">
    <w:abstractNumId w:val="20"/>
  </w:num>
  <w:num w:numId="28">
    <w:abstractNumId w:val="46"/>
  </w:num>
  <w:num w:numId="29">
    <w:abstractNumId w:val="40"/>
  </w:num>
  <w:num w:numId="30">
    <w:abstractNumId w:val="31"/>
  </w:num>
  <w:num w:numId="31">
    <w:abstractNumId w:val="43"/>
  </w:num>
  <w:num w:numId="32">
    <w:abstractNumId w:val="9"/>
  </w:num>
  <w:num w:numId="33">
    <w:abstractNumId w:val="11"/>
  </w:num>
  <w:num w:numId="34">
    <w:abstractNumId w:val="2"/>
  </w:num>
  <w:num w:numId="35">
    <w:abstractNumId w:val="26"/>
  </w:num>
  <w:num w:numId="36">
    <w:abstractNumId w:val="3"/>
  </w:num>
  <w:num w:numId="37">
    <w:abstractNumId w:val="28"/>
  </w:num>
  <w:num w:numId="38">
    <w:abstractNumId w:val="12"/>
  </w:num>
  <w:num w:numId="39">
    <w:abstractNumId w:val="23"/>
  </w:num>
  <w:num w:numId="40">
    <w:abstractNumId w:val="24"/>
  </w:num>
  <w:num w:numId="41">
    <w:abstractNumId w:val="21"/>
  </w:num>
  <w:num w:numId="42">
    <w:abstractNumId w:val="44"/>
  </w:num>
  <w:num w:numId="43">
    <w:abstractNumId w:val="5"/>
  </w:num>
  <w:num w:numId="44">
    <w:abstractNumId w:val="22"/>
  </w:num>
  <w:num w:numId="45">
    <w:abstractNumId w:val="14"/>
  </w:num>
  <w:num w:numId="46">
    <w:abstractNumId w:val="25"/>
  </w:num>
  <w:num w:numId="47">
    <w:abstractNumId w:val="1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5F6A"/>
    <w:rsid w:val="00015EC6"/>
    <w:rsid w:val="000320E2"/>
    <w:rsid w:val="00064202"/>
    <w:rsid w:val="000716E6"/>
    <w:rsid w:val="00073430"/>
    <w:rsid w:val="00086E9B"/>
    <w:rsid w:val="0009331D"/>
    <w:rsid w:val="000A46D0"/>
    <w:rsid w:val="000A4B7A"/>
    <w:rsid w:val="000A7C0E"/>
    <w:rsid w:val="000C593A"/>
    <w:rsid w:val="000D3A4A"/>
    <w:rsid w:val="000D5554"/>
    <w:rsid w:val="000D633D"/>
    <w:rsid w:val="000D7BDA"/>
    <w:rsid w:val="000F0700"/>
    <w:rsid w:val="00100300"/>
    <w:rsid w:val="00125893"/>
    <w:rsid w:val="00132161"/>
    <w:rsid w:val="0013693B"/>
    <w:rsid w:val="001410CA"/>
    <w:rsid w:val="00142FFC"/>
    <w:rsid w:val="00161AB0"/>
    <w:rsid w:val="001667E8"/>
    <w:rsid w:val="00167773"/>
    <w:rsid w:val="0017416B"/>
    <w:rsid w:val="00180A67"/>
    <w:rsid w:val="00181799"/>
    <w:rsid w:val="00183863"/>
    <w:rsid w:val="0019020B"/>
    <w:rsid w:val="00191223"/>
    <w:rsid w:val="001912DF"/>
    <w:rsid w:val="001A4648"/>
    <w:rsid w:val="001B201C"/>
    <w:rsid w:val="001B6A6E"/>
    <w:rsid w:val="001C1DBE"/>
    <w:rsid w:val="001D7C88"/>
    <w:rsid w:val="0020185A"/>
    <w:rsid w:val="002258A0"/>
    <w:rsid w:val="00226FD1"/>
    <w:rsid w:val="00241D51"/>
    <w:rsid w:val="002554A1"/>
    <w:rsid w:val="0028643C"/>
    <w:rsid w:val="00297271"/>
    <w:rsid w:val="002B6FCF"/>
    <w:rsid w:val="002E0E60"/>
    <w:rsid w:val="002F19A4"/>
    <w:rsid w:val="00300CE9"/>
    <w:rsid w:val="00310FD4"/>
    <w:rsid w:val="00313387"/>
    <w:rsid w:val="00325973"/>
    <w:rsid w:val="0032649B"/>
    <w:rsid w:val="0034130E"/>
    <w:rsid w:val="00347208"/>
    <w:rsid w:val="00356256"/>
    <w:rsid w:val="00360314"/>
    <w:rsid w:val="00365E01"/>
    <w:rsid w:val="0037266A"/>
    <w:rsid w:val="00377598"/>
    <w:rsid w:val="003842B4"/>
    <w:rsid w:val="0038715A"/>
    <w:rsid w:val="00387E79"/>
    <w:rsid w:val="003B3A2C"/>
    <w:rsid w:val="003B6236"/>
    <w:rsid w:val="003C01F7"/>
    <w:rsid w:val="003D0397"/>
    <w:rsid w:val="003E139C"/>
    <w:rsid w:val="00403907"/>
    <w:rsid w:val="00412577"/>
    <w:rsid w:val="00415A39"/>
    <w:rsid w:val="00430EA9"/>
    <w:rsid w:val="00433AAA"/>
    <w:rsid w:val="00444A77"/>
    <w:rsid w:val="00466503"/>
    <w:rsid w:val="00485221"/>
    <w:rsid w:val="004A5006"/>
    <w:rsid w:val="004D04E2"/>
    <w:rsid w:val="004D3748"/>
    <w:rsid w:val="004D6C92"/>
    <w:rsid w:val="00504834"/>
    <w:rsid w:val="00514CD3"/>
    <w:rsid w:val="00522E82"/>
    <w:rsid w:val="0052511C"/>
    <w:rsid w:val="005321D7"/>
    <w:rsid w:val="005408AF"/>
    <w:rsid w:val="00541CCC"/>
    <w:rsid w:val="00566A2A"/>
    <w:rsid w:val="00566BE3"/>
    <w:rsid w:val="005B0470"/>
    <w:rsid w:val="005B3EF7"/>
    <w:rsid w:val="005B6A8E"/>
    <w:rsid w:val="005C29A6"/>
    <w:rsid w:val="005C2C6C"/>
    <w:rsid w:val="005D0011"/>
    <w:rsid w:val="005E3DB0"/>
    <w:rsid w:val="005E5278"/>
    <w:rsid w:val="005F1673"/>
    <w:rsid w:val="005F19FE"/>
    <w:rsid w:val="0061287F"/>
    <w:rsid w:val="00617F93"/>
    <w:rsid w:val="00626663"/>
    <w:rsid w:val="00635388"/>
    <w:rsid w:val="0063550A"/>
    <w:rsid w:val="00641613"/>
    <w:rsid w:val="00650452"/>
    <w:rsid w:val="00663D8C"/>
    <w:rsid w:val="00664992"/>
    <w:rsid w:val="006721B8"/>
    <w:rsid w:val="00673677"/>
    <w:rsid w:val="0067672C"/>
    <w:rsid w:val="00676C85"/>
    <w:rsid w:val="00686374"/>
    <w:rsid w:val="0069687B"/>
    <w:rsid w:val="006A73A5"/>
    <w:rsid w:val="006B5218"/>
    <w:rsid w:val="006B7F05"/>
    <w:rsid w:val="006C4D12"/>
    <w:rsid w:val="006D1CFC"/>
    <w:rsid w:val="007117A9"/>
    <w:rsid w:val="00715E6A"/>
    <w:rsid w:val="007326FF"/>
    <w:rsid w:val="00733290"/>
    <w:rsid w:val="00744BE8"/>
    <w:rsid w:val="007578C9"/>
    <w:rsid w:val="00787344"/>
    <w:rsid w:val="007878A1"/>
    <w:rsid w:val="007908F7"/>
    <w:rsid w:val="007A0E65"/>
    <w:rsid w:val="007A7F9C"/>
    <w:rsid w:val="007B2FF9"/>
    <w:rsid w:val="007B4FA9"/>
    <w:rsid w:val="007B6507"/>
    <w:rsid w:val="007C1A33"/>
    <w:rsid w:val="007C40AF"/>
    <w:rsid w:val="007D3BE4"/>
    <w:rsid w:val="007D3EB6"/>
    <w:rsid w:val="007D6621"/>
    <w:rsid w:val="007F2F31"/>
    <w:rsid w:val="00802766"/>
    <w:rsid w:val="00812FF7"/>
    <w:rsid w:val="0082660D"/>
    <w:rsid w:val="00834A26"/>
    <w:rsid w:val="008728D0"/>
    <w:rsid w:val="008A3A28"/>
    <w:rsid w:val="008B42D6"/>
    <w:rsid w:val="008B5CB0"/>
    <w:rsid w:val="008C4D8C"/>
    <w:rsid w:val="008E77DC"/>
    <w:rsid w:val="008F70FB"/>
    <w:rsid w:val="009168CE"/>
    <w:rsid w:val="00927BF6"/>
    <w:rsid w:val="009348EA"/>
    <w:rsid w:val="00937CFE"/>
    <w:rsid w:val="00945E4E"/>
    <w:rsid w:val="0096279B"/>
    <w:rsid w:val="00977162"/>
    <w:rsid w:val="00994671"/>
    <w:rsid w:val="009A76DF"/>
    <w:rsid w:val="009B0B46"/>
    <w:rsid w:val="009B5040"/>
    <w:rsid w:val="00A10090"/>
    <w:rsid w:val="00A27ECE"/>
    <w:rsid w:val="00A426ED"/>
    <w:rsid w:val="00A529CF"/>
    <w:rsid w:val="00A6071A"/>
    <w:rsid w:val="00A7633E"/>
    <w:rsid w:val="00AB7B31"/>
    <w:rsid w:val="00AD08CD"/>
    <w:rsid w:val="00AE14C5"/>
    <w:rsid w:val="00AE4598"/>
    <w:rsid w:val="00B103B4"/>
    <w:rsid w:val="00B26F8C"/>
    <w:rsid w:val="00B27192"/>
    <w:rsid w:val="00B37373"/>
    <w:rsid w:val="00B43540"/>
    <w:rsid w:val="00B610E8"/>
    <w:rsid w:val="00B92D94"/>
    <w:rsid w:val="00BA710A"/>
    <w:rsid w:val="00BB5ACC"/>
    <w:rsid w:val="00BC46F6"/>
    <w:rsid w:val="00BE370B"/>
    <w:rsid w:val="00C12E3E"/>
    <w:rsid w:val="00C71580"/>
    <w:rsid w:val="00C8497D"/>
    <w:rsid w:val="00CA3378"/>
    <w:rsid w:val="00CA483B"/>
    <w:rsid w:val="00CB1D08"/>
    <w:rsid w:val="00CE082E"/>
    <w:rsid w:val="00CE7703"/>
    <w:rsid w:val="00CF0883"/>
    <w:rsid w:val="00D27104"/>
    <w:rsid w:val="00D43444"/>
    <w:rsid w:val="00D43508"/>
    <w:rsid w:val="00D54DF8"/>
    <w:rsid w:val="00D713B0"/>
    <w:rsid w:val="00D76307"/>
    <w:rsid w:val="00D77A22"/>
    <w:rsid w:val="00D828DF"/>
    <w:rsid w:val="00D9126F"/>
    <w:rsid w:val="00D94EDC"/>
    <w:rsid w:val="00DA0BCF"/>
    <w:rsid w:val="00DA14B3"/>
    <w:rsid w:val="00DA655E"/>
    <w:rsid w:val="00DC3624"/>
    <w:rsid w:val="00DE0F0B"/>
    <w:rsid w:val="00DE381E"/>
    <w:rsid w:val="00E02562"/>
    <w:rsid w:val="00E05BAB"/>
    <w:rsid w:val="00E4079A"/>
    <w:rsid w:val="00E5165C"/>
    <w:rsid w:val="00E51C6E"/>
    <w:rsid w:val="00E542E9"/>
    <w:rsid w:val="00E63CDA"/>
    <w:rsid w:val="00E72A17"/>
    <w:rsid w:val="00E75C88"/>
    <w:rsid w:val="00E75F33"/>
    <w:rsid w:val="00E82F69"/>
    <w:rsid w:val="00E950D2"/>
    <w:rsid w:val="00E975E7"/>
    <w:rsid w:val="00EB56E1"/>
    <w:rsid w:val="00EB5AF8"/>
    <w:rsid w:val="00EB5CC4"/>
    <w:rsid w:val="00EC269B"/>
    <w:rsid w:val="00EC4F94"/>
    <w:rsid w:val="00EC7C11"/>
    <w:rsid w:val="00ED1659"/>
    <w:rsid w:val="00ED1F0B"/>
    <w:rsid w:val="00F10378"/>
    <w:rsid w:val="00F1397E"/>
    <w:rsid w:val="00F17E03"/>
    <w:rsid w:val="00F26FF2"/>
    <w:rsid w:val="00F368A0"/>
    <w:rsid w:val="00F402A5"/>
    <w:rsid w:val="00F46FFD"/>
    <w:rsid w:val="00F5666D"/>
    <w:rsid w:val="00F7117F"/>
    <w:rsid w:val="00F84C58"/>
    <w:rsid w:val="00F97F1D"/>
    <w:rsid w:val="00FB3618"/>
    <w:rsid w:val="00FC490A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Szvegtrzs">
    <w:name w:val="Body Text"/>
    <w:basedOn w:val="Norml"/>
    <w:link w:val="SzvegtrzsChar"/>
    <w:rsid w:val="000D3A4A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0D3A4A"/>
    <w:rPr>
      <w:rFonts w:ascii="Arial" w:hAnsi="Arial"/>
      <w:sz w:val="24"/>
    </w:rPr>
  </w:style>
  <w:style w:type="paragraph" w:styleId="NormlWeb">
    <w:name w:val="Normal (Web)"/>
    <w:basedOn w:val="Norml"/>
    <w:uiPriority w:val="99"/>
    <w:unhideWhenUsed/>
    <w:rsid w:val="00E4079A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183863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DA0BCF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rsid w:val="00DA0BCF"/>
    <w:rPr>
      <w:rFonts w:ascii="Arial" w:hAnsi="Arial" w:cs="Arial"/>
      <w:b/>
      <w:bCs/>
      <w:sz w:val="24"/>
      <w:szCs w:val="24"/>
    </w:rPr>
  </w:style>
  <w:style w:type="paragraph" w:customStyle="1" w:styleId="Szvegtrzsbehzssal21">
    <w:name w:val="Szövegtörzs behúzással 21"/>
    <w:basedOn w:val="Norml"/>
    <w:rsid w:val="00DA0BCF"/>
    <w:pPr>
      <w:suppressAutoHyphens/>
      <w:ind w:left="570" w:hanging="57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25BDE-4BF5-438F-92D7-C6C9CBD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Anita</cp:lastModifiedBy>
  <cp:revision>3</cp:revision>
  <cp:lastPrinted>2020-09-15T13:33:00Z</cp:lastPrinted>
  <dcterms:created xsi:type="dcterms:W3CDTF">2020-09-17T12:41:00Z</dcterms:created>
  <dcterms:modified xsi:type="dcterms:W3CDTF">2020-09-17T12:42:00Z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