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C" w:rsidRPr="007C76DC" w:rsidRDefault="002759FC" w:rsidP="002759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16</w:t>
      </w:r>
      <w:r w:rsidRPr="007C76DC">
        <w:rPr>
          <w:b/>
          <w:sz w:val="24"/>
          <w:u w:val="single"/>
        </w:rPr>
        <w:t>/2019.(XI.26.) KOCB számú határozat</w:t>
      </w:r>
    </w:p>
    <w:p w:rsidR="002759FC" w:rsidRDefault="002759FC" w:rsidP="002759FC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2759FC" w:rsidRDefault="002759FC" w:rsidP="002759FC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Kulturális, Oktatási és Civil Bizottság a „Javaslat az önkormányzat által alapított alapítványokkal kapcsolatos döntések meghozatalára” című előterjesztést megtárgyalta, és javasolja, hogy a „Szombathely Szent Márton városa” </w:t>
      </w:r>
      <w:proofErr w:type="spellStart"/>
      <w:r>
        <w:rPr>
          <w:rFonts w:cs="Arial"/>
          <w:sz w:val="24"/>
          <w:szCs w:val="20"/>
        </w:rPr>
        <w:t>Gyebrovszki</w:t>
      </w:r>
      <w:proofErr w:type="spellEnd"/>
      <w:r>
        <w:rPr>
          <w:rFonts w:cs="Arial"/>
          <w:sz w:val="24"/>
          <w:szCs w:val="20"/>
        </w:rPr>
        <w:t xml:space="preserve"> János Alapítvány kuratóriuma új tagjainak megválasztásáról szóló II. határozati javaslat 2. pontjában foglalt személyi kérdésben </w:t>
      </w:r>
      <w:r w:rsidRPr="00057156">
        <w:rPr>
          <w:rFonts w:cs="Arial"/>
          <w:sz w:val="24"/>
          <w:szCs w:val="20"/>
        </w:rPr>
        <w:t xml:space="preserve">szóbeli előterjesztés alapján a Közgyűlés döntsön. </w:t>
      </w:r>
    </w:p>
    <w:p w:rsidR="002759FC" w:rsidRDefault="002759FC" w:rsidP="002759FC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2759FC" w:rsidRDefault="002759FC" w:rsidP="002759F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2759FC" w:rsidRDefault="002759FC" w:rsidP="002759F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2759FC" w:rsidRDefault="002759FC" w:rsidP="002759F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2759FC" w:rsidRDefault="002759FC" w:rsidP="002759FC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2759FC" w:rsidRDefault="002759FC" w:rsidP="002759F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C"/>
    <w:rsid w:val="001D6B44"/>
    <w:rsid w:val="002759FC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4DC8-E3EC-4F7E-8205-F8D8DE27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9F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2019-12-03T12:57:00Z</dcterms:created>
  <dcterms:modified xsi:type="dcterms:W3CDTF">2019-12-03T12:57:00Z</dcterms:modified>
</cp:coreProperties>
</file>