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Pr="00376598" w:rsidRDefault="00D2334E" w:rsidP="00764B7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B37FD" w:rsidRPr="00376598" w:rsidRDefault="00565090" w:rsidP="009B37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SÜRGŐSSÉGI INDÍTVÁNY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B37FD" w:rsidRPr="00376598" w:rsidRDefault="009B37FD" w:rsidP="009B37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 xml:space="preserve">A Gazdasági és Városstratégiai Bizottság 2019. </w:t>
      </w:r>
      <w:r w:rsidR="00187EF9" w:rsidRPr="00376598">
        <w:rPr>
          <w:rFonts w:ascii="Arial" w:hAnsi="Arial" w:cs="Arial"/>
          <w:b/>
          <w:sz w:val="22"/>
          <w:szCs w:val="22"/>
          <w:u w:val="single"/>
        </w:rPr>
        <w:t>augusztus</w:t>
      </w:r>
      <w:r w:rsidRPr="0037659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87EF9" w:rsidRPr="00376598">
        <w:rPr>
          <w:rFonts w:ascii="Arial" w:hAnsi="Arial" w:cs="Arial"/>
          <w:b/>
          <w:sz w:val="22"/>
          <w:szCs w:val="22"/>
          <w:u w:val="single"/>
        </w:rPr>
        <w:t>2</w:t>
      </w:r>
      <w:r w:rsidR="00EF79F9" w:rsidRPr="00376598">
        <w:rPr>
          <w:rFonts w:ascii="Arial" w:hAnsi="Arial" w:cs="Arial"/>
          <w:b/>
          <w:sz w:val="22"/>
          <w:szCs w:val="22"/>
          <w:u w:val="single"/>
        </w:rPr>
        <w:t>1</w:t>
      </w:r>
      <w:r w:rsidRPr="00376598">
        <w:rPr>
          <w:rFonts w:ascii="Arial" w:hAnsi="Arial" w:cs="Arial"/>
          <w:b/>
          <w:sz w:val="22"/>
          <w:szCs w:val="22"/>
          <w:u w:val="single"/>
        </w:rPr>
        <w:t xml:space="preserve">-i </w:t>
      </w:r>
      <w:r w:rsidR="00565090">
        <w:rPr>
          <w:rFonts w:ascii="Arial" w:hAnsi="Arial" w:cs="Arial"/>
          <w:b/>
          <w:sz w:val="22"/>
          <w:szCs w:val="22"/>
          <w:u w:val="single"/>
        </w:rPr>
        <w:t xml:space="preserve">rendkívüli </w:t>
      </w:r>
      <w:r w:rsidRPr="00376598">
        <w:rPr>
          <w:rFonts w:ascii="Arial" w:hAnsi="Arial" w:cs="Arial"/>
          <w:b/>
          <w:sz w:val="22"/>
          <w:szCs w:val="22"/>
          <w:u w:val="single"/>
        </w:rPr>
        <w:t>ülésére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B37FD" w:rsidRPr="00376598" w:rsidRDefault="009B37FD" w:rsidP="009B37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>Javaslat az 5688/1 hrsz-ú ingatlanon fennálló elővásárlási jog gyakorlásával kapcsolatos döntéshozatalra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sz w:val="22"/>
          <w:szCs w:val="22"/>
        </w:rPr>
      </w:pP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  <w:r w:rsidRPr="00376598">
        <w:rPr>
          <w:szCs w:val="22"/>
        </w:rPr>
        <w:t xml:space="preserve">Szombathely Megyei Jogú Város Közgyűlése a 23/2008. (X. 31.) számú rendeletével módosította a Szombathely Megyei Jogú Város Helyi Építési Szabályzatáról, valamint Szabályozási Tervének jóváhagyásáról szóló 30/2006. (IX. 7.) számú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  <w:r w:rsidRPr="00376598"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376598">
        <w:rPr>
          <w:szCs w:val="22"/>
        </w:rPr>
        <w:t>Étv</w:t>
      </w:r>
      <w:proofErr w:type="spellEnd"/>
      <w:r w:rsidRPr="00376598">
        <w:rPr>
          <w:szCs w:val="22"/>
        </w:rPr>
        <w:t xml:space="preserve">. </w:t>
      </w:r>
      <w:r w:rsidRPr="00376598">
        <w:rPr>
          <w:szCs w:val="22"/>
        </w:rPr>
        <w:br/>
        <w:t>17. §-</w:t>
      </w:r>
      <w:proofErr w:type="spellStart"/>
      <w:r w:rsidRPr="00376598">
        <w:rPr>
          <w:szCs w:val="22"/>
        </w:rPr>
        <w:t>ában</w:t>
      </w:r>
      <w:proofErr w:type="spellEnd"/>
      <w:r w:rsidRPr="00376598">
        <w:rPr>
          <w:szCs w:val="22"/>
        </w:rPr>
        <w:t xml:space="preserve"> az önkormányzat számára sajátos jogintézményként biztosított, az </w:t>
      </w:r>
      <w:proofErr w:type="spellStart"/>
      <w:r w:rsidRPr="00376598">
        <w:rPr>
          <w:szCs w:val="22"/>
        </w:rPr>
        <w:t>Étv</w:t>
      </w:r>
      <w:proofErr w:type="spellEnd"/>
      <w:r w:rsidRPr="00376598">
        <w:rPr>
          <w:szCs w:val="22"/>
        </w:rPr>
        <w:t xml:space="preserve">. </w:t>
      </w:r>
      <w:r w:rsidRPr="00376598">
        <w:rPr>
          <w:szCs w:val="22"/>
        </w:rPr>
        <w:br/>
        <w:t>25. §-</w:t>
      </w:r>
      <w:proofErr w:type="spellStart"/>
      <w:r w:rsidRPr="00376598">
        <w:rPr>
          <w:szCs w:val="22"/>
        </w:rPr>
        <w:t>ában</w:t>
      </w:r>
      <w:proofErr w:type="spellEnd"/>
      <w:r w:rsidRPr="00376598">
        <w:rPr>
          <w:szCs w:val="22"/>
        </w:rPr>
        <w:t xml:space="preserve"> részletezett elővásárlási jog bejegyzését.” </w:t>
      </w: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  <w:r w:rsidRPr="00376598">
        <w:rPr>
          <w:szCs w:val="22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 w:rsidRPr="00376598">
        <w:rPr>
          <w:szCs w:val="22"/>
        </w:rPr>
        <w:t>Étv</w:t>
      </w:r>
      <w:proofErr w:type="spellEnd"/>
      <w:r w:rsidRPr="00376598">
        <w:rPr>
          <w:szCs w:val="22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  <w:r w:rsidRPr="00376598">
        <w:rPr>
          <w:szCs w:val="22"/>
        </w:rPr>
        <w:t xml:space="preserve">A rendezési tervben az elővásárlási joggal érintett területek bejelölésre kerültek. Ezen ingatlanok közé tartozik az </w:t>
      </w:r>
      <w:proofErr w:type="spellStart"/>
      <w:r w:rsidRPr="00376598">
        <w:rPr>
          <w:szCs w:val="22"/>
        </w:rPr>
        <w:t>Óperint</w:t>
      </w:r>
      <w:proofErr w:type="spellEnd"/>
      <w:r w:rsidRPr="00376598">
        <w:rPr>
          <w:szCs w:val="22"/>
        </w:rPr>
        <w:t xml:space="preserve"> u. 16. szám alatti ingatlan mögött található 5688/1 hrsz-ú „kivett beépítetlen terület” megnevezésű ingatlan is, amely „védett” terület. </w:t>
      </w:r>
      <w:r w:rsidR="00187EF9" w:rsidRPr="00376598">
        <w:rPr>
          <w:szCs w:val="22"/>
        </w:rPr>
        <w:t xml:space="preserve"> </w:t>
      </w:r>
    </w:p>
    <w:p w:rsidR="00187EF9" w:rsidRPr="00376598" w:rsidRDefault="00187EF9" w:rsidP="009B37FD">
      <w:pPr>
        <w:pStyle w:val="Szvegtrzs"/>
        <w:tabs>
          <w:tab w:val="left" w:pos="6120"/>
        </w:tabs>
        <w:rPr>
          <w:szCs w:val="22"/>
        </w:rPr>
      </w:pPr>
    </w:p>
    <w:p w:rsidR="009B37FD" w:rsidRPr="00376598" w:rsidRDefault="009B37FD" w:rsidP="009B37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>Dr. Horváth Attila ügyvéd kérelmet nyújtott be önkormányzatunkhoz, melyben Boros Anikó és Molnár Ferenc tulajdonában álló fenti ingatlan tulajdoni illetőség</w:t>
      </w:r>
      <w:r w:rsidR="00187EF9" w:rsidRPr="00376598">
        <w:rPr>
          <w:rFonts w:ascii="Arial" w:hAnsi="Arial" w:cs="Arial"/>
          <w:sz w:val="22"/>
          <w:szCs w:val="22"/>
        </w:rPr>
        <w:t>é</w:t>
      </w:r>
      <w:r w:rsidRPr="00376598">
        <w:rPr>
          <w:rFonts w:ascii="Arial" w:hAnsi="Arial" w:cs="Arial"/>
          <w:sz w:val="22"/>
          <w:szCs w:val="22"/>
        </w:rPr>
        <w:t>re megkötött adásvételi szerződés alapján kérte önkormányzatunk nyilatkozatát az elővásárlási jogával kapcsolatban. Az ingatlan tulajdoni lapján ugyanis 2008. december 5. napjától kezdve szerepel a Szombathely Megyei Jogú Város Önkormányzata javára bejegyzett elővásárlási jog.</w:t>
      </w:r>
    </w:p>
    <w:p w:rsidR="009B37FD" w:rsidRPr="00376598" w:rsidRDefault="009B37FD" w:rsidP="009B37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 xml:space="preserve"> A HÉSZ 3. számú melléklete alapján az 5688/1 hrsz-ú ingatlanra önkormányzatunk elővásárlási joga „az infrastrukturális erőforrások optimális kihasználása” céljából áll fenn.</w:t>
      </w: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</w:p>
    <w:p w:rsidR="00187EF9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 xml:space="preserve">Az adásvételi szerződés Boros Anikó (Szombathely, Bólyai J. u. 3.), valamint Molnár Ferenc (Szombathely, </w:t>
      </w:r>
      <w:proofErr w:type="spellStart"/>
      <w:r w:rsidRPr="00376598">
        <w:rPr>
          <w:rFonts w:ascii="Arial" w:hAnsi="Arial" w:cs="Arial"/>
          <w:sz w:val="22"/>
          <w:szCs w:val="22"/>
        </w:rPr>
        <w:t>Bejczy</w:t>
      </w:r>
      <w:proofErr w:type="spellEnd"/>
      <w:r w:rsidRPr="00376598">
        <w:rPr>
          <w:rFonts w:ascii="Arial" w:hAnsi="Arial" w:cs="Arial"/>
          <w:sz w:val="22"/>
          <w:szCs w:val="22"/>
        </w:rPr>
        <w:t xml:space="preserve"> I. u. 1-3.) mint eladók és </w:t>
      </w:r>
      <w:r w:rsidR="00187EF9" w:rsidRPr="00376598">
        <w:rPr>
          <w:rFonts w:ascii="Arial" w:hAnsi="Arial" w:cs="Arial"/>
          <w:sz w:val="22"/>
          <w:szCs w:val="22"/>
        </w:rPr>
        <w:t>Magyar Zoltán (Szombathely Angyal u. 9.), mint vevő között jött létre, fenti ingatlan 650/10000 tulajdoni hányadára vonatkozóan.</w:t>
      </w:r>
    </w:p>
    <w:p w:rsidR="00187EF9" w:rsidRPr="00376598" w:rsidRDefault="00187EF9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 xml:space="preserve">Az tulajdoni hányad vételára </w:t>
      </w:r>
      <w:proofErr w:type="gramStart"/>
      <w:r w:rsidRPr="00376598">
        <w:rPr>
          <w:rFonts w:ascii="Arial" w:hAnsi="Arial" w:cs="Arial"/>
          <w:sz w:val="22"/>
          <w:szCs w:val="22"/>
        </w:rPr>
        <w:t>1.300.000,-</w:t>
      </w:r>
      <w:proofErr w:type="gramEnd"/>
      <w:r w:rsidRPr="00376598">
        <w:rPr>
          <w:rFonts w:ascii="Arial" w:hAnsi="Arial" w:cs="Arial"/>
          <w:sz w:val="22"/>
          <w:szCs w:val="22"/>
        </w:rPr>
        <w:t>Ft, azaz Egymillió-háromszázezer Forint.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lastRenderedPageBreak/>
        <w:t xml:space="preserve">A 83/2009. (II. 26.) Kgy. számú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számú rendelet 8. § (1) bekezdés a) pontja szerint – a vételi ajánlatban meghatározott vételár (ügyleti érték) figyelembevételével – a tulajdonosi jogok gyakorlására jogosult személy vagy szerv hozza meg. </w:t>
      </w:r>
      <w:r w:rsidR="00CF0C29">
        <w:rPr>
          <w:rFonts w:ascii="Arial" w:hAnsi="Arial" w:cs="Arial"/>
          <w:sz w:val="22"/>
          <w:szCs w:val="22"/>
        </w:rPr>
        <w:t>J</w:t>
      </w:r>
      <w:r w:rsidRPr="00376598">
        <w:rPr>
          <w:rFonts w:ascii="Arial" w:hAnsi="Arial" w:cs="Arial"/>
          <w:sz w:val="22"/>
          <w:szCs w:val="22"/>
        </w:rPr>
        <w:t>elen esetben – figyelem</w:t>
      </w:r>
      <w:r w:rsidR="00187EF9" w:rsidRPr="00376598">
        <w:rPr>
          <w:rFonts w:ascii="Arial" w:hAnsi="Arial" w:cs="Arial"/>
          <w:sz w:val="22"/>
          <w:szCs w:val="22"/>
        </w:rPr>
        <w:t>mel</w:t>
      </w:r>
      <w:r w:rsidRPr="00376598">
        <w:rPr>
          <w:rFonts w:ascii="Arial" w:hAnsi="Arial" w:cs="Arial"/>
          <w:sz w:val="22"/>
          <w:szCs w:val="22"/>
        </w:rPr>
        <w:t xml:space="preserve"> </w:t>
      </w:r>
      <w:r w:rsidR="00187EF9" w:rsidRPr="00376598">
        <w:rPr>
          <w:rFonts w:ascii="Arial" w:hAnsi="Arial" w:cs="Arial"/>
          <w:sz w:val="22"/>
          <w:szCs w:val="22"/>
        </w:rPr>
        <w:t xml:space="preserve">az </w:t>
      </w:r>
      <w:proofErr w:type="gramStart"/>
      <w:r w:rsidR="00187EF9" w:rsidRPr="00376598">
        <w:rPr>
          <w:rFonts w:ascii="Arial" w:hAnsi="Arial" w:cs="Arial"/>
          <w:sz w:val="22"/>
          <w:szCs w:val="22"/>
        </w:rPr>
        <w:t>1.300.000</w:t>
      </w:r>
      <w:r w:rsidRPr="00376598">
        <w:rPr>
          <w:rFonts w:ascii="Arial" w:hAnsi="Arial" w:cs="Arial"/>
          <w:sz w:val="22"/>
          <w:szCs w:val="22"/>
        </w:rPr>
        <w:t>,-</w:t>
      </w:r>
      <w:proofErr w:type="gramEnd"/>
      <w:r w:rsidRPr="00376598">
        <w:rPr>
          <w:rFonts w:ascii="Arial" w:hAnsi="Arial" w:cs="Arial"/>
          <w:sz w:val="22"/>
          <w:szCs w:val="22"/>
        </w:rPr>
        <w:t xml:space="preserve"> Ft-os vételárra  – a rendelet 8. § (1) bekezdés a) pontja alapján a Polgármester gyakorolja a tulajdonosi jogokat.</w:t>
      </w:r>
    </w:p>
    <w:p w:rsidR="009B37FD" w:rsidRPr="00376598" w:rsidRDefault="009B37FD" w:rsidP="009B37FD">
      <w:pPr>
        <w:pStyle w:val="Szvegtrzs"/>
        <w:rPr>
          <w:szCs w:val="22"/>
        </w:rPr>
      </w:pPr>
    </w:p>
    <w:p w:rsidR="009B37FD" w:rsidRPr="00376598" w:rsidRDefault="009B37FD" w:rsidP="009B37FD">
      <w:pPr>
        <w:pStyle w:val="Szvegtrzs"/>
        <w:rPr>
          <w:szCs w:val="22"/>
        </w:rPr>
      </w:pPr>
      <w:r w:rsidRPr="00376598">
        <w:rPr>
          <w:szCs w:val="22"/>
        </w:rPr>
        <w:t>Szombathely Megyei Jogú Város Önkormányzatának Szervezeti és Működési Szabályzatáról szóló 34/2014.(XI.3.) önkormányzati rendelete alapján a korábbi Városfejlesztési-, Üzemeltetési és Környezetvédelmi Bizottság hatáskörét a Gazdasági és Városstratégiai Bizottság</w:t>
      </w:r>
      <w:r w:rsidRPr="00376598">
        <w:rPr>
          <w:bCs/>
          <w:szCs w:val="22"/>
        </w:rPr>
        <w:t xml:space="preserve"> </w:t>
      </w:r>
      <w:r w:rsidRPr="00376598">
        <w:rPr>
          <w:szCs w:val="22"/>
        </w:rPr>
        <w:t>ve</w:t>
      </w:r>
      <w:r w:rsidR="00CF0C29">
        <w:rPr>
          <w:szCs w:val="22"/>
        </w:rPr>
        <w:t>tte</w:t>
      </w:r>
      <w:r w:rsidRPr="00376598">
        <w:rPr>
          <w:szCs w:val="22"/>
        </w:rPr>
        <w:t xml:space="preserve"> át. 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>Mindezek alapján a</w:t>
      </w:r>
      <w:r w:rsidRPr="00376598">
        <w:rPr>
          <w:rFonts w:ascii="Arial" w:hAnsi="Arial" w:cs="Arial"/>
          <w:bCs/>
          <w:sz w:val="22"/>
          <w:szCs w:val="22"/>
        </w:rPr>
        <w:t xml:space="preserve"> </w:t>
      </w:r>
      <w:r w:rsidRPr="00376598">
        <w:rPr>
          <w:rFonts w:ascii="Arial" w:hAnsi="Arial" w:cs="Arial"/>
          <w:sz w:val="22"/>
          <w:szCs w:val="22"/>
        </w:rPr>
        <w:t>Gazdasági és Városstratégiai Bizottság</w:t>
      </w:r>
      <w:r w:rsidRPr="00376598">
        <w:rPr>
          <w:rFonts w:ascii="Arial" w:hAnsi="Arial" w:cs="Arial"/>
          <w:bCs/>
          <w:sz w:val="22"/>
          <w:szCs w:val="22"/>
        </w:rPr>
        <w:t xml:space="preserve"> véleménye alapján lehet meghozni a döntést abban a kérdésben, hogy az önk</w:t>
      </w:r>
      <w:r w:rsidRPr="00376598">
        <w:rPr>
          <w:rFonts w:ascii="Arial" w:hAnsi="Arial" w:cs="Arial"/>
          <w:sz w:val="22"/>
          <w:szCs w:val="22"/>
        </w:rPr>
        <w:t xml:space="preserve">ormányzat a konkrét vételi ajánlatot, elfogadja-e és az elővásárlási jogával kíván-e élni. 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376598">
      <w:pPr>
        <w:pStyle w:val="Szvegtrzs"/>
        <w:rPr>
          <w:szCs w:val="22"/>
        </w:rPr>
      </w:pPr>
      <w:r w:rsidRPr="00376598">
        <w:rPr>
          <w:szCs w:val="22"/>
        </w:rPr>
        <w:t xml:space="preserve">Tájékoztatom a Tisztelt Bizottságot arról is, hogy a szóban forgó elővásárlási joggal érintett ingatlan megvásárlására önkormányzatunk a költségvetésében nem biztosított önálló soron fedezetet. Ezért jelenleg nem adottak a feltételei annak, hogy az önkormányzat elővásárlási jogával élve ingatlant vásároljon. 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565090" w:rsidRDefault="00565090" w:rsidP="005650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Tisztelt Bizottságot, hogy az SZMSZ 14. §-a alapján a javaslatot sürgősségi indítványként felvenni, az előterjesztést megtárgyalni, és a határozati javaslatban foglaltak szerint dönteni szíveskedjék.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 xml:space="preserve">Szombathely, 2019. </w:t>
      </w:r>
      <w:r w:rsidR="00376598" w:rsidRPr="00376598">
        <w:rPr>
          <w:rFonts w:ascii="Arial" w:hAnsi="Arial" w:cs="Arial"/>
          <w:sz w:val="22"/>
          <w:szCs w:val="22"/>
        </w:rPr>
        <w:t>augusztus 21.</w:t>
      </w:r>
    </w:p>
    <w:p w:rsidR="00376598" w:rsidRPr="00376598" w:rsidRDefault="00376598" w:rsidP="009B37FD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376598" w:rsidRPr="00376598" w:rsidRDefault="00376598" w:rsidP="009B37FD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ab/>
      </w:r>
      <w:r w:rsidRPr="00376598">
        <w:rPr>
          <w:rFonts w:ascii="Arial" w:hAnsi="Arial" w:cs="Arial"/>
          <w:sz w:val="22"/>
          <w:szCs w:val="22"/>
        </w:rPr>
        <w:tab/>
      </w:r>
      <w:r w:rsidRPr="00376598">
        <w:rPr>
          <w:rFonts w:ascii="Arial" w:hAnsi="Arial" w:cs="Arial"/>
          <w:b/>
          <w:bCs/>
          <w:sz w:val="22"/>
          <w:szCs w:val="22"/>
        </w:rPr>
        <w:t>/: Dr. Puskás Tivadar :/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6598" w:rsidRPr="00376598" w:rsidRDefault="00376598" w:rsidP="009B37F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9B37FD" w:rsidRPr="00376598" w:rsidRDefault="009B37FD" w:rsidP="009B37F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76598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376598">
        <w:rPr>
          <w:rFonts w:ascii="Arial" w:hAnsi="Arial" w:cs="Arial"/>
          <w:b/>
          <w:bCs/>
          <w:sz w:val="22"/>
          <w:szCs w:val="22"/>
          <w:u w:val="single"/>
        </w:rPr>
        <w:t>….</w:t>
      </w:r>
      <w:proofErr w:type="gramEnd"/>
      <w:r w:rsidRPr="00376598">
        <w:rPr>
          <w:rFonts w:ascii="Arial" w:hAnsi="Arial" w:cs="Arial"/>
          <w:b/>
          <w:bCs/>
          <w:sz w:val="22"/>
          <w:szCs w:val="22"/>
          <w:u w:val="single"/>
        </w:rPr>
        <w:t>/2019. (V</w:t>
      </w:r>
      <w:r w:rsidR="00125A39" w:rsidRPr="00376598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376598" w:rsidRPr="00376598">
        <w:rPr>
          <w:rFonts w:ascii="Arial" w:hAnsi="Arial" w:cs="Arial"/>
          <w:b/>
          <w:bCs/>
          <w:sz w:val="22"/>
          <w:szCs w:val="22"/>
          <w:u w:val="single"/>
        </w:rPr>
        <w:t>II</w:t>
      </w:r>
      <w:r w:rsidRPr="00376598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="00376598" w:rsidRPr="00376598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4E67AD" w:rsidRPr="00376598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Pr="00376598">
        <w:rPr>
          <w:rFonts w:ascii="Arial" w:hAnsi="Arial" w:cs="Arial"/>
          <w:b/>
          <w:bCs/>
          <w:sz w:val="22"/>
          <w:szCs w:val="22"/>
          <w:u w:val="single"/>
        </w:rPr>
        <w:t>.) GVB. számú határozat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B37FD" w:rsidRPr="00376598" w:rsidRDefault="009B37FD" w:rsidP="009B37FD">
      <w:pPr>
        <w:pStyle w:val="Szvegtrzs"/>
        <w:tabs>
          <w:tab w:val="left" w:leader="dot" w:pos="9360"/>
        </w:tabs>
        <w:rPr>
          <w:b/>
          <w:szCs w:val="22"/>
        </w:rPr>
      </w:pPr>
      <w:r w:rsidRPr="00376598">
        <w:rPr>
          <w:bCs/>
          <w:szCs w:val="22"/>
        </w:rPr>
        <w:t>A Gazdasági és Városstratégiai Bizottság javasolja</w:t>
      </w:r>
      <w:r w:rsidR="00376598" w:rsidRPr="00376598">
        <w:rPr>
          <w:bCs/>
          <w:szCs w:val="22"/>
        </w:rPr>
        <w:t xml:space="preserve"> a polgármesternek</w:t>
      </w:r>
      <w:r w:rsidRPr="00376598">
        <w:rPr>
          <w:bCs/>
          <w:szCs w:val="22"/>
        </w:rPr>
        <w:t xml:space="preserve">, hogy a </w:t>
      </w:r>
      <w:r w:rsidRPr="00376598">
        <w:rPr>
          <w:b/>
          <w:szCs w:val="22"/>
        </w:rPr>
        <w:t>szombathelyi 5688/1 hrsz-ú</w:t>
      </w:r>
      <w:r w:rsidRPr="00376598">
        <w:rPr>
          <w:bCs/>
          <w:szCs w:val="22"/>
        </w:rPr>
        <w:t>,</w:t>
      </w:r>
      <w:r w:rsidRPr="00376598">
        <w:rPr>
          <w:b/>
          <w:szCs w:val="22"/>
        </w:rPr>
        <w:t xml:space="preserve"> „kivett beépítetlen terület” megnevezésű ingatlan </w:t>
      </w:r>
      <w:r w:rsidR="00376598" w:rsidRPr="00376598">
        <w:rPr>
          <w:b/>
          <w:szCs w:val="22"/>
        </w:rPr>
        <w:t>650</w:t>
      </w:r>
      <w:r w:rsidRPr="00376598">
        <w:rPr>
          <w:b/>
          <w:szCs w:val="22"/>
        </w:rPr>
        <w:t>/10000 tulajdoni illetőség</w:t>
      </w:r>
      <w:r w:rsidR="00376598" w:rsidRPr="00376598">
        <w:rPr>
          <w:b/>
          <w:szCs w:val="22"/>
        </w:rPr>
        <w:t>é</w:t>
      </w:r>
      <w:r w:rsidRPr="00376598">
        <w:rPr>
          <w:b/>
          <w:szCs w:val="22"/>
        </w:rPr>
        <w:t xml:space="preserve">re vonatkozóan </w:t>
      </w:r>
      <w:r w:rsidRPr="00376598">
        <w:rPr>
          <w:bCs/>
          <w:szCs w:val="22"/>
        </w:rPr>
        <w:t xml:space="preserve"> </w:t>
      </w:r>
      <w:r w:rsidRPr="00376598">
        <w:rPr>
          <w:szCs w:val="22"/>
        </w:rPr>
        <w:t>Boros Anikó és Molnár Ferenc,</w:t>
      </w:r>
      <w:r w:rsidRPr="00376598">
        <w:rPr>
          <w:bCs/>
          <w:szCs w:val="22"/>
        </w:rPr>
        <w:t xml:space="preserve"> mint eladók valamint </w:t>
      </w:r>
      <w:r w:rsidR="00376598" w:rsidRPr="00376598">
        <w:rPr>
          <w:bCs/>
          <w:szCs w:val="22"/>
        </w:rPr>
        <w:t>Magyar Zoltán</w:t>
      </w:r>
      <w:r w:rsidRPr="00376598">
        <w:rPr>
          <w:szCs w:val="22"/>
        </w:rPr>
        <w:t>, mint</w:t>
      </w:r>
      <w:r w:rsidRPr="00376598">
        <w:rPr>
          <w:bCs/>
          <w:szCs w:val="22"/>
        </w:rPr>
        <w:t xml:space="preserve"> vevő között</w:t>
      </w:r>
      <w:r w:rsidR="00376598" w:rsidRPr="00376598">
        <w:rPr>
          <w:bCs/>
          <w:szCs w:val="22"/>
        </w:rPr>
        <w:t xml:space="preserve"> létrejött</w:t>
      </w:r>
      <w:r w:rsidRPr="00376598">
        <w:rPr>
          <w:bCs/>
          <w:szCs w:val="22"/>
        </w:rPr>
        <w:t xml:space="preserve"> adásvételi szerződés</w:t>
      </w:r>
      <w:r w:rsidR="00376598" w:rsidRPr="00376598">
        <w:rPr>
          <w:bCs/>
          <w:szCs w:val="22"/>
        </w:rPr>
        <w:t xml:space="preserve">sel </w:t>
      </w:r>
      <w:proofErr w:type="spellStart"/>
      <w:r w:rsidR="00376598" w:rsidRPr="00376598">
        <w:rPr>
          <w:bCs/>
          <w:szCs w:val="22"/>
        </w:rPr>
        <w:t>kapcsoltaban</w:t>
      </w:r>
      <w:proofErr w:type="spellEnd"/>
      <w:r w:rsidRPr="00376598">
        <w:rPr>
          <w:bCs/>
          <w:szCs w:val="22"/>
        </w:rPr>
        <w:t xml:space="preserve"> – az</w:t>
      </w:r>
      <w:r w:rsidRPr="00376598">
        <w:rPr>
          <w:szCs w:val="22"/>
        </w:rPr>
        <w:t xml:space="preserve"> épített környezet alakításáról és védelméről szóló</w:t>
      </w:r>
      <w:r w:rsidRPr="00376598">
        <w:rPr>
          <w:bCs/>
          <w:szCs w:val="22"/>
        </w:rPr>
        <w:t xml:space="preserve"> 1997. évi LXXVIII. törvény 25. §-</w:t>
      </w:r>
      <w:proofErr w:type="spellStart"/>
      <w:r w:rsidRPr="00376598">
        <w:rPr>
          <w:bCs/>
          <w:szCs w:val="22"/>
        </w:rPr>
        <w:t>ának</w:t>
      </w:r>
      <w:proofErr w:type="spellEnd"/>
      <w:r w:rsidRPr="00376598">
        <w:rPr>
          <w:bCs/>
          <w:szCs w:val="22"/>
        </w:rPr>
        <w:t xml:space="preserve"> felhatalmazása valamint </w:t>
      </w:r>
      <w:r w:rsidRPr="00376598">
        <w:rPr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376598">
        <w:rPr>
          <w:bCs/>
          <w:szCs w:val="22"/>
        </w:rPr>
        <w:t xml:space="preserve"> biztosított,</w:t>
      </w:r>
      <w:r w:rsidRPr="00376598">
        <w:rPr>
          <w:szCs w:val="22"/>
        </w:rPr>
        <w:t xml:space="preserve"> „az infrastrukturális erőforrások optimális kihasználása” céljából fennálló</w:t>
      </w:r>
      <w:r w:rsidRPr="00376598">
        <w:rPr>
          <w:bCs/>
          <w:szCs w:val="22"/>
        </w:rPr>
        <w:t xml:space="preserve"> – </w:t>
      </w:r>
      <w:r w:rsidRPr="00376598">
        <w:rPr>
          <w:b/>
          <w:szCs w:val="22"/>
        </w:rPr>
        <w:t>elővásárlási jogával Szombathely Megyei Jogú Város Önkormányzata ne éljen.</w:t>
      </w:r>
    </w:p>
    <w:p w:rsidR="009B37FD" w:rsidRPr="00376598" w:rsidRDefault="009B37FD" w:rsidP="009B37FD">
      <w:pPr>
        <w:pStyle w:val="Szvegtrzs"/>
        <w:tabs>
          <w:tab w:val="left" w:leader="dot" w:pos="9360"/>
        </w:tabs>
        <w:rPr>
          <w:b/>
          <w:szCs w:val="22"/>
        </w:rPr>
      </w:pPr>
    </w:p>
    <w:p w:rsidR="009B37FD" w:rsidRPr="00376598" w:rsidRDefault="009B37FD" w:rsidP="009B37FD">
      <w:pPr>
        <w:pStyle w:val="Szvegtrzs"/>
        <w:tabs>
          <w:tab w:val="left" w:leader="dot" w:pos="9360"/>
        </w:tabs>
        <w:rPr>
          <w:b/>
          <w:szCs w:val="22"/>
        </w:rPr>
      </w:pP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>Felelős</w:t>
      </w:r>
      <w:r w:rsidRPr="00376598">
        <w:rPr>
          <w:rFonts w:ascii="Arial" w:hAnsi="Arial" w:cs="Arial"/>
          <w:sz w:val="22"/>
          <w:szCs w:val="22"/>
        </w:rPr>
        <w:t>:</w:t>
      </w:r>
      <w:r w:rsidRPr="00376598">
        <w:rPr>
          <w:rFonts w:ascii="Arial" w:hAnsi="Arial" w:cs="Arial"/>
          <w:sz w:val="22"/>
          <w:szCs w:val="22"/>
        </w:rPr>
        <w:tab/>
        <w:t>Dr. Puskás Tivadar polgármester</w:t>
      </w:r>
    </w:p>
    <w:p w:rsidR="009B37FD" w:rsidRPr="00376598" w:rsidRDefault="009B37FD" w:rsidP="009B37F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ab/>
      </w:r>
      <w:r w:rsidRPr="00376598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9B37FD" w:rsidRPr="00376598" w:rsidRDefault="009B37FD" w:rsidP="009B37F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376598">
        <w:rPr>
          <w:rFonts w:ascii="Arial" w:hAnsi="Arial" w:cs="Arial"/>
          <w:b/>
          <w:sz w:val="22"/>
          <w:szCs w:val="22"/>
        </w:rPr>
        <w:t xml:space="preserve">: </w:t>
      </w:r>
      <w:r w:rsidRPr="00376598">
        <w:rPr>
          <w:rFonts w:ascii="Arial" w:hAnsi="Arial" w:cs="Arial"/>
          <w:sz w:val="22"/>
          <w:szCs w:val="22"/>
        </w:rPr>
        <w:t>azonnal</w:t>
      </w:r>
    </w:p>
    <w:p w:rsidR="009B37FD" w:rsidRPr="00376598" w:rsidRDefault="009B37FD" w:rsidP="009B37FD">
      <w:pPr>
        <w:rPr>
          <w:rFonts w:ascii="Arial" w:hAnsi="Arial" w:cs="Arial"/>
          <w:sz w:val="22"/>
          <w:szCs w:val="22"/>
        </w:rPr>
      </w:pPr>
    </w:p>
    <w:sectPr w:rsidR="009B37FD" w:rsidRPr="00376598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proofErr w:type="gramStart"/>
    <w:r w:rsidRPr="00842C93">
      <w:rPr>
        <w:rFonts w:ascii="Arial" w:hAnsi="Arial" w:cs="Arial"/>
        <w:sz w:val="20"/>
        <w:szCs w:val="20"/>
      </w:rPr>
      <w:t>Fax:+</w:t>
    </w:r>
    <w:proofErr w:type="gramEnd"/>
    <w:r w:rsidRPr="00842C93">
      <w:rPr>
        <w:rFonts w:ascii="Arial" w:hAnsi="Arial" w:cs="Arial"/>
        <w:sz w:val="20"/>
        <w:szCs w:val="20"/>
      </w:rPr>
      <w:t>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25E18"/>
    <w:rsid w:val="0002621E"/>
    <w:rsid w:val="00053D7A"/>
    <w:rsid w:val="00074B7C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25A39"/>
    <w:rsid w:val="00132161"/>
    <w:rsid w:val="001364CB"/>
    <w:rsid w:val="001413EC"/>
    <w:rsid w:val="001429BB"/>
    <w:rsid w:val="0018005F"/>
    <w:rsid w:val="00184160"/>
    <w:rsid w:val="00187EF9"/>
    <w:rsid w:val="0019551F"/>
    <w:rsid w:val="001972E6"/>
    <w:rsid w:val="001A4648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6598"/>
    <w:rsid w:val="003775E2"/>
    <w:rsid w:val="00386233"/>
    <w:rsid w:val="00387E79"/>
    <w:rsid w:val="003A05EC"/>
    <w:rsid w:val="003A1090"/>
    <w:rsid w:val="003A3720"/>
    <w:rsid w:val="00417DDE"/>
    <w:rsid w:val="00420791"/>
    <w:rsid w:val="0043150B"/>
    <w:rsid w:val="0043601D"/>
    <w:rsid w:val="00447607"/>
    <w:rsid w:val="00452C7D"/>
    <w:rsid w:val="004555A4"/>
    <w:rsid w:val="004663E8"/>
    <w:rsid w:val="00472A53"/>
    <w:rsid w:val="00497FB6"/>
    <w:rsid w:val="004A1026"/>
    <w:rsid w:val="004D30C6"/>
    <w:rsid w:val="004E67AD"/>
    <w:rsid w:val="004E76F7"/>
    <w:rsid w:val="004F6199"/>
    <w:rsid w:val="0050364F"/>
    <w:rsid w:val="00564B2C"/>
    <w:rsid w:val="00565090"/>
    <w:rsid w:val="005A320F"/>
    <w:rsid w:val="005A68A3"/>
    <w:rsid w:val="005C1C74"/>
    <w:rsid w:val="005E3256"/>
    <w:rsid w:val="005F19FE"/>
    <w:rsid w:val="005F4A16"/>
    <w:rsid w:val="006254F7"/>
    <w:rsid w:val="00673677"/>
    <w:rsid w:val="00673CD0"/>
    <w:rsid w:val="00680E80"/>
    <w:rsid w:val="006A3A53"/>
    <w:rsid w:val="006B374F"/>
    <w:rsid w:val="006B5218"/>
    <w:rsid w:val="006C40DD"/>
    <w:rsid w:val="006D6A35"/>
    <w:rsid w:val="00715371"/>
    <w:rsid w:val="00723D02"/>
    <w:rsid w:val="007270C7"/>
    <w:rsid w:val="00727354"/>
    <w:rsid w:val="00753697"/>
    <w:rsid w:val="00764B7E"/>
    <w:rsid w:val="00767E23"/>
    <w:rsid w:val="00776C08"/>
    <w:rsid w:val="00785327"/>
    <w:rsid w:val="007860BA"/>
    <w:rsid w:val="007872E6"/>
    <w:rsid w:val="007955CC"/>
    <w:rsid w:val="007B2FF9"/>
    <w:rsid w:val="007B333F"/>
    <w:rsid w:val="007C40AF"/>
    <w:rsid w:val="007D76BE"/>
    <w:rsid w:val="007F2F31"/>
    <w:rsid w:val="0080352D"/>
    <w:rsid w:val="00833356"/>
    <w:rsid w:val="008411BD"/>
    <w:rsid w:val="00842C93"/>
    <w:rsid w:val="008635B8"/>
    <w:rsid w:val="008728D0"/>
    <w:rsid w:val="00893163"/>
    <w:rsid w:val="008964B5"/>
    <w:rsid w:val="008B19CD"/>
    <w:rsid w:val="008C3D7A"/>
    <w:rsid w:val="008E4EE0"/>
    <w:rsid w:val="008F4DF6"/>
    <w:rsid w:val="0091764E"/>
    <w:rsid w:val="0092568D"/>
    <w:rsid w:val="009301B8"/>
    <w:rsid w:val="009348EA"/>
    <w:rsid w:val="0094530A"/>
    <w:rsid w:val="0096279B"/>
    <w:rsid w:val="00991247"/>
    <w:rsid w:val="009979A5"/>
    <w:rsid w:val="009A179B"/>
    <w:rsid w:val="009A606E"/>
    <w:rsid w:val="009B37FD"/>
    <w:rsid w:val="009B4CA0"/>
    <w:rsid w:val="009D1499"/>
    <w:rsid w:val="009D2B8C"/>
    <w:rsid w:val="009D2CDE"/>
    <w:rsid w:val="00A1039C"/>
    <w:rsid w:val="00A32D96"/>
    <w:rsid w:val="00A559BC"/>
    <w:rsid w:val="00A55BFF"/>
    <w:rsid w:val="00A73045"/>
    <w:rsid w:val="00A7633E"/>
    <w:rsid w:val="00A8103C"/>
    <w:rsid w:val="00A92CA1"/>
    <w:rsid w:val="00A95294"/>
    <w:rsid w:val="00AB629D"/>
    <w:rsid w:val="00AB7B31"/>
    <w:rsid w:val="00AC4821"/>
    <w:rsid w:val="00AC553E"/>
    <w:rsid w:val="00AD08CD"/>
    <w:rsid w:val="00AE1027"/>
    <w:rsid w:val="00AE58CD"/>
    <w:rsid w:val="00AE6BFF"/>
    <w:rsid w:val="00B103B4"/>
    <w:rsid w:val="00B610E8"/>
    <w:rsid w:val="00B611D2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90078"/>
    <w:rsid w:val="00CA2F5B"/>
    <w:rsid w:val="00CB0ED3"/>
    <w:rsid w:val="00CB7CAA"/>
    <w:rsid w:val="00CC0FC8"/>
    <w:rsid w:val="00CC7E2A"/>
    <w:rsid w:val="00CD3141"/>
    <w:rsid w:val="00CF0C29"/>
    <w:rsid w:val="00D1645D"/>
    <w:rsid w:val="00D21658"/>
    <w:rsid w:val="00D22A4E"/>
    <w:rsid w:val="00D2334E"/>
    <w:rsid w:val="00D35F7A"/>
    <w:rsid w:val="00D45099"/>
    <w:rsid w:val="00D52322"/>
    <w:rsid w:val="00D52BE1"/>
    <w:rsid w:val="00D54DF8"/>
    <w:rsid w:val="00D66B8F"/>
    <w:rsid w:val="00D713B0"/>
    <w:rsid w:val="00D774FC"/>
    <w:rsid w:val="00D87EF7"/>
    <w:rsid w:val="00D9651C"/>
    <w:rsid w:val="00DA14B3"/>
    <w:rsid w:val="00DB3851"/>
    <w:rsid w:val="00DD22D3"/>
    <w:rsid w:val="00DD3FE2"/>
    <w:rsid w:val="00E07082"/>
    <w:rsid w:val="00E11BFE"/>
    <w:rsid w:val="00E23349"/>
    <w:rsid w:val="00E30D6E"/>
    <w:rsid w:val="00E338D0"/>
    <w:rsid w:val="00E61D8F"/>
    <w:rsid w:val="00E64B44"/>
    <w:rsid w:val="00E75541"/>
    <w:rsid w:val="00E82F69"/>
    <w:rsid w:val="00E950D2"/>
    <w:rsid w:val="00E96925"/>
    <w:rsid w:val="00EA5FE3"/>
    <w:rsid w:val="00EA764E"/>
    <w:rsid w:val="00EB4BEE"/>
    <w:rsid w:val="00EB52DB"/>
    <w:rsid w:val="00EC5601"/>
    <w:rsid w:val="00EC747D"/>
    <w:rsid w:val="00EC7B6C"/>
    <w:rsid w:val="00EC7C11"/>
    <w:rsid w:val="00ED6178"/>
    <w:rsid w:val="00EF79F9"/>
    <w:rsid w:val="00EF7B0D"/>
    <w:rsid w:val="00F073ED"/>
    <w:rsid w:val="00F250AF"/>
    <w:rsid w:val="00F405F7"/>
    <w:rsid w:val="00F44FE7"/>
    <w:rsid w:val="00F46612"/>
    <w:rsid w:val="00F64005"/>
    <w:rsid w:val="00F64D0B"/>
    <w:rsid w:val="00FC07AB"/>
    <w:rsid w:val="00FC3E2A"/>
    <w:rsid w:val="00FC74B7"/>
    <w:rsid w:val="00FD6655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25D3B567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9B37F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9B37FD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9B37FD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9B37FD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9B37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85FE554-3530-467B-83BD-9990360C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2</cp:revision>
  <cp:lastPrinted>2019-08-21T06:44:00Z</cp:lastPrinted>
  <dcterms:created xsi:type="dcterms:W3CDTF">2019-08-21T06:44:00Z</dcterms:created>
  <dcterms:modified xsi:type="dcterms:W3CDTF">2019-08-21T06:44:00Z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