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7C" w:rsidRPr="0018779F" w:rsidRDefault="00E62461" w:rsidP="00562D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779F">
        <w:rPr>
          <w:rFonts w:ascii="Arial" w:hAnsi="Arial" w:cs="Arial"/>
          <w:b/>
          <w:sz w:val="28"/>
          <w:szCs w:val="28"/>
        </w:rPr>
        <w:t>Együttműködési megállapodás módosítás</w:t>
      </w:r>
    </w:p>
    <w:p w:rsidR="00E62461" w:rsidRPr="00562DE4" w:rsidRDefault="00E62461" w:rsidP="00562DE4">
      <w:pPr>
        <w:spacing w:after="0"/>
        <w:rPr>
          <w:rFonts w:ascii="Arial" w:hAnsi="Arial" w:cs="Arial"/>
          <w:sz w:val="24"/>
          <w:szCs w:val="24"/>
        </w:rPr>
      </w:pP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amely létrejött egyrészről </w:t>
      </w:r>
      <w:proofErr w:type="gramStart"/>
      <w:r w:rsidRPr="00562DE4">
        <w:rPr>
          <w:rFonts w:ascii="Arial" w:hAnsi="Arial" w:cs="Arial"/>
          <w:sz w:val="24"/>
          <w:szCs w:val="24"/>
        </w:rPr>
        <w:t>a</w:t>
      </w:r>
      <w:proofErr w:type="gramEnd"/>
      <w:r w:rsidRPr="00562DE4">
        <w:rPr>
          <w:rFonts w:ascii="Arial" w:hAnsi="Arial" w:cs="Arial"/>
          <w:sz w:val="24"/>
          <w:szCs w:val="24"/>
        </w:rPr>
        <w:t xml:space="preserve"> </w:t>
      </w:r>
    </w:p>
    <w:p w:rsidR="00F3048E" w:rsidRPr="00562DE4" w:rsidRDefault="00F3048E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562DE4">
        <w:rPr>
          <w:rFonts w:ascii="Arial" w:hAnsi="Arial" w:cs="Arial"/>
          <w:sz w:val="24"/>
          <w:szCs w:val="24"/>
        </w:rPr>
        <w:t xml:space="preserve"> </w:t>
      </w:r>
    </w:p>
    <w:p w:rsidR="00F3048E" w:rsidRPr="00562DE4" w:rsidRDefault="00F3048E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9700 Szombathely, Kossuth L. u. 1-3., adószám: 15733658-2-18, statisztikai számjele: 15733658-8411-321-18, képviseli: Dr. Puskás Tivadar polgármester, a továbbiakban: </w:t>
      </w:r>
      <w:r w:rsidRPr="00562DE4">
        <w:rPr>
          <w:rFonts w:ascii="Arial" w:hAnsi="Arial" w:cs="Arial"/>
          <w:b/>
          <w:sz w:val="24"/>
          <w:szCs w:val="24"/>
        </w:rPr>
        <w:t>Önkormányzat,</w:t>
      </w:r>
    </w:p>
    <w:p w:rsidR="00352751" w:rsidRPr="00562DE4" w:rsidRDefault="00352751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3048E" w:rsidRPr="00562DE4" w:rsidRDefault="00F3048E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másrészről </w:t>
      </w:r>
      <w:proofErr w:type="gramStart"/>
      <w:r w:rsidRPr="00562DE4">
        <w:rPr>
          <w:rFonts w:ascii="Arial" w:hAnsi="Arial" w:cs="Arial"/>
          <w:sz w:val="24"/>
          <w:szCs w:val="24"/>
        </w:rPr>
        <w:t>a</w:t>
      </w:r>
      <w:proofErr w:type="gramEnd"/>
    </w:p>
    <w:p w:rsidR="00E62461" w:rsidRPr="00562DE4" w:rsidRDefault="00F3048E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b/>
          <w:sz w:val="24"/>
          <w:szCs w:val="24"/>
        </w:rPr>
        <w:t>Szombathelyi Haladás Labdarúgó és Sportszolgáltató Korlátolt Felelősségű Társaság</w:t>
      </w:r>
      <w:r w:rsidRPr="00562DE4">
        <w:rPr>
          <w:rFonts w:ascii="Arial" w:hAnsi="Arial" w:cs="Arial"/>
          <w:sz w:val="24"/>
          <w:szCs w:val="24"/>
        </w:rPr>
        <w:t xml:space="preserve"> székhely: 9700 Szombathely, </w:t>
      </w:r>
      <w:proofErr w:type="spellStart"/>
      <w:r w:rsidRPr="00562DE4">
        <w:rPr>
          <w:rFonts w:ascii="Arial" w:hAnsi="Arial" w:cs="Arial"/>
          <w:sz w:val="24"/>
          <w:szCs w:val="24"/>
        </w:rPr>
        <w:t>Rohonci</w:t>
      </w:r>
      <w:proofErr w:type="spellEnd"/>
      <w:r w:rsidRPr="00562DE4">
        <w:rPr>
          <w:rFonts w:ascii="Arial" w:hAnsi="Arial" w:cs="Arial"/>
          <w:sz w:val="24"/>
          <w:szCs w:val="24"/>
        </w:rPr>
        <w:t xml:space="preserve"> út 3, Cg.18-09-106065, adószám: 12565692-2-18, képviseli: Tóth Miklós ügyvezető </w:t>
      </w:r>
      <w:r w:rsidR="00E62461" w:rsidRPr="00562DE4">
        <w:rPr>
          <w:rFonts w:ascii="Arial" w:hAnsi="Arial" w:cs="Arial"/>
          <w:sz w:val="24"/>
          <w:szCs w:val="24"/>
        </w:rPr>
        <w:t>a továbbiak</w:t>
      </w:r>
      <w:r w:rsidRPr="00562DE4">
        <w:rPr>
          <w:rFonts w:ascii="Arial" w:hAnsi="Arial" w:cs="Arial"/>
          <w:sz w:val="24"/>
          <w:szCs w:val="24"/>
        </w:rPr>
        <w:t xml:space="preserve">ban: </w:t>
      </w:r>
      <w:r w:rsidR="00E62461" w:rsidRPr="00562DE4">
        <w:rPr>
          <w:rFonts w:ascii="Arial" w:hAnsi="Arial" w:cs="Arial"/>
          <w:b/>
          <w:sz w:val="24"/>
          <w:szCs w:val="24"/>
        </w:rPr>
        <w:t>Haladás</w:t>
      </w: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másrészről </w:t>
      </w:r>
      <w:proofErr w:type="gramStart"/>
      <w:r w:rsidRPr="00562DE4">
        <w:rPr>
          <w:rFonts w:ascii="Arial" w:hAnsi="Arial" w:cs="Arial"/>
          <w:sz w:val="24"/>
          <w:szCs w:val="24"/>
        </w:rPr>
        <w:t>a</w:t>
      </w:r>
      <w:proofErr w:type="gramEnd"/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b/>
          <w:sz w:val="24"/>
          <w:szCs w:val="24"/>
        </w:rPr>
        <w:t xml:space="preserve">Viktória </w:t>
      </w:r>
      <w:proofErr w:type="spellStart"/>
      <w:r w:rsidRPr="00562DE4">
        <w:rPr>
          <w:rFonts w:ascii="Arial" w:hAnsi="Arial" w:cs="Arial"/>
          <w:b/>
          <w:sz w:val="24"/>
          <w:szCs w:val="24"/>
        </w:rPr>
        <w:t>Football</w:t>
      </w:r>
      <w:proofErr w:type="spellEnd"/>
      <w:r w:rsidRPr="00562DE4">
        <w:rPr>
          <w:rFonts w:ascii="Arial" w:hAnsi="Arial" w:cs="Arial"/>
          <w:b/>
          <w:sz w:val="24"/>
          <w:szCs w:val="24"/>
        </w:rPr>
        <w:t xml:space="preserve"> Club Szombathely</w:t>
      </w: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Székhely</w:t>
      </w:r>
      <w:r w:rsidR="00F3048E" w:rsidRPr="00562DE4">
        <w:rPr>
          <w:rFonts w:ascii="Arial" w:hAnsi="Arial" w:cs="Arial"/>
          <w:sz w:val="24"/>
          <w:szCs w:val="24"/>
        </w:rPr>
        <w:t xml:space="preserve">: </w:t>
      </w:r>
      <w:r w:rsidRPr="00562DE4">
        <w:rPr>
          <w:rFonts w:ascii="Arial" w:hAnsi="Arial" w:cs="Arial"/>
          <w:sz w:val="24"/>
          <w:szCs w:val="24"/>
        </w:rPr>
        <w:t>9700 Szombathely, Felsőbüki Nagy Pál u.28.</w:t>
      </w:r>
      <w:r w:rsidR="00F3048E" w:rsidRPr="00562DE4">
        <w:rPr>
          <w:rFonts w:ascii="Arial" w:hAnsi="Arial" w:cs="Arial"/>
          <w:sz w:val="24"/>
          <w:szCs w:val="24"/>
        </w:rPr>
        <w:t xml:space="preserve"> Adószám: </w:t>
      </w:r>
      <w:r w:rsidRPr="00562DE4">
        <w:rPr>
          <w:rFonts w:ascii="Arial" w:hAnsi="Arial" w:cs="Arial"/>
          <w:sz w:val="24"/>
          <w:szCs w:val="24"/>
        </w:rPr>
        <w:t>18881592-1-18</w:t>
      </w:r>
      <w:r w:rsidR="00F3048E" w:rsidRPr="00562DE4">
        <w:rPr>
          <w:rFonts w:ascii="Arial" w:hAnsi="Arial" w:cs="Arial"/>
          <w:sz w:val="24"/>
          <w:szCs w:val="24"/>
        </w:rPr>
        <w:t xml:space="preserve">, </w:t>
      </w:r>
      <w:r w:rsidRPr="00562DE4">
        <w:rPr>
          <w:rFonts w:ascii="Arial" w:hAnsi="Arial" w:cs="Arial"/>
          <w:sz w:val="24"/>
          <w:szCs w:val="24"/>
        </w:rPr>
        <w:t>Nyilvá</w:t>
      </w:r>
      <w:r w:rsidR="00F3048E" w:rsidRPr="00562DE4">
        <w:rPr>
          <w:rFonts w:ascii="Arial" w:hAnsi="Arial" w:cs="Arial"/>
          <w:sz w:val="24"/>
          <w:szCs w:val="24"/>
        </w:rPr>
        <w:t xml:space="preserve">ntartási szám: </w:t>
      </w:r>
      <w:proofErr w:type="spellStart"/>
      <w:r w:rsidRPr="00562DE4">
        <w:rPr>
          <w:rFonts w:ascii="Arial" w:hAnsi="Arial" w:cs="Arial"/>
          <w:sz w:val="24"/>
          <w:szCs w:val="24"/>
        </w:rPr>
        <w:t>Pk</w:t>
      </w:r>
      <w:proofErr w:type="spellEnd"/>
      <w:r w:rsidRPr="00562DE4">
        <w:rPr>
          <w:rFonts w:ascii="Arial" w:hAnsi="Arial" w:cs="Arial"/>
          <w:sz w:val="24"/>
          <w:szCs w:val="24"/>
        </w:rPr>
        <w:t>. 60.1</w:t>
      </w:r>
      <w:r w:rsidR="00F3048E" w:rsidRPr="00562DE4">
        <w:rPr>
          <w:rFonts w:ascii="Arial" w:hAnsi="Arial" w:cs="Arial"/>
          <w:sz w:val="24"/>
          <w:szCs w:val="24"/>
        </w:rPr>
        <w:t xml:space="preserve">50/1993, </w:t>
      </w:r>
      <w:r w:rsidRPr="00562DE4">
        <w:rPr>
          <w:rFonts w:ascii="Arial" w:hAnsi="Arial" w:cs="Arial"/>
          <w:sz w:val="24"/>
          <w:szCs w:val="24"/>
        </w:rPr>
        <w:t>Banks</w:t>
      </w:r>
      <w:r w:rsidR="00F3048E" w:rsidRPr="00562DE4">
        <w:rPr>
          <w:rFonts w:ascii="Arial" w:hAnsi="Arial" w:cs="Arial"/>
          <w:sz w:val="24"/>
          <w:szCs w:val="24"/>
        </w:rPr>
        <w:t xml:space="preserve">zámlaszám: </w:t>
      </w:r>
      <w:r w:rsidRPr="00562DE4">
        <w:rPr>
          <w:rFonts w:ascii="Arial" w:hAnsi="Arial" w:cs="Arial"/>
          <w:sz w:val="24"/>
          <w:szCs w:val="24"/>
        </w:rPr>
        <w:t>72100251-11039952</w:t>
      </w:r>
      <w:r w:rsidR="00F3048E" w:rsidRPr="00562DE4">
        <w:rPr>
          <w:rFonts w:ascii="Arial" w:hAnsi="Arial" w:cs="Arial"/>
          <w:sz w:val="24"/>
          <w:szCs w:val="24"/>
        </w:rPr>
        <w:t xml:space="preserve">, </w:t>
      </w:r>
      <w:r w:rsidRPr="00562DE4">
        <w:rPr>
          <w:rFonts w:ascii="Arial" w:hAnsi="Arial" w:cs="Arial"/>
          <w:sz w:val="24"/>
          <w:szCs w:val="24"/>
        </w:rPr>
        <w:t>Képvisel</w:t>
      </w:r>
      <w:r w:rsidR="00F3048E" w:rsidRPr="00562DE4">
        <w:rPr>
          <w:rFonts w:ascii="Arial" w:hAnsi="Arial" w:cs="Arial"/>
          <w:sz w:val="24"/>
          <w:szCs w:val="24"/>
        </w:rPr>
        <w:t>i</w:t>
      </w:r>
      <w:r w:rsidRPr="00562DE4">
        <w:rPr>
          <w:rFonts w:ascii="Arial" w:hAnsi="Arial" w:cs="Arial"/>
          <w:sz w:val="24"/>
          <w:szCs w:val="24"/>
        </w:rPr>
        <w:t>: Barczi Csaba elnök</w:t>
      </w:r>
    </w:p>
    <w:p w:rsidR="00E62461" w:rsidRPr="00562DE4" w:rsidRDefault="00352751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gramStart"/>
      <w:r w:rsidRPr="00562DE4">
        <w:rPr>
          <w:rFonts w:ascii="Arial" w:hAnsi="Arial" w:cs="Arial"/>
          <w:sz w:val="24"/>
          <w:szCs w:val="24"/>
        </w:rPr>
        <w:t>a</w:t>
      </w:r>
      <w:proofErr w:type="gramEnd"/>
      <w:r w:rsidRPr="00562DE4">
        <w:rPr>
          <w:rFonts w:ascii="Arial" w:hAnsi="Arial" w:cs="Arial"/>
          <w:sz w:val="24"/>
          <w:szCs w:val="24"/>
        </w:rPr>
        <w:t xml:space="preserve"> továbbiakban: </w:t>
      </w:r>
      <w:r w:rsidR="00E62461" w:rsidRPr="00562DE4">
        <w:rPr>
          <w:rFonts w:ascii="Arial" w:hAnsi="Arial" w:cs="Arial"/>
          <w:b/>
          <w:sz w:val="24"/>
          <w:szCs w:val="24"/>
        </w:rPr>
        <w:t>Viktória</w:t>
      </w:r>
    </w:p>
    <w:p w:rsidR="009063AF" w:rsidRPr="00562DE4" w:rsidRDefault="009063AF" w:rsidP="00562D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063AF" w:rsidRPr="00562DE4" w:rsidRDefault="009063AF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562DE4">
        <w:rPr>
          <w:rFonts w:ascii="Arial" w:hAnsi="Arial" w:cs="Arial"/>
          <w:sz w:val="24"/>
          <w:szCs w:val="24"/>
        </w:rPr>
        <w:t>között</w:t>
      </w:r>
      <w:proofErr w:type="gramEnd"/>
      <w:r w:rsidRPr="00562DE4">
        <w:rPr>
          <w:rFonts w:ascii="Arial" w:hAnsi="Arial" w:cs="Arial"/>
          <w:sz w:val="24"/>
          <w:szCs w:val="24"/>
        </w:rPr>
        <w:t xml:space="preserve"> az alábbi helyen és időben , az alulírott feltételek mellett:</w:t>
      </w:r>
    </w:p>
    <w:p w:rsidR="00B758B7" w:rsidRPr="00562DE4" w:rsidRDefault="00B758B7" w:rsidP="00562D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063AF" w:rsidRDefault="009063AF" w:rsidP="00562D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lastRenderedPageBreak/>
        <w:t>Fent nevezett szerződő felek kölcsönösen és egybehangzóan tényként rögzítik, hogy a labdarúgás sz</w:t>
      </w:r>
      <w:r w:rsidR="00F3048E" w:rsidRPr="00562DE4">
        <w:rPr>
          <w:rFonts w:ascii="Arial" w:hAnsi="Arial" w:cs="Arial"/>
          <w:sz w:val="24"/>
          <w:szCs w:val="24"/>
        </w:rPr>
        <w:t xml:space="preserve">abályrendszere értelmében az </w:t>
      </w:r>
      <w:proofErr w:type="spellStart"/>
      <w:r w:rsidR="00F3048E" w:rsidRPr="00562DE4">
        <w:rPr>
          <w:rFonts w:ascii="Arial" w:hAnsi="Arial" w:cs="Arial"/>
          <w:sz w:val="24"/>
          <w:szCs w:val="24"/>
        </w:rPr>
        <w:t>NB-</w:t>
      </w:r>
      <w:r w:rsidRPr="00562DE4">
        <w:rPr>
          <w:rFonts w:ascii="Arial" w:hAnsi="Arial" w:cs="Arial"/>
          <w:sz w:val="24"/>
          <w:szCs w:val="24"/>
        </w:rPr>
        <w:t>s</w:t>
      </w:r>
      <w:proofErr w:type="spellEnd"/>
      <w:r w:rsidRPr="00562DE4">
        <w:rPr>
          <w:rFonts w:ascii="Arial" w:hAnsi="Arial" w:cs="Arial"/>
          <w:sz w:val="24"/>
          <w:szCs w:val="24"/>
        </w:rPr>
        <w:t xml:space="preserve"> férfi </w:t>
      </w:r>
      <w:r w:rsidR="00352751" w:rsidRPr="00562DE4">
        <w:rPr>
          <w:rFonts w:ascii="Arial" w:hAnsi="Arial" w:cs="Arial"/>
          <w:sz w:val="24"/>
          <w:szCs w:val="24"/>
        </w:rPr>
        <w:t xml:space="preserve">felnőtt </w:t>
      </w:r>
      <w:r w:rsidRPr="00562DE4">
        <w:rPr>
          <w:rFonts w:ascii="Arial" w:hAnsi="Arial" w:cs="Arial"/>
          <w:sz w:val="24"/>
          <w:szCs w:val="24"/>
        </w:rPr>
        <w:t>labdarúgó csapat</w:t>
      </w:r>
      <w:r w:rsidR="00F3048E" w:rsidRPr="00562DE4">
        <w:rPr>
          <w:rFonts w:ascii="Arial" w:hAnsi="Arial" w:cs="Arial"/>
          <w:sz w:val="24"/>
          <w:szCs w:val="24"/>
        </w:rPr>
        <w:t>ot működtető Haladás és a női NB</w:t>
      </w:r>
      <w:r w:rsidRPr="00562DE4">
        <w:rPr>
          <w:rFonts w:ascii="Arial" w:hAnsi="Arial" w:cs="Arial"/>
          <w:sz w:val="24"/>
          <w:szCs w:val="24"/>
        </w:rPr>
        <w:t>1-es csapatot működtető Viktória 2017.</w:t>
      </w:r>
      <w:r w:rsidR="00163CCB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június 30. napjától aláírt megállapodás értelmében egy sportszervezet keretein belül vesznek részt a férfi és a női felnőtt bajnokságokban.</w:t>
      </w:r>
    </w:p>
    <w:p w:rsidR="00F0037C" w:rsidRPr="00562DE4" w:rsidRDefault="00F0037C" w:rsidP="00562D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A57F6" w:rsidRPr="00562DE4" w:rsidRDefault="009063AF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felek rögzítik, hogy az U14-U16-U19 és a felnőtt női csapat közös működtetésével a VIKTÓRIA FC</w:t>
      </w:r>
      <w:r w:rsidR="00D5319B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önálló jo</w:t>
      </w:r>
      <w:r w:rsidR="003A57F6" w:rsidRPr="00562DE4">
        <w:rPr>
          <w:rFonts w:ascii="Arial" w:hAnsi="Arial" w:cs="Arial"/>
          <w:sz w:val="24"/>
          <w:szCs w:val="24"/>
        </w:rPr>
        <w:t xml:space="preserve">gi </w:t>
      </w:r>
      <w:r w:rsidR="00F3048E" w:rsidRPr="00562DE4">
        <w:rPr>
          <w:rFonts w:ascii="Arial" w:hAnsi="Arial" w:cs="Arial"/>
          <w:sz w:val="24"/>
          <w:szCs w:val="24"/>
        </w:rPr>
        <w:t>személyisége,</w:t>
      </w:r>
      <w:r w:rsidR="003A57F6" w:rsidRPr="00562DE4">
        <w:rPr>
          <w:rFonts w:ascii="Arial" w:hAnsi="Arial" w:cs="Arial"/>
          <w:sz w:val="24"/>
          <w:szCs w:val="24"/>
        </w:rPr>
        <w:t xml:space="preserve"> az MLSZ által nyilvántartott sportegyesületi jellege nem szűnik meg, továbbra is működteti a női U7-U13, U14</w:t>
      </w:r>
      <w:r w:rsidR="00F3048E" w:rsidRPr="00562DE4">
        <w:rPr>
          <w:rFonts w:ascii="Arial" w:hAnsi="Arial" w:cs="Arial"/>
          <w:sz w:val="24"/>
          <w:szCs w:val="24"/>
        </w:rPr>
        <w:t>, U16, U19</w:t>
      </w:r>
      <w:r w:rsidR="003A57F6" w:rsidRPr="00562DE4">
        <w:rPr>
          <w:rFonts w:ascii="Arial" w:hAnsi="Arial" w:cs="Arial"/>
          <w:sz w:val="24"/>
          <w:szCs w:val="24"/>
        </w:rPr>
        <w:t xml:space="preserve"> korosztályú csapatait, részt vesz a jelen megállapodással érintett női csapatai működtetésében, </w:t>
      </w:r>
      <w:r w:rsidR="00F3048E" w:rsidRPr="00562DE4">
        <w:rPr>
          <w:rFonts w:ascii="Arial" w:hAnsi="Arial" w:cs="Arial"/>
          <w:sz w:val="24"/>
          <w:szCs w:val="24"/>
        </w:rPr>
        <w:t>irányításában,</w:t>
      </w:r>
      <w:r w:rsidR="003A57F6" w:rsidRPr="00562DE4">
        <w:rPr>
          <w:rFonts w:ascii="Arial" w:hAnsi="Arial" w:cs="Arial"/>
          <w:sz w:val="24"/>
          <w:szCs w:val="24"/>
        </w:rPr>
        <w:t xml:space="preserve"> szakmai munkájában is. Továbbra is jogosult a jogszabályi keretek között működése, sporttevékenysége kapcsán a TAO kedvezményeket és egyéb támogatásokat igénybe venni, illetve saját nevében támogatói és egyéb reklámszerződéseket kötni és a saját nevében pályázati eljárásokban részt venni, melyek a saját bevételei</w:t>
      </w:r>
      <w:r w:rsidR="00352751" w:rsidRPr="00562DE4">
        <w:rPr>
          <w:rFonts w:ascii="Arial" w:hAnsi="Arial" w:cs="Arial"/>
          <w:sz w:val="24"/>
          <w:szCs w:val="24"/>
        </w:rPr>
        <w:t>t</w:t>
      </w:r>
      <w:r w:rsidR="003A57F6" w:rsidRPr="00562DE4">
        <w:rPr>
          <w:rFonts w:ascii="Arial" w:hAnsi="Arial" w:cs="Arial"/>
          <w:sz w:val="24"/>
          <w:szCs w:val="24"/>
        </w:rPr>
        <w:t xml:space="preserve"> képezik.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74BEE" w:rsidRDefault="003A57F6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felek rögzítik, hogy a Haladás jogosult az MLSZ által a női bajnokság indulásakor járó startpénz, terembajnokság díjazásával, a magyar kupa díjazásával, a bírói költségek kompenzálásával, valamint a bajnokság végén elért eredménytől függően folyósított helyezési pénz rendelkezésével. Ezen befolyó összegeket csak és kizárólag a női NB1-es csapat játékosai és stábtagjai </w:t>
      </w:r>
      <w:r w:rsidR="00352751" w:rsidRPr="00562DE4">
        <w:rPr>
          <w:rFonts w:ascii="Arial" w:hAnsi="Arial" w:cs="Arial"/>
          <w:sz w:val="24"/>
          <w:szCs w:val="24"/>
        </w:rPr>
        <w:t>bérköltségeire és ezek járulékaira</w:t>
      </w:r>
      <w:r w:rsidR="00D74BEE" w:rsidRPr="00562DE4">
        <w:rPr>
          <w:rFonts w:ascii="Arial" w:hAnsi="Arial" w:cs="Arial"/>
          <w:sz w:val="24"/>
          <w:szCs w:val="24"/>
        </w:rPr>
        <w:t xml:space="preserve"> használhatja fel.</w:t>
      </w:r>
    </w:p>
    <w:p w:rsidR="009863BA" w:rsidRPr="009863BA" w:rsidRDefault="009863BA" w:rsidP="009863BA">
      <w:pPr>
        <w:pStyle w:val="Listaszerbekezds"/>
        <w:rPr>
          <w:rFonts w:ascii="Arial" w:hAnsi="Arial" w:cs="Arial"/>
          <w:sz w:val="24"/>
          <w:szCs w:val="24"/>
        </w:rPr>
      </w:pPr>
    </w:p>
    <w:p w:rsidR="00D74BEE" w:rsidRPr="00562DE4" w:rsidRDefault="00D74BEE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Haladás vállalja, hogy a női csapat személyi jellegű kiadásaira elkülönít évi 5.000.000 Ft, azaz Ötmillió </w:t>
      </w:r>
      <w:r w:rsidR="00352751" w:rsidRPr="00562DE4">
        <w:rPr>
          <w:rFonts w:ascii="Arial" w:hAnsi="Arial" w:cs="Arial"/>
          <w:sz w:val="24"/>
          <w:szCs w:val="24"/>
        </w:rPr>
        <w:t>forintot</w:t>
      </w:r>
      <w:r w:rsidRPr="00562DE4">
        <w:rPr>
          <w:rFonts w:ascii="Arial" w:hAnsi="Arial" w:cs="Arial"/>
          <w:sz w:val="24"/>
          <w:szCs w:val="24"/>
        </w:rPr>
        <w:t xml:space="preserve">, amelyet havonta egyenlő arányban köteles a női labdarúgók és stábtagok munkabérérére </w:t>
      </w:r>
      <w:r w:rsidR="00352751" w:rsidRPr="00562DE4">
        <w:rPr>
          <w:rFonts w:ascii="Arial" w:hAnsi="Arial" w:cs="Arial"/>
          <w:sz w:val="24"/>
          <w:szCs w:val="24"/>
        </w:rPr>
        <w:t>és/vagy a felnőtt női N</w:t>
      </w:r>
      <w:r w:rsidR="00176BDC">
        <w:rPr>
          <w:rFonts w:ascii="Arial" w:hAnsi="Arial" w:cs="Arial"/>
          <w:sz w:val="24"/>
          <w:szCs w:val="24"/>
        </w:rPr>
        <w:t>B</w:t>
      </w:r>
      <w:r w:rsidR="00352751" w:rsidRPr="00562DE4">
        <w:rPr>
          <w:rFonts w:ascii="Arial" w:hAnsi="Arial" w:cs="Arial"/>
          <w:sz w:val="24"/>
          <w:szCs w:val="24"/>
        </w:rPr>
        <w:t>1-es csapat utazási és étkezési költségére fordítani</w:t>
      </w:r>
      <w:r w:rsidRPr="00562DE4">
        <w:rPr>
          <w:rFonts w:ascii="Arial" w:hAnsi="Arial" w:cs="Arial"/>
          <w:sz w:val="24"/>
          <w:szCs w:val="24"/>
        </w:rPr>
        <w:t>. En</w:t>
      </w:r>
      <w:r w:rsidR="00352751" w:rsidRPr="00562DE4">
        <w:rPr>
          <w:rFonts w:ascii="Arial" w:hAnsi="Arial" w:cs="Arial"/>
          <w:sz w:val="24"/>
          <w:szCs w:val="24"/>
        </w:rPr>
        <w:t>nek esedékessége minden hónap 12</w:t>
      </w:r>
      <w:r w:rsidRPr="00562DE4">
        <w:rPr>
          <w:rFonts w:ascii="Arial" w:hAnsi="Arial" w:cs="Arial"/>
          <w:sz w:val="24"/>
          <w:szCs w:val="24"/>
        </w:rPr>
        <w:t>. napja.</w:t>
      </w:r>
    </w:p>
    <w:p w:rsidR="00D74BEE" w:rsidRPr="00562DE4" w:rsidRDefault="00D74BEE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lastRenderedPageBreak/>
        <w:t xml:space="preserve">A Haladás vállalja, hogy a felnőtt női csapat részére 2 </w:t>
      </w:r>
      <w:r w:rsidR="00352751" w:rsidRPr="00562DE4">
        <w:rPr>
          <w:rFonts w:ascii="Arial" w:hAnsi="Arial" w:cs="Arial"/>
          <w:sz w:val="24"/>
          <w:szCs w:val="24"/>
        </w:rPr>
        <w:t>garnitúra mérkőzés</w:t>
      </w:r>
      <w:r w:rsidRPr="00562DE4">
        <w:rPr>
          <w:rFonts w:ascii="Arial" w:hAnsi="Arial" w:cs="Arial"/>
          <w:sz w:val="24"/>
          <w:szCs w:val="24"/>
        </w:rPr>
        <w:t xml:space="preserve"> szerelést</w:t>
      </w:r>
      <w:r w:rsidR="00352751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(egy zöld, egy fehér) edzőmelegítők, utazó melegítők, széldzsekik,</w:t>
      </w:r>
      <w:r w:rsidR="00CA4181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 xml:space="preserve">utazó galléros pólók, és utazó rövidnadrágok beszerzését és biztosítását. 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74BEE" w:rsidRPr="00562DE4" w:rsidRDefault="00D5319B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Viktória viseli az együttműködés időtartama alatt az összes UP korosztályos csapatok felmerülő valamennyi személyi és dologi kiadásait.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52751" w:rsidRPr="00562DE4" w:rsidRDefault="00D5319B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felnőtt csapat vezetőedzőjének kiválasztása kizárólag a Viktória egyetértésével történhet. A megállapodással érintett női csapatok szakmai irányítása a Viktória FC által foglalkoztatott szakemberek feladata és felelőssége, a Haladást e körben sem kötelezettségek, sem jogok nem illetik meg.</w:t>
      </w:r>
      <w:r w:rsidRPr="00562DE4">
        <w:rPr>
          <w:rFonts w:ascii="Arial" w:hAnsi="Arial" w:cs="Arial"/>
          <w:b/>
          <w:sz w:val="24"/>
          <w:szCs w:val="24"/>
        </w:rPr>
        <w:t xml:space="preserve"> 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D5319B" w:rsidRPr="00562DE4" w:rsidRDefault="00D5319B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Az Önkormányzat vállalja, hogy a felnőtt női NB1-es csapat működtetésére </w:t>
      </w:r>
      <w:r w:rsidR="005944AB" w:rsidRPr="00562DE4">
        <w:rPr>
          <w:rFonts w:ascii="Arial" w:hAnsi="Arial" w:cs="Arial"/>
          <w:sz w:val="24"/>
          <w:szCs w:val="24"/>
        </w:rPr>
        <w:t xml:space="preserve">2019. évben 20 millió Ft-ot, 2020. június 30. napjáig további 20 millió Ft-ot biztosít. </w:t>
      </w:r>
      <w:r w:rsidR="00B758B7" w:rsidRPr="00562DE4">
        <w:rPr>
          <w:rFonts w:ascii="Arial" w:hAnsi="Arial" w:cs="Arial"/>
          <w:sz w:val="24"/>
          <w:szCs w:val="24"/>
        </w:rPr>
        <w:t xml:space="preserve"> Az önkormányzat a </w:t>
      </w:r>
      <w:r w:rsidR="005944AB" w:rsidRPr="00562DE4">
        <w:rPr>
          <w:rFonts w:ascii="Arial" w:hAnsi="Arial" w:cs="Arial"/>
          <w:sz w:val="24"/>
          <w:szCs w:val="24"/>
        </w:rPr>
        <w:t xml:space="preserve">2019. évi támogatást legkésőbb 2019. augusztus 15. napjáig, a 2020. évi </w:t>
      </w:r>
      <w:r w:rsidR="00B758B7" w:rsidRPr="00562DE4">
        <w:rPr>
          <w:rFonts w:ascii="Arial" w:hAnsi="Arial" w:cs="Arial"/>
          <w:sz w:val="24"/>
          <w:szCs w:val="24"/>
        </w:rPr>
        <w:t xml:space="preserve">támogatást </w:t>
      </w:r>
      <w:r w:rsidR="005944AB" w:rsidRPr="00562DE4">
        <w:rPr>
          <w:rFonts w:ascii="Arial" w:hAnsi="Arial" w:cs="Arial"/>
          <w:sz w:val="24"/>
          <w:szCs w:val="24"/>
        </w:rPr>
        <w:t xml:space="preserve">legkésőbb 2020. március 30. napjáig </w:t>
      </w:r>
      <w:r w:rsidR="00B758B7" w:rsidRPr="00562DE4">
        <w:rPr>
          <w:rFonts w:ascii="Arial" w:hAnsi="Arial" w:cs="Arial"/>
          <w:sz w:val="24"/>
          <w:szCs w:val="24"/>
        </w:rPr>
        <w:t>a Viktória bankszámlájára utalja, amely a Haladástól kapott kimutatás alapján havonta átutalja a megfelelő összeget a labdarúgók és stábtagok bérének kifizetéséhez.</w:t>
      </w:r>
      <w:r w:rsidR="00300AE9" w:rsidRPr="00562DE4">
        <w:rPr>
          <w:rFonts w:ascii="Arial" w:hAnsi="Arial" w:cs="Arial"/>
          <w:sz w:val="24"/>
          <w:szCs w:val="24"/>
        </w:rPr>
        <w:t xml:space="preserve"> Az Önkormányzat a további támogatásról a tárgyévi költségvetésének ismeretében dönt.</w:t>
      </w:r>
    </w:p>
    <w:p w:rsidR="00CA4181" w:rsidRPr="00562DE4" w:rsidRDefault="00CA4181" w:rsidP="00562DE4">
      <w:pPr>
        <w:pStyle w:val="Listaszerbekezds"/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CA4181" w:rsidRPr="00562DE4" w:rsidRDefault="00CA418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felek megállapítják, hogy a Viktória a 2018. évben kapott önkormányzati támogatási összeggel elszámolt a szerződésben foglalt feltételekkel és határidőben, így a 2019. évi támogatásra jogosult.</w:t>
      </w:r>
    </w:p>
    <w:p w:rsidR="00B70461" w:rsidRPr="00562DE4" w:rsidRDefault="00CA418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Viktória e szerződés mellékletét képező, az államháztartásról szóló 2011. évi CXCV. törvény 50. § (1) bekezdés c) pontjában foglaltakra tekintettel tett nyilatkozata alapján a nemzeti vagyonról szóló 2011. évi CXCVI. törvény 3.§ (1) bekezdés 1. pontja szerinti átlátható szervezetnek minősül.</w:t>
      </w:r>
    </w:p>
    <w:p w:rsidR="00B70461" w:rsidRPr="00562DE4" w:rsidRDefault="00CA418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Viktória a közpénzekből nyújtott támogatások átláthatóságáról szóló 2007. évi CLXXXI. </w:t>
      </w:r>
      <w:r w:rsidRPr="00562DE4">
        <w:rPr>
          <w:rFonts w:ascii="Arial" w:hAnsi="Arial" w:cs="Arial"/>
          <w:sz w:val="24"/>
          <w:szCs w:val="24"/>
        </w:rPr>
        <w:t>törvény által előírt összeférhetetlenségre és érintettségre vonatkozóan azt a nyilatkozatot tette, hogy vele szemben a törvény 6. §</w:t>
      </w:r>
      <w:proofErr w:type="spellStart"/>
      <w:r w:rsidRPr="00562DE4">
        <w:rPr>
          <w:rFonts w:ascii="Arial" w:hAnsi="Arial" w:cs="Arial"/>
          <w:sz w:val="24"/>
          <w:szCs w:val="24"/>
        </w:rPr>
        <w:t>-a</w:t>
      </w:r>
      <w:proofErr w:type="spellEnd"/>
      <w:r w:rsidRPr="00562DE4">
        <w:rPr>
          <w:rFonts w:ascii="Arial" w:hAnsi="Arial" w:cs="Arial"/>
          <w:sz w:val="24"/>
          <w:szCs w:val="24"/>
        </w:rPr>
        <w:t xml:space="preserve"> szerinti összeférhetetlenség, illetve 8. §</w:t>
      </w:r>
      <w:proofErr w:type="spellStart"/>
      <w:r w:rsidRPr="00562DE4">
        <w:rPr>
          <w:rFonts w:ascii="Arial" w:hAnsi="Arial" w:cs="Arial"/>
          <w:sz w:val="24"/>
          <w:szCs w:val="24"/>
        </w:rPr>
        <w:t>-a</w:t>
      </w:r>
      <w:proofErr w:type="spellEnd"/>
      <w:r w:rsidRPr="00562DE4">
        <w:rPr>
          <w:rFonts w:ascii="Arial" w:hAnsi="Arial" w:cs="Arial"/>
          <w:sz w:val="24"/>
          <w:szCs w:val="24"/>
        </w:rPr>
        <w:t xml:space="preserve"> szerinti érintettség nem áll fenn.</w:t>
      </w:r>
      <w:r w:rsidR="00B70461" w:rsidRPr="00562DE4">
        <w:rPr>
          <w:rFonts w:ascii="Arial" w:hAnsi="Arial" w:cs="Arial"/>
          <w:sz w:val="24"/>
          <w:szCs w:val="24"/>
        </w:rPr>
        <w:t xml:space="preserve"> 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a támogatást csak a jelen szerződésben megjelölt célra használhatja fel.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</w:t>
      </w:r>
      <w:r w:rsidR="003A1A90" w:rsidRPr="00562DE4">
        <w:rPr>
          <w:rFonts w:ascii="Arial" w:hAnsi="Arial" w:cs="Arial"/>
          <w:sz w:val="24"/>
          <w:szCs w:val="24"/>
        </w:rPr>
        <w:t>az Önkormányzat</w:t>
      </w:r>
      <w:r w:rsidRPr="00562DE4">
        <w:rPr>
          <w:rFonts w:ascii="Arial" w:hAnsi="Arial" w:cs="Arial"/>
          <w:sz w:val="24"/>
          <w:szCs w:val="24"/>
        </w:rPr>
        <w:t xml:space="preserve">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nevét,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tevékenységet és a támogatás összegét, az érintettséget valamint – a számlák és bizonylatok kivételével – a benyújtott és elfogadott pályázati elszámolást nyilvánosságra hozza.</w:t>
      </w:r>
    </w:p>
    <w:p w:rsidR="00B70461" w:rsidRPr="00562DE4" w:rsidRDefault="003A1A90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Önkormányzat</w:t>
      </w:r>
      <w:r w:rsidR="00B70461" w:rsidRPr="00562DE4">
        <w:rPr>
          <w:rFonts w:ascii="Arial" w:hAnsi="Arial" w:cs="Arial"/>
          <w:sz w:val="24"/>
          <w:szCs w:val="24"/>
        </w:rPr>
        <w:t xml:space="preserve"> fenntartja magának azt a jogot, hogy a </w:t>
      </w:r>
      <w:r w:rsidRPr="00562DE4">
        <w:rPr>
          <w:rFonts w:ascii="Arial" w:hAnsi="Arial" w:cs="Arial"/>
          <w:sz w:val="24"/>
          <w:szCs w:val="24"/>
        </w:rPr>
        <w:t>Viktória</w:t>
      </w:r>
      <w:r w:rsidR="00B70461" w:rsidRPr="00562DE4">
        <w:rPr>
          <w:rFonts w:ascii="Arial" w:hAnsi="Arial" w:cs="Arial"/>
          <w:sz w:val="24"/>
          <w:szCs w:val="24"/>
        </w:rPr>
        <w:t xml:space="preserve"> tevékenységet, a támogatás felhasználását a Polgármesteri Hivatal illetékes belső szervezeti egységei ellenőrizhetik.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hozzájárul a </w:t>
      </w:r>
      <w:r w:rsidR="003A1A90" w:rsidRPr="00562DE4">
        <w:rPr>
          <w:rFonts w:ascii="Arial" w:hAnsi="Arial" w:cs="Arial"/>
          <w:sz w:val="24"/>
          <w:szCs w:val="24"/>
        </w:rPr>
        <w:t>támogatott</w:t>
      </w:r>
      <w:r w:rsidRPr="00562DE4">
        <w:rPr>
          <w:rFonts w:ascii="Arial" w:hAnsi="Arial" w:cs="Arial"/>
          <w:sz w:val="24"/>
          <w:szCs w:val="24"/>
        </w:rPr>
        <w:t xml:space="preserve"> tevékenység, valamint a támogatás felhasználásának ellenőrzéséhez, működésének teljes körű megismeréséhez.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olyan nyilvántartást köteles vezetni, amelyből az adatok naprakészen megállapíthatók.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20</w:t>
      </w:r>
      <w:r w:rsidR="005010C6" w:rsidRPr="00562DE4">
        <w:rPr>
          <w:rFonts w:ascii="Arial" w:hAnsi="Arial" w:cs="Arial"/>
          <w:sz w:val="24"/>
          <w:szCs w:val="24"/>
        </w:rPr>
        <w:t>20</w:t>
      </w:r>
      <w:r w:rsidRPr="00562DE4">
        <w:rPr>
          <w:rFonts w:ascii="Arial" w:hAnsi="Arial" w:cs="Arial"/>
          <w:sz w:val="24"/>
          <w:szCs w:val="24"/>
        </w:rPr>
        <w:t xml:space="preserve">. január 31. napjáig köteles elszámolást, azaz szakmai és pénzügyi beszámolót készíteni.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köteles tételes pénzügyi elszámolást készíteni (számlaösszesítőt, záradékkal ellátott, hitelesített számlamásolatokat és pénzügyi bizonylatokat, valamint teljesítésigazolást mellékelve), továbbá nyilatkozni arról, hogy a számlákat más elszámoláshoz nem használja fel. Az eredeti számlán záradékként fel kell tüntetni: "SZMJV Önkormányzata által </w:t>
      </w:r>
      <w:proofErr w:type="gramStart"/>
      <w:r w:rsidRPr="00562DE4">
        <w:rPr>
          <w:rFonts w:ascii="Arial" w:hAnsi="Arial" w:cs="Arial"/>
          <w:sz w:val="24"/>
          <w:szCs w:val="24"/>
        </w:rPr>
        <w:t>a …</w:t>
      </w:r>
      <w:proofErr w:type="gramEnd"/>
      <w:r w:rsidRPr="00562DE4">
        <w:rPr>
          <w:rFonts w:ascii="Arial" w:hAnsi="Arial" w:cs="Arial"/>
          <w:sz w:val="24"/>
          <w:szCs w:val="24"/>
        </w:rPr>
        <w:t xml:space="preserve">… számú támogatási szerződésben biztosított támogatásra elszámolva". A tájékoztatást és az elszámolást egy példányban a Polgármesteri Hivatal </w:t>
      </w:r>
      <w:r w:rsidR="005010C6" w:rsidRPr="00562DE4">
        <w:rPr>
          <w:rFonts w:ascii="Arial" w:hAnsi="Arial" w:cs="Arial"/>
          <w:sz w:val="24"/>
          <w:szCs w:val="24"/>
        </w:rPr>
        <w:t>Egészségügyi és Közszolgálati Osztály Köznevelési, Sport és Ifjúsági Irodájá</w:t>
      </w:r>
      <w:r w:rsidRPr="00562DE4">
        <w:rPr>
          <w:rFonts w:ascii="Arial" w:hAnsi="Arial" w:cs="Arial"/>
          <w:sz w:val="24"/>
          <w:szCs w:val="24"/>
        </w:rPr>
        <w:t>nak kell megküldeni.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támogathatóságát – az önkormányzat 201</w:t>
      </w:r>
      <w:r w:rsidR="00B41EA4" w:rsidRPr="00562DE4">
        <w:rPr>
          <w:rFonts w:ascii="Arial" w:hAnsi="Arial" w:cs="Arial"/>
          <w:sz w:val="24"/>
          <w:szCs w:val="24"/>
        </w:rPr>
        <w:t>9</w:t>
      </w:r>
      <w:r w:rsidRPr="00562DE4">
        <w:rPr>
          <w:rFonts w:ascii="Arial" w:hAnsi="Arial" w:cs="Arial"/>
          <w:sz w:val="24"/>
          <w:szCs w:val="24"/>
        </w:rPr>
        <w:t xml:space="preserve">. évi költségvetéséről szóló </w:t>
      </w:r>
      <w:r w:rsidR="00B41EA4" w:rsidRPr="00562DE4">
        <w:rPr>
          <w:rFonts w:ascii="Arial" w:hAnsi="Arial" w:cs="Arial"/>
          <w:sz w:val="24"/>
          <w:szCs w:val="24"/>
        </w:rPr>
        <w:t>5</w:t>
      </w:r>
      <w:r w:rsidRPr="00562DE4">
        <w:rPr>
          <w:rFonts w:ascii="Arial" w:hAnsi="Arial" w:cs="Arial"/>
          <w:sz w:val="24"/>
          <w:szCs w:val="24"/>
        </w:rPr>
        <w:t>/201</w:t>
      </w:r>
      <w:r w:rsidR="00B41EA4" w:rsidRPr="00562DE4">
        <w:rPr>
          <w:rFonts w:ascii="Arial" w:hAnsi="Arial" w:cs="Arial"/>
          <w:sz w:val="24"/>
          <w:szCs w:val="24"/>
        </w:rPr>
        <w:t>9</w:t>
      </w:r>
      <w:r w:rsidRPr="00562DE4">
        <w:rPr>
          <w:rFonts w:ascii="Arial" w:hAnsi="Arial" w:cs="Arial"/>
          <w:sz w:val="24"/>
          <w:szCs w:val="24"/>
        </w:rPr>
        <w:t>. (</w:t>
      </w:r>
      <w:r w:rsidR="00B41EA4" w:rsidRPr="00562DE4">
        <w:rPr>
          <w:rFonts w:ascii="Arial" w:hAnsi="Arial" w:cs="Arial"/>
          <w:sz w:val="24"/>
          <w:szCs w:val="24"/>
        </w:rPr>
        <w:t>IV.1.</w:t>
      </w:r>
      <w:r w:rsidRPr="00562DE4">
        <w:rPr>
          <w:rFonts w:ascii="Arial" w:hAnsi="Arial" w:cs="Arial"/>
          <w:sz w:val="24"/>
          <w:szCs w:val="24"/>
        </w:rPr>
        <w:t>) önkormányzati rendel</w:t>
      </w:r>
      <w:r w:rsidR="00E15CAF" w:rsidRPr="00562DE4">
        <w:rPr>
          <w:rFonts w:ascii="Arial" w:hAnsi="Arial" w:cs="Arial"/>
          <w:sz w:val="24"/>
          <w:szCs w:val="24"/>
        </w:rPr>
        <w:t>et 11. § (11</w:t>
      </w:r>
      <w:r w:rsidRPr="00562DE4">
        <w:rPr>
          <w:rFonts w:ascii="Arial" w:hAnsi="Arial" w:cs="Arial"/>
          <w:sz w:val="24"/>
          <w:szCs w:val="24"/>
        </w:rPr>
        <w:t xml:space="preserve">) bekezdésében foglalt szabály alapján – a </w:t>
      </w:r>
      <w:r w:rsidR="00AE26A1" w:rsidRPr="00562DE4">
        <w:rPr>
          <w:rFonts w:ascii="Arial" w:hAnsi="Arial" w:cs="Arial"/>
          <w:sz w:val="24"/>
          <w:szCs w:val="24"/>
        </w:rPr>
        <w:t xml:space="preserve">Közgyűlés </w:t>
      </w:r>
      <w:r w:rsidRPr="00562DE4">
        <w:rPr>
          <w:rFonts w:ascii="Arial" w:hAnsi="Arial" w:cs="Arial"/>
          <w:sz w:val="24"/>
          <w:szCs w:val="24"/>
        </w:rPr>
        <w:t xml:space="preserve">jóváhagyta. 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Az elszámolás esetében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kizárólag a támogatási cél megvalósításával összefüggésben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nevére szóló számlákkal, valamint az általa kibocsátott pénzügyi bizonylatokkal (személyi jellegű kifizetések esetén) jogosult elszámolni. </w:t>
      </w: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a támogatás felhasználására kizárólag csak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jogosult. A támogatás harmadik személy részére történő továbbadására kizárólag jelen támogatási szerződés módosítását követően jogosult.</w:t>
      </w:r>
    </w:p>
    <w:p w:rsidR="00B70461" w:rsidRPr="00562DE4" w:rsidRDefault="00C12B25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Az Önkormányzat</w:t>
      </w:r>
      <w:r w:rsidR="00B70461" w:rsidRPr="00562DE4">
        <w:rPr>
          <w:rFonts w:ascii="Arial" w:hAnsi="Arial" w:cs="Arial"/>
          <w:sz w:val="24"/>
          <w:szCs w:val="24"/>
        </w:rPr>
        <w:t xml:space="preserve"> fenntartja magának a jogot, hogy amennyiben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="00B70461" w:rsidRPr="00562DE4">
        <w:rPr>
          <w:rFonts w:ascii="Arial" w:hAnsi="Arial" w:cs="Arial"/>
          <w:sz w:val="24"/>
          <w:szCs w:val="24"/>
        </w:rPr>
        <w:t xml:space="preserve"> a kérelmében megjelölt költségvetésben meghatározott tartalomtól eltérő számlákkal, valamint bizonylatokkal számol el, úgy a </w:t>
      </w:r>
      <w:r w:rsidRPr="00562DE4">
        <w:rPr>
          <w:rFonts w:ascii="Arial" w:hAnsi="Arial" w:cs="Arial"/>
          <w:sz w:val="24"/>
          <w:szCs w:val="24"/>
        </w:rPr>
        <w:t>6.13.</w:t>
      </w:r>
      <w:r w:rsidR="00B70461" w:rsidRPr="00562DE4">
        <w:rPr>
          <w:rFonts w:ascii="Arial" w:hAnsi="Arial" w:cs="Arial"/>
          <w:sz w:val="24"/>
          <w:szCs w:val="24"/>
        </w:rPr>
        <w:t xml:space="preserve"> és </w:t>
      </w:r>
      <w:r w:rsidRPr="00562DE4">
        <w:rPr>
          <w:rFonts w:ascii="Arial" w:hAnsi="Arial" w:cs="Arial"/>
          <w:sz w:val="24"/>
          <w:szCs w:val="24"/>
        </w:rPr>
        <w:t>6.14</w:t>
      </w:r>
      <w:r w:rsidR="00B70461" w:rsidRPr="00562DE4">
        <w:rPr>
          <w:rFonts w:ascii="Arial" w:hAnsi="Arial" w:cs="Arial"/>
          <w:sz w:val="24"/>
          <w:szCs w:val="24"/>
        </w:rPr>
        <w:t>. pontban meghatározott jogkövetkezményt alkalmazza.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Amennyiben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a támogatási összeget nem teljes egészében használja fel, úgy a fel nem használt összeget a beszámoló benyújtásával egyidejűleg, de legkésőbb a </w:t>
      </w:r>
      <w:r w:rsidR="00C12B25" w:rsidRPr="00562DE4">
        <w:rPr>
          <w:rFonts w:ascii="Arial" w:hAnsi="Arial" w:cs="Arial"/>
          <w:sz w:val="24"/>
          <w:szCs w:val="24"/>
        </w:rPr>
        <w:t>6.8</w:t>
      </w:r>
      <w:r w:rsidRPr="00562DE4">
        <w:rPr>
          <w:rFonts w:ascii="Arial" w:hAnsi="Arial" w:cs="Arial"/>
          <w:sz w:val="24"/>
          <w:szCs w:val="24"/>
        </w:rPr>
        <w:t>. pontban meghatározott időpontig köteles visszafizetni a Támogató részére.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szerződésszegés esetén, a támogatás teljes összegét a Ptk. szerinti késedelmi kamattal együtt köteles az erre történő felszólítástól számított 8 napon belül visszafizetni.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ha a </w:t>
      </w:r>
      <w:r w:rsidR="00C12B25" w:rsidRPr="00562DE4">
        <w:rPr>
          <w:rFonts w:ascii="Arial" w:hAnsi="Arial" w:cs="Arial"/>
          <w:sz w:val="24"/>
          <w:szCs w:val="24"/>
        </w:rPr>
        <w:t>6.8</w:t>
      </w:r>
      <w:r w:rsidRPr="00562DE4">
        <w:rPr>
          <w:rFonts w:ascii="Arial" w:hAnsi="Arial" w:cs="Arial"/>
          <w:sz w:val="24"/>
          <w:szCs w:val="24"/>
        </w:rPr>
        <w:t xml:space="preserve">. pont szerinti elszámolást határidőben nem nyújtotta be, és a határidő meghosszabbítását sem kérte vagy a határidő meghosszabbítása nem került jóváhagyásra, akkor a </w:t>
      </w:r>
      <w:r w:rsidR="00C12B25" w:rsidRPr="00562DE4">
        <w:rPr>
          <w:rFonts w:ascii="Arial" w:hAnsi="Arial" w:cs="Arial"/>
          <w:sz w:val="24"/>
          <w:szCs w:val="24"/>
        </w:rPr>
        <w:t>támogatott</w:t>
      </w:r>
      <w:r w:rsidRPr="00562DE4">
        <w:rPr>
          <w:rFonts w:ascii="Arial" w:hAnsi="Arial" w:cs="Arial"/>
          <w:sz w:val="24"/>
          <w:szCs w:val="24"/>
        </w:rPr>
        <w:t xml:space="preserve"> szervezet az elszámolási határidő lejártát követő egy éven belül önkormányzati támogatásban nem részesülhet, és azt követően is csak akkor, ha időközben elszámolási kötelezettségét teljesíti.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ha az eljárás során megtévesztő vagy valótlan adatot közölt, akkor e tény tudomásra jutásától számított három éven belül önkormányzati forrásból támogatásban nem részesülhet.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amennyiben a 2007. évi CLXXXI. törvény rendelkezési alapján nem lett volna jogosult a támogatásra, e szerződés semmis. A folyósított támogatást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egy összegben, a folyósítás és a visszafizetés időpontja közötti időszakra eső, az adózás rendjéről szóló törvényben meghatározott késedelmi pótlékkal azonos mértékű kamattal növelten köteles visszatéríteni.</w:t>
      </w:r>
    </w:p>
    <w:p w:rsidR="00C368BF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Az érvénytelenség megállapítását a döntéshozatalt követő két éven belül, írásban bárki kezdeményezheti.</w:t>
      </w:r>
      <w:r w:rsidR="00DC168D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A döntést hozó szerv vezetője vagy a döntést hozó személy a kezdeményezésről annak kézhezvételétől számított 15 napon belül határozattal dönt.</w:t>
      </w:r>
      <w:r w:rsidR="00DC168D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A döntéshozatalt követő hat hónapon túl, illetve a pályázatban foglaltak megvalósítását követően az első bekezdésben foglalt jogkövetkezmény nem alkalmazható.</w:t>
      </w:r>
      <w:r w:rsidR="00C368BF" w:rsidRPr="00562DE4">
        <w:rPr>
          <w:rFonts w:ascii="Arial" w:hAnsi="Arial" w:cs="Arial"/>
          <w:sz w:val="24"/>
          <w:szCs w:val="24"/>
        </w:rPr>
        <w:t xml:space="preserve"> </w:t>
      </w:r>
    </w:p>
    <w:p w:rsidR="00C368BF" w:rsidRPr="00562DE4" w:rsidRDefault="00C368BF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felek rögzítik, hogy a kormányzati funkciók, államháztartási szakfeladatok és szakágazatok osztályozási rendjéről szóló 68/2013. (XII. 29.) NGM rendelet 4. § (2) bekezdésében foglaltaknak eleget téve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által igényelt támogatás céljának kormányzati funkciójaként a „</w:t>
      </w:r>
      <w:r w:rsidR="00DC168D" w:rsidRPr="00562DE4">
        <w:rPr>
          <w:rFonts w:ascii="Arial" w:hAnsi="Arial" w:cs="Arial"/>
          <w:sz w:val="24"/>
          <w:szCs w:val="24"/>
        </w:rPr>
        <w:t>081041 Versenysport- és utánpótlás-nevelési tevékenység és támogatása</w:t>
      </w:r>
      <w:r w:rsidRPr="00562DE4">
        <w:rPr>
          <w:rFonts w:ascii="Arial" w:hAnsi="Arial" w:cs="Arial"/>
          <w:sz w:val="24"/>
          <w:szCs w:val="24"/>
        </w:rPr>
        <w:t xml:space="preserve">” funkciót jelölik meg. </w:t>
      </w:r>
    </w:p>
    <w:p w:rsidR="00C368BF" w:rsidRPr="00562DE4" w:rsidRDefault="00C368BF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kötelezettséget vállal arra, hogy a támogatási szerződésben foglalt cél megvalósítása során a hatályos jogszabályokat betartja. </w:t>
      </w:r>
    </w:p>
    <w:p w:rsidR="00352751" w:rsidRPr="00562DE4" w:rsidRDefault="00C368BF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Jelen </w:t>
      </w:r>
      <w:r w:rsidR="00C81BCA" w:rsidRPr="00562DE4">
        <w:rPr>
          <w:rFonts w:ascii="Arial" w:hAnsi="Arial" w:cs="Arial"/>
          <w:sz w:val="24"/>
          <w:szCs w:val="24"/>
        </w:rPr>
        <w:t>megállapodásban</w:t>
      </w:r>
      <w:r w:rsidRPr="00562DE4">
        <w:rPr>
          <w:rFonts w:ascii="Arial" w:hAnsi="Arial" w:cs="Arial"/>
          <w:sz w:val="24"/>
          <w:szCs w:val="24"/>
        </w:rPr>
        <w:t xml:space="preserve"> nem szabályozott kérdésekben </w:t>
      </w:r>
      <w:r w:rsidR="00C81BCA" w:rsidRPr="00562DE4">
        <w:rPr>
          <w:rFonts w:ascii="Arial" w:hAnsi="Arial" w:cs="Arial"/>
          <w:sz w:val="24"/>
          <w:szCs w:val="24"/>
        </w:rPr>
        <w:t xml:space="preserve">a támogatás tekintetében </w:t>
      </w:r>
      <w:r w:rsidRPr="00562DE4">
        <w:rPr>
          <w:rFonts w:ascii="Arial" w:hAnsi="Arial" w:cs="Arial"/>
          <w:sz w:val="24"/>
          <w:szCs w:val="24"/>
        </w:rPr>
        <w:t>az önkormányzati forrásátadásról szóló 47/2013. (XII. 4.) önkormányzati rendeletben foglaltak az irányadóak.</w:t>
      </w:r>
    </w:p>
    <w:p w:rsidR="00E16A0D" w:rsidRPr="00562DE4" w:rsidRDefault="00E16A0D" w:rsidP="00562DE4">
      <w:pPr>
        <w:pStyle w:val="Listaszerbekezds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758B7" w:rsidRPr="00562DE4" w:rsidRDefault="00B758B7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felnőtt női N</w:t>
      </w:r>
      <w:r w:rsidR="00B96687">
        <w:rPr>
          <w:rFonts w:ascii="Arial" w:hAnsi="Arial" w:cs="Arial"/>
          <w:sz w:val="24"/>
          <w:szCs w:val="24"/>
        </w:rPr>
        <w:t>B</w:t>
      </w:r>
      <w:r w:rsidRPr="00562DE4">
        <w:rPr>
          <w:rFonts w:ascii="Arial" w:hAnsi="Arial" w:cs="Arial"/>
          <w:sz w:val="24"/>
          <w:szCs w:val="24"/>
        </w:rPr>
        <w:t>1-es csapat hazai bajnoki mérkőzéseinek helyszíne a Haladás Sportkomplexum 9</w:t>
      </w:r>
      <w:r w:rsidR="00AC03E2" w:rsidRPr="00562DE4">
        <w:rPr>
          <w:rFonts w:ascii="Arial" w:hAnsi="Arial" w:cs="Arial"/>
          <w:sz w:val="24"/>
          <w:szCs w:val="24"/>
        </w:rPr>
        <w:t xml:space="preserve">700 Szombathely, </w:t>
      </w:r>
      <w:proofErr w:type="spellStart"/>
      <w:r w:rsidR="00AC03E2" w:rsidRPr="00562DE4">
        <w:rPr>
          <w:rFonts w:ascii="Arial" w:hAnsi="Arial" w:cs="Arial"/>
          <w:sz w:val="24"/>
          <w:szCs w:val="24"/>
        </w:rPr>
        <w:t>Rohonci</w:t>
      </w:r>
      <w:proofErr w:type="spellEnd"/>
      <w:r w:rsidR="00AC03E2" w:rsidRPr="00562DE4">
        <w:rPr>
          <w:rFonts w:ascii="Arial" w:hAnsi="Arial" w:cs="Arial"/>
          <w:sz w:val="24"/>
          <w:szCs w:val="24"/>
        </w:rPr>
        <w:t xml:space="preserve"> </w:t>
      </w:r>
      <w:r w:rsidR="00352751" w:rsidRPr="00562DE4">
        <w:rPr>
          <w:rFonts w:ascii="Arial" w:hAnsi="Arial" w:cs="Arial"/>
          <w:sz w:val="24"/>
          <w:szCs w:val="24"/>
        </w:rPr>
        <w:t>u.</w:t>
      </w:r>
      <w:r w:rsidR="00AC03E2" w:rsidRPr="00562DE4">
        <w:rPr>
          <w:rFonts w:ascii="Arial" w:hAnsi="Arial" w:cs="Arial"/>
          <w:sz w:val="24"/>
          <w:szCs w:val="24"/>
        </w:rPr>
        <w:t xml:space="preserve"> </w:t>
      </w:r>
      <w:r w:rsidR="00352751" w:rsidRPr="00562DE4">
        <w:rPr>
          <w:rFonts w:ascii="Arial" w:hAnsi="Arial" w:cs="Arial"/>
          <w:sz w:val="24"/>
          <w:szCs w:val="24"/>
        </w:rPr>
        <w:t xml:space="preserve">3, </w:t>
      </w:r>
      <w:r w:rsidRPr="00562DE4">
        <w:rPr>
          <w:rFonts w:ascii="Arial" w:hAnsi="Arial" w:cs="Arial"/>
          <w:sz w:val="24"/>
          <w:szCs w:val="24"/>
        </w:rPr>
        <w:t>vagy a Király Sportlétesítmény Szombathely, Temesvár u.</w:t>
      </w:r>
      <w:r w:rsidR="00944BCF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44.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B758B7" w:rsidRPr="00562DE4" w:rsidRDefault="00B758B7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felnőtt női N</w:t>
      </w:r>
      <w:r w:rsidR="00B96687">
        <w:rPr>
          <w:rFonts w:ascii="Arial" w:hAnsi="Arial" w:cs="Arial"/>
          <w:sz w:val="24"/>
          <w:szCs w:val="24"/>
        </w:rPr>
        <w:t>B</w:t>
      </w:r>
      <w:r w:rsidRPr="00562DE4">
        <w:rPr>
          <w:rFonts w:ascii="Arial" w:hAnsi="Arial" w:cs="Arial"/>
          <w:sz w:val="24"/>
          <w:szCs w:val="24"/>
        </w:rPr>
        <w:t>1-es csapat utazási és étkezési költségét a Haladás viseli.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B758B7" w:rsidRPr="00562DE4" w:rsidRDefault="00B758B7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felek a jelen </w:t>
      </w:r>
      <w:r w:rsidR="00055F4E" w:rsidRPr="00562DE4">
        <w:rPr>
          <w:rFonts w:ascii="Arial" w:hAnsi="Arial" w:cs="Arial"/>
          <w:sz w:val="24"/>
          <w:szCs w:val="24"/>
        </w:rPr>
        <w:t>együttműködési megállapodás módosítást a szezon vég</w:t>
      </w:r>
      <w:r w:rsidR="00352751" w:rsidRPr="00562DE4">
        <w:rPr>
          <w:rFonts w:ascii="Arial" w:hAnsi="Arial" w:cs="Arial"/>
          <w:sz w:val="24"/>
          <w:szCs w:val="24"/>
        </w:rPr>
        <w:t>én</w:t>
      </w:r>
      <w:r w:rsidR="00055F4E" w:rsidRPr="00562DE4">
        <w:rPr>
          <w:rFonts w:ascii="Arial" w:hAnsi="Arial" w:cs="Arial"/>
          <w:sz w:val="24"/>
          <w:szCs w:val="24"/>
        </w:rPr>
        <w:t xml:space="preserve"> 3 hónapos rendes felmondási idővel mondhatják fel. Az együttműködési megállapodás bármely </w:t>
      </w:r>
      <w:r w:rsidR="00055F4E" w:rsidRPr="00562DE4">
        <w:rPr>
          <w:rFonts w:ascii="Arial" w:hAnsi="Arial" w:cs="Arial"/>
          <w:sz w:val="24"/>
          <w:szCs w:val="24"/>
        </w:rPr>
        <w:lastRenderedPageBreak/>
        <w:t xml:space="preserve">okból történő megszűnése esetén a női csapatok </w:t>
      </w:r>
      <w:r w:rsidR="00E84EFB" w:rsidRPr="00562DE4">
        <w:rPr>
          <w:rFonts w:ascii="Arial" w:hAnsi="Arial" w:cs="Arial"/>
          <w:sz w:val="24"/>
          <w:szCs w:val="24"/>
        </w:rPr>
        <w:t>versenyeztetési joga</w:t>
      </w:r>
      <w:r w:rsidR="00055F4E" w:rsidRPr="00562DE4">
        <w:rPr>
          <w:rFonts w:ascii="Arial" w:hAnsi="Arial" w:cs="Arial"/>
          <w:sz w:val="24"/>
          <w:szCs w:val="24"/>
        </w:rPr>
        <w:t xml:space="preserve"> a Viktóriára száll vissza térítésmentesen.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055F4E" w:rsidRPr="00562DE4" w:rsidRDefault="00055F4E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felek megállapodnak abban, hogy az együttműködésük keretei között folytatandó tevékenységüket érintő- akár szóban, akár írásban, vagy bármely egyéb módon, átadott jogi, üzleti információt, tényt, adatot, dokumentumot bizalmasan kezelik, azt illetéktelen harmadik személlyel nem közlik, nyilvánosságra nem hozzák,</w:t>
      </w:r>
      <w:r w:rsidR="00B96687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nem másolják,</w:t>
      </w:r>
      <w:r w:rsidR="00B96687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nem reprodukálják,</w:t>
      </w:r>
      <w:r w:rsidR="0069317C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kivéve</w:t>
      </w:r>
      <w:r w:rsidR="001C582C" w:rsidRPr="00562DE4">
        <w:rPr>
          <w:rFonts w:ascii="Arial" w:hAnsi="Arial" w:cs="Arial"/>
          <w:sz w:val="24"/>
          <w:szCs w:val="24"/>
        </w:rPr>
        <w:t>,</w:t>
      </w:r>
      <w:r w:rsidRPr="00562DE4">
        <w:rPr>
          <w:rFonts w:ascii="Arial" w:hAnsi="Arial" w:cs="Arial"/>
          <w:sz w:val="24"/>
          <w:szCs w:val="24"/>
        </w:rPr>
        <w:t xml:space="preserve"> ha ahhoz a felek előzetesen írásban hozzájárultak</w:t>
      </w:r>
      <w:r w:rsidR="00DD58F8">
        <w:rPr>
          <w:rFonts w:ascii="Arial" w:hAnsi="Arial" w:cs="Arial"/>
          <w:sz w:val="24"/>
          <w:szCs w:val="24"/>
        </w:rPr>
        <w:t xml:space="preserve"> vagy közérdekű adatnak minősülnek</w:t>
      </w:r>
      <w:r w:rsidRPr="00562DE4">
        <w:rPr>
          <w:rFonts w:ascii="Arial" w:hAnsi="Arial" w:cs="Arial"/>
          <w:sz w:val="24"/>
          <w:szCs w:val="24"/>
        </w:rPr>
        <w:t>. Felek a velük munkaviszonyban, tagsági viszonyban vagy munkavégzésre irányuló egyéb jogviszonyban állók, vállalkozóik, avagy bármely egyéb jogcímen nevükben eljárók magatartásáért- ideértve a titoktartási kötelezettséget is – úgy felelnek mintha maguk jártak volna el.</w:t>
      </w:r>
      <w:r w:rsidR="00036648" w:rsidRPr="00562DE4">
        <w:rPr>
          <w:rFonts w:ascii="Arial" w:hAnsi="Arial" w:cs="Arial"/>
          <w:sz w:val="24"/>
          <w:szCs w:val="24"/>
        </w:rPr>
        <w:t xml:space="preserve"> A titoktartási kötelezettség időbeli korlátozás nélkül terheli a feleket, míg az azzal kapcsolatosan meghatározott kötelezettségeik esetére teljes körű kártérítési felelősséget vállalnak.</w:t>
      </w:r>
    </w:p>
    <w:p w:rsidR="00562DE4" w:rsidRPr="00562DE4" w:rsidRDefault="00562DE4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036648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Szerződő felek kijelentik, hogy a jelen megállapodás kapcsán köztük felmerülő vita esetén a vitás kérdésben kötelező jelleggel egyeztetést tartanak, majd kizárólag annak nem várt eredménytelensége esetén fordulnak a hatáskörrel és illetékességgel rendelkező bírósági fórumhoz.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036648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Jelen szerződésben nem szabályozott kérdésekben a Polgári Törvénykönyvéről szóló mindenkor hatályos törvény, a Sportról szóló 2004. évi I. törvény, a Munka</w:t>
      </w:r>
      <w:r w:rsidR="00562DE4">
        <w:rPr>
          <w:rFonts w:ascii="Arial" w:hAnsi="Arial" w:cs="Arial"/>
          <w:sz w:val="24"/>
          <w:szCs w:val="24"/>
        </w:rPr>
        <w:t xml:space="preserve"> T</w:t>
      </w:r>
      <w:r w:rsidRPr="00562DE4">
        <w:rPr>
          <w:rFonts w:ascii="Arial" w:hAnsi="Arial" w:cs="Arial"/>
          <w:sz w:val="24"/>
          <w:szCs w:val="24"/>
        </w:rPr>
        <w:t>örvénykönyvéről szóló 2012.</w:t>
      </w:r>
      <w:r w:rsid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 xml:space="preserve">évi I. </w:t>
      </w:r>
      <w:r w:rsidR="00352751" w:rsidRPr="00562DE4">
        <w:rPr>
          <w:rFonts w:ascii="Arial" w:hAnsi="Arial" w:cs="Arial"/>
          <w:sz w:val="24"/>
          <w:szCs w:val="24"/>
        </w:rPr>
        <w:t>törvény,</w:t>
      </w:r>
      <w:r w:rsidRPr="00562DE4">
        <w:rPr>
          <w:rFonts w:ascii="Arial" w:hAnsi="Arial" w:cs="Arial"/>
          <w:sz w:val="24"/>
          <w:szCs w:val="24"/>
        </w:rPr>
        <w:t xml:space="preserve"> az MLSZ </w:t>
      </w:r>
      <w:r w:rsidR="00352751" w:rsidRPr="00562DE4">
        <w:rPr>
          <w:rFonts w:ascii="Arial" w:hAnsi="Arial" w:cs="Arial"/>
          <w:sz w:val="24"/>
          <w:szCs w:val="24"/>
        </w:rPr>
        <w:t>szabályzatai,</w:t>
      </w:r>
      <w:r w:rsidRPr="00562DE4">
        <w:rPr>
          <w:rFonts w:ascii="Arial" w:hAnsi="Arial" w:cs="Arial"/>
          <w:sz w:val="24"/>
          <w:szCs w:val="24"/>
        </w:rPr>
        <w:t xml:space="preserve"> a labdarúgásra vonatkozó szabályok, valamint a magyar jog egyéb vonatkozó rendelkezéseit kell alkalmazni.</w:t>
      </w:r>
    </w:p>
    <w:p w:rsidR="00036648" w:rsidRPr="00562DE4" w:rsidRDefault="00036648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352751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lastRenderedPageBreak/>
        <w:t>Jelen 12</w:t>
      </w:r>
      <w:r w:rsid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(tizenkét</w:t>
      </w:r>
      <w:r w:rsidR="00036648" w:rsidRPr="00562DE4">
        <w:rPr>
          <w:rFonts w:ascii="Arial" w:hAnsi="Arial" w:cs="Arial"/>
          <w:sz w:val="24"/>
          <w:szCs w:val="24"/>
        </w:rPr>
        <w:t xml:space="preserve">) pontból és </w:t>
      </w:r>
      <w:r w:rsidR="00562DE4">
        <w:rPr>
          <w:rFonts w:ascii="Arial" w:hAnsi="Arial" w:cs="Arial"/>
          <w:sz w:val="24"/>
          <w:szCs w:val="24"/>
        </w:rPr>
        <w:t>5</w:t>
      </w:r>
      <w:r w:rsidR="00036648" w:rsidRPr="00562DE4">
        <w:rPr>
          <w:rFonts w:ascii="Arial" w:hAnsi="Arial" w:cs="Arial"/>
          <w:sz w:val="24"/>
          <w:szCs w:val="24"/>
        </w:rPr>
        <w:t xml:space="preserve"> oldalból álló szerződés módosítás 6 (hat) eredeti példányban magyar nyelven készült, melyből mindhárom felet 2-2 példány illeti meg.</w:t>
      </w:r>
    </w:p>
    <w:p w:rsidR="00036648" w:rsidRPr="00562DE4" w:rsidRDefault="00036648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036648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jelen együttműködési megállapodás módosítást a Felek közösen elolvasták, tartalmát, rendelkezéseit, jogkövetkezményeit közösen értelmezték, azt a Felek megértették, és mint akaratukkal mindenben </w:t>
      </w:r>
      <w:r w:rsidR="007E60C2" w:rsidRPr="00562DE4">
        <w:rPr>
          <w:rFonts w:ascii="Arial" w:hAnsi="Arial" w:cs="Arial"/>
          <w:sz w:val="24"/>
          <w:szCs w:val="24"/>
        </w:rPr>
        <w:t>megegyezőt,</w:t>
      </w:r>
      <w:r w:rsidRPr="00562DE4">
        <w:rPr>
          <w:rFonts w:ascii="Arial" w:hAnsi="Arial" w:cs="Arial"/>
          <w:sz w:val="24"/>
          <w:szCs w:val="24"/>
        </w:rPr>
        <w:t xml:space="preserve"> jóváhagyólag aláírják.</w:t>
      </w:r>
    </w:p>
    <w:p w:rsidR="00036648" w:rsidRPr="00562DE4" w:rsidRDefault="00036648" w:rsidP="00562DE4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DC6863" w:rsidRPr="00562DE4" w:rsidRDefault="00F3048E" w:rsidP="00562DE4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Kelt Szombathelyen </w:t>
      </w:r>
      <w:r w:rsidR="00036648" w:rsidRPr="00562DE4">
        <w:rPr>
          <w:rFonts w:ascii="Arial" w:hAnsi="Arial" w:cs="Arial"/>
          <w:sz w:val="24"/>
          <w:szCs w:val="24"/>
        </w:rPr>
        <w:t xml:space="preserve">2019. </w:t>
      </w:r>
      <w:proofErr w:type="gramStart"/>
      <w:r w:rsidR="00F707BE">
        <w:rPr>
          <w:rFonts w:ascii="Arial" w:hAnsi="Arial" w:cs="Arial"/>
          <w:sz w:val="24"/>
          <w:szCs w:val="24"/>
        </w:rPr>
        <w:t>július ….</w:t>
      </w:r>
      <w:proofErr w:type="gramEnd"/>
      <w:r w:rsidR="00F707BE">
        <w:rPr>
          <w:rFonts w:ascii="Arial" w:hAnsi="Arial" w:cs="Arial"/>
          <w:sz w:val="24"/>
          <w:szCs w:val="24"/>
        </w:rPr>
        <w:t>.</w:t>
      </w:r>
      <w:r w:rsidR="00DC6863" w:rsidRPr="00562DE4">
        <w:rPr>
          <w:rFonts w:ascii="Arial" w:hAnsi="Arial" w:cs="Arial"/>
          <w:sz w:val="24"/>
          <w:szCs w:val="24"/>
        </w:rPr>
        <w:t xml:space="preserve"> napján.</w:t>
      </w:r>
    </w:p>
    <w:p w:rsidR="00DC6863" w:rsidRPr="00562DE4" w:rsidRDefault="00DC6863" w:rsidP="00562DE4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DC6863" w:rsidRPr="00562DE4" w:rsidRDefault="00DC6863" w:rsidP="00562DE4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F3048E" w:rsidRPr="00562DE4" w:rsidRDefault="00F3048E" w:rsidP="00562DE4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DC6863" w:rsidRPr="000B25E7" w:rsidRDefault="00DC6863" w:rsidP="00562DE4">
      <w:pPr>
        <w:spacing w:after="0" w:line="240" w:lineRule="auto"/>
        <w:rPr>
          <w:rFonts w:ascii="Arial" w:hAnsi="Arial" w:cs="Arial"/>
        </w:rPr>
      </w:pPr>
      <w:r w:rsidRPr="000B25E7">
        <w:rPr>
          <w:rFonts w:ascii="Arial" w:hAnsi="Arial" w:cs="Arial"/>
        </w:rPr>
        <w:t>----------------------</w:t>
      </w:r>
      <w:r w:rsidR="00F3048E" w:rsidRPr="000B25E7">
        <w:rPr>
          <w:rFonts w:ascii="Arial" w:hAnsi="Arial" w:cs="Arial"/>
        </w:rPr>
        <w:t>------------------------------</w:t>
      </w:r>
      <w:r w:rsidR="00F3048E" w:rsidRPr="000B25E7">
        <w:rPr>
          <w:rFonts w:ascii="Arial" w:hAnsi="Arial" w:cs="Arial"/>
        </w:rPr>
        <w:tab/>
      </w:r>
      <w:r w:rsidR="007E60C2" w:rsidRPr="000B25E7">
        <w:rPr>
          <w:rFonts w:ascii="Arial" w:hAnsi="Arial" w:cs="Arial"/>
        </w:rPr>
        <w:tab/>
      </w:r>
      <w:r w:rsidRPr="000B25E7">
        <w:rPr>
          <w:rFonts w:ascii="Arial" w:hAnsi="Arial" w:cs="Arial"/>
        </w:rPr>
        <w:t>----------------------</w:t>
      </w:r>
      <w:r w:rsidR="000B25E7" w:rsidRPr="000B25E7">
        <w:rPr>
          <w:rFonts w:ascii="Arial" w:hAnsi="Arial" w:cs="Arial"/>
        </w:rPr>
        <w:t>-----------------------------</w:t>
      </w:r>
    </w:p>
    <w:p w:rsidR="00DC6863" w:rsidRPr="000B25E7" w:rsidRDefault="00DC6863" w:rsidP="00562DE4">
      <w:pPr>
        <w:spacing w:after="0" w:line="240" w:lineRule="auto"/>
        <w:rPr>
          <w:rFonts w:ascii="Arial" w:hAnsi="Arial" w:cs="Arial"/>
          <w:b/>
        </w:rPr>
      </w:pPr>
      <w:r w:rsidRPr="000B25E7">
        <w:rPr>
          <w:rFonts w:ascii="Arial" w:hAnsi="Arial" w:cs="Arial"/>
          <w:b/>
        </w:rPr>
        <w:t>S</w:t>
      </w:r>
      <w:r w:rsidR="00F3048E" w:rsidRPr="000B25E7">
        <w:rPr>
          <w:rFonts w:ascii="Arial" w:hAnsi="Arial" w:cs="Arial"/>
          <w:b/>
        </w:rPr>
        <w:t>zombathelyi Haladás Labdarúgó</w:t>
      </w:r>
      <w:r w:rsidR="000B25E7" w:rsidRPr="000B25E7">
        <w:rPr>
          <w:rFonts w:ascii="Arial" w:hAnsi="Arial" w:cs="Arial"/>
          <w:b/>
        </w:rPr>
        <w:t xml:space="preserve"> Kft.</w:t>
      </w:r>
      <w:r w:rsidR="00F3048E" w:rsidRPr="000B25E7">
        <w:rPr>
          <w:rFonts w:ascii="Arial" w:hAnsi="Arial" w:cs="Arial"/>
          <w:b/>
        </w:rPr>
        <w:tab/>
      </w:r>
      <w:r w:rsidR="00F3048E" w:rsidRPr="000B25E7">
        <w:rPr>
          <w:rFonts w:ascii="Arial" w:hAnsi="Arial" w:cs="Arial"/>
          <w:b/>
        </w:rPr>
        <w:tab/>
      </w:r>
      <w:r w:rsidRPr="000B25E7">
        <w:rPr>
          <w:rFonts w:ascii="Arial" w:hAnsi="Arial" w:cs="Arial"/>
          <w:b/>
        </w:rPr>
        <w:t xml:space="preserve">Viktória </w:t>
      </w:r>
      <w:proofErr w:type="spellStart"/>
      <w:r w:rsidRPr="000B25E7">
        <w:rPr>
          <w:rFonts w:ascii="Arial" w:hAnsi="Arial" w:cs="Arial"/>
          <w:b/>
        </w:rPr>
        <w:t>Football</w:t>
      </w:r>
      <w:proofErr w:type="spellEnd"/>
      <w:r w:rsidRPr="000B25E7">
        <w:rPr>
          <w:rFonts w:ascii="Arial" w:hAnsi="Arial" w:cs="Arial"/>
          <w:b/>
        </w:rPr>
        <w:t xml:space="preserve"> Club Szombathely</w:t>
      </w:r>
    </w:p>
    <w:p w:rsidR="00DC6863" w:rsidRPr="000B25E7" w:rsidRDefault="000B25E7" w:rsidP="00562D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17D4A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F3048E" w:rsidRPr="000B25E7">
        <w:rPr>
          <w:rFonts w:ascii="Arial" w:hAnsi="Arial" w:cs="Arial"/>
          <w:b/>
        </w:rPr>
        <w:t xml:space="preserve">Tóth Miklós Ügyvezető </w:t>
      </w:r>
      <w:proofErr w:type="gramStart"/>
      <w:r w:rsidR="00F3048E" w:rsidRPr="000B25E7">
        <w:rPr>
          <w:rFonts w:ascii="Arial" w:hAnsi="Arial" w:cs="Arial"/>
          <w:b/>
        </w:rPr>
        <w:t>Igazgató</w:t>
      </w:r>
      <w:r w:rsidR="00F3048E" w:rsidRPr="000B25E7">
        <w:rPr>
          <w:rFonts w:ascii="Arial" w:hAnsi="Arial" w:cs="Arial"/>
          <w:b/>
        </w:rPr>
        <w:tab/>
      </w:r>
      <w:r w:rsidR="00F3048E" w:rsidRPr="000B25E7">
        <w:rPr>
          <w:rFonts w:ascii="Arial" w:hAnsi="Arial" w:cs="Arial"/>
          <w:b/>
        </w:rPr>
        <w:tab/>
      </w:r>
      <w:r w:rsidR="007E60C2" w:rsidRPr="000B25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DC6863" w:rsidRPr="000B25E7">
        <w:rPr>
          <w:rFonts w:ascii="Arial" w:hAnsi="Arial" w:cs="Arial"/>
          <w:b/>
        </w:rPr>
        <w:t>Barczi</w:t>
      </w:r>
      <w:proofErr w:type="gramEnd"/>
      <w:r w:rsidR="00DC6863" w:rsidRPr="000B25E7">
        <w:rPr>
          <w:rFonts w:ascii="Arial" w:hAnsi="Arial" w:cs="Arial"/>
          <w:b/>
        </w:rPr>
        <w:t xml:space="preserve"> Csaba Elnök</w:t>
      </w:r>
    </w:p>
    <w:p w:rsidR="00DC6863" w:rsidRPr="000B25E7" w:rsidRDefault="00DC6863" w:rsidP="00562DE4">
      <w:pPr>
        <w:spacing w:after="0" w:line="240" w:lineRule="auto"/>
        <w:rPr>
          <w:rFonts w:ascii="Arial" w:hAnsi="Arial" w:cs="Arial"/>
        </w:rPr>
      </w:pPr>
    </w:p>
    <w:p w:rsidR="00F3048E" w:rsidRPr="000B25E7" w:rsidRDefault="00F3048E" w:rsidP="00562DE4">
      <w:pPr>
        <w:spacing w:after="0" w:line="240" w:lineRule="auto"/>
        <w:rPr>
          <w:rFonts w:ascii="Arial" w:hAnsi="Arial" w:cs="Arial"/>
        </w:rPr>
      </w:pPr>
    </w:p>
    <w:p w:rsidR="00F3048E" w:rsidRPr="000B25E7" w:rsidRDefault="00EB6D7E" w:rsidP="005254A1">
      <w:pPr>
        <w:tabs>
          <w:tab w:val="left" w:pos="28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6863" w:rsidRPr="000B25E7" w:rsidRDefault="00574D69" w:rsidP="00562DE4">
      <w:pPr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6863" w:rsidRPr="000B25E7">
        <w:rPr>
          <w:rFonts w:ascii="Arial" w:hAnsi="Arial" w:cs="Arial"/>
        </w:rPr>
        <w:t>------------------------------------------------------------------</w:t>
      </w:r>
    </w:p>
    <w:p w:rsidR="00DC6863" w:rsidRPr="000B25E7" w:rsidRDefault="00DC6863" w:rsidP="00562DE4">
      <w:pPr>
        <w:spacing w:after="0" w:line="240" w:lineRule="auto"/>
        <w:ind w:left="1416" w:firstLine="708"/>
        <w:rPr>
          <w:rFonts w:ascii="Arial" w:hAnsi="Arial" w:cs="Arial"/>
          <w:b/>
        </w:rPr>
      </w:pPr>
      <w:r w:rsidRPr="000B25E7">
        <w:rPr>
          <w:rFonts w:ascii="Arial" w:hAnsi="Arial" w:cs="Arial"/>
          <w:b/>
        </w:rPr>
        <w:t>Szombathely Megyei Jogú Város Önkormányzata</w:t>
      </w:r>
    </w:p>
    <w:p w:rsidR="00036648" w:rsidRPr="000B25E7" w:rsidRDefault="000B25E7" w:rsidP="00562DE4">
      <w:pPr>
        <w:spacing w:after="0" w:line="24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C6863" w:rsidRPr="000B25E7">
        <w:rPr>
          <w:rFonts w:ascii="Arial" w:hAnsi="Arial" w:cs="Arial"/>
          <w:b/>
        </w:rPr>
        <w:t>Dr. Puskás Tivadar Polgármester</w:t>
      </w:r>
      <w:r w:rsidR="00036648" w:rsidRPr="000B25E7">
        <w:rPr>
          <w:rFonts w:ascii="Arial" w:hAnsi="Arial" w:cs="Arial"/>
          <w:b/>
        </w:rPr>
        <w:t xml:space="preserve"> </w:t>
      </w:r>
    </w:p>
    <w:sectPr w:rsidR="00036648" w:rsidRPr="000B25E7" w:rsidSect="00F304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F4" w:rsidRDefault="002E0DF4" w:rsidP="002E0DF4">
      <w:pPr>
        <w:spacing w:after="0" w:line="240" w:lineRule="auto"/>
      </w:pPr>
      <w:r>
        <w:separator/>
      </w:r>
    </w:p>
  </w:endnote>
  <w:endnote w:type="continuationSeparator" w:id="0">
    <w:p w:rsidR="002E0DF4" w:rsidRDefault="002E0DF4" w:rsidP="002E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20994"/>
      <w:docPartObj>
        <w:docPartGallery w:val="Page Numbers (Bottom of Page)"/>
        <w:docPartUnique/>
      </w:docPartObj>
    </w:sdtPr>
    <w:sdtContent>
      <w:p w:rsidR="002E0DF4" w:rsidRDefault="002E0D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4A">
          <w:rPr>
            <w:noProof/>
          </w:rPr>
          <w:t>1</w:t>
        </w:r>
        <w:r>
          <w:fldChar w:fldCharType="end"/>
        </w:r>
      </w:p>
    </w:sdtContent>
  </w:sdt>
  <w:p w:rsidR="002E0DF4" w:rsidRDefault="002E0D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F4" w:rsidRDefault="002E0DF4" w:rsidP="002E0DF4">
      <w:pPr>
        <w:spacing w:after="0" w:line="240" w:lineRule="auto"/>
      </w:pPr>
      <w:r>
        <w:separator/>
      </w:r>
    </w:p>
  </w:footnote>
  <w:footnote w:type="continuationSeparator" w:id="0">
    <w:p w:rsidR="002E0DF4" w:rsidRDefault="002E0DF4" w:rsidP="002E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62A4"/>
    <w:multiLevelType w:val="hybridMultilevel"/>
    <w:tmpl w:val="13286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4C48"/>
    <w:multiLevelType w:val="multilevel"/>
    <w:tmpl w:val="D1CE4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61"/>
    <w:rsid w:val="00036648"/>
    <w:rsid w:val="000450B6"/>
    <w:rsid w:val="00055F4E"/>
    <w:rsid w:val="000A1283"/>
    <w:rsid w:val="000B25E7"/>
    <w:rsid w:val="000C7745"/>
    <w:rsid w:val="00163CCB"/>
    <w:rsid w:val="00176BDC"/>
    <w:rsid w:val="0018779F"/>
    <w:rsid w:val="001C582C"/>
    <w:rsid w:val="002E0DF4"/>
    <w:rsid w:val="00300AE9"/>
    <w:rsid w:val="00352751"/>
    <w:rsid w:val="003A1A90"/>
    <w:rsid w:val="003A57F6"/>
    <w:rsid w:val="005010C6"/>
    <w:rsid w:val="005254A1"/>
    <w:rsid w:val="00562DE4"/>
    <w:rsid w:val="00574D69"/>
    <w:rsid w:val="005944AB"/>
    <w:rsid w:val="0069317C"/>
    <w:rsid w:val="007E60C2"/>
    <w:rsid w:val="009063AF"/>
    <w:rsid w:val="00935261"/>
    <w:rsid w:val="00944BCF"/>
    <w:rsid w:val="009863BA"/>
    <w:rsid w:val="009E787C"/>
    <w:rsid w:val="00AC03E2"/>
    <w:rsid w:val="00AE26A1"/>
    <w:rsid w:val="00B17D4A"/>
    <w:rsid w:val="00B41EA4"/>
    <w:rsid w:val="00B70461"/>
    <w:rsid w:val="00B758B7"/>
    <w:rsid w:val="00B96687"/>
    <w:rsid w:val="00C12B25"/>
    <w:rsid w:val="00C368BF"/>
    <w:rsid w:val="00C81BCA"/>
    <w:rsid w:val="00CA4181"/>
    <w:rsid w:val="00D5319B"/>
    <w:rsid w:val="00D74BEE"/>
    <w:rsid w:val="00DC168D"/>
    <w:rsid w:val="00DC6863"/>
    <w:rsid w:val="00DD58F8"/>
    <w:rsid w:val="00E15CAF"/>
    <w:rsid w:val="00E16A0D"/>
    <w:rsid w:val="00E62461"/>
    <w:rsid w:val="00E84EFB"/>
    <w:rsid w:val="00EB6D7E"/>
    <w:rsid w:val="00F0037C"/>
    <w:rsid w:val="00F3048E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909B-9D8B-4A43-B2A5-5626861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7F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CA4181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CA4181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E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DF4"/>
  </w:style>
  <w:style w:type="paragraph" w:styleId="llb">
    <w:name w:val="footer"/>
    <w:basedOn w:val="Norml"/>
    <w:link w:val="llbChar"/>
    <w:uiPriority w:val="99"/>
    <w:unhideWhenUsed/>
    <w:rsid w:val="002E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1586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Nagyné Dr. Gats Andrea</cp:lastModifiedBy>
  <cp:revision>37</cp:revision>
  <dcterms:created xsi:type="dcterms:W3CDTF">2019-07-23T11:19:00Z</dcterms:created>
  <dcterms:modified xsi:type="dcterms:W3CDTF">2019-07-23T12:16:00Z</dcterms:modified>
</cp:coreProperties>
</file>