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67" w:rsidRDefault="00826867" w:rsidP="00D5490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8. sz. melléklet</w:t>
      </w:r>
    </w:p>
    <w:p w:rsidR="00684ABE" w:rsidRDefault="00684ABE" w:rsidP="00684ABE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Összegző táblázat a fenntartói megállapodásban foglalt feladatok teljesítéséről</w:t>
      </w:r>
    </w:p>
    <w:p w:rsidR="00684ABE" w:rsidRPr="00D54900" w:rsidRDefault="00684ABE" w:rsidP="00684ABE">
      <w:pPr>
        <w:ind w:left="708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51"/>
        <w:gridCol w:w="4893"/>
      </w:tblGrid>
      <w:tr w:rsidR="00777FA0" w:rsidTr="00777FA0">
        <w:tc>
          <w:tcPr>
            <w:tcW w:w="7151" w:type="dxa"/>
          </w:tcPr>
          <w:p w:rsidR="00777FA0" w:rsidRPr="00FC3D62" w:rsidRDefault="00777FA0" w:rsidP="00684A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Mesebolt Bábszínház</w:t>
            </w:r>
          </w:p>
        </w:tc>
        <w:tc>
          <w:tcPr>
            <w:tcW w:w="4893" w:type="dxa"/>
          </w:tcPr>
          <w:p w:rsidR="00777FA0" w:rsidRPr="00FC3D62" w:rsidRDefault="00777FA0" w:rsidP="00FC3D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teljesítés</w:t>
            </w:r>
            <w:r w:rsidR="00684ABE">
              <w:rPr>
                <w:rFonts w:ascii="Arial" w:hAnsi="Arial" w:cs="Arial"/>
                <w:b/>
                <w:sz w:val="24"/>
                <w:szCs w:val="24"/>
              </w:rPr>
              <w:t xml:space="preserve"> a beszámoló alapján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művészek szakmai fejlődésének biztosítása</w:t>
            </w:r>
          </w:p>
        </w:tc>
        <w:tc>
          <w:tcPr>
            <w:tcW w:w="4893" w:type="dxa"/>
          </w:tcPr>
          <w:p w:rsidR="00777FA0" w:rsidRPr="00826867" w:rsidRDefault="00CB4338">
            <w:r>
              <w:t>igen (4</w:t>
            </w:r>
            <w:r w:rsidR="00777FA0" w:rsidRPr="00826867">
              <w:t xml:space="preserve"> díj)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műhelymunka feltételeinek megteremtése</w:t>
            </w:r>
          </w:p>
        </w:tc>
        <w:tc>
          <w:tcPr>
            <w:tcW w:w="4893" w:type="dxa"/>
          </w:tcPr>
          <w:p w:rsidR="00777FA0" w:rsidRPr="00826867" w:rsidRDefault="00777FA0" w:rsidP="00A358DA">
            <w:r w:rsidRPr="00826867"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évadonként legalább 4 bemutató</w:t>
            </w:r>
          </w:p>
        </w:tc>
        <w:tc>
          <w:tcPr>
            <w:tcW w:w="4893" w:type="dxa"/>
          </w:tcPr>
          <w:p w:rsidR="00777FA0" w:rsidRPr="00826867" w:rsidRDefault="00CB4338" w:rsidP="00CB4338">
            <w:r>
              <w:t>igen (8</w:t>
            </w:r>
            <w:r w:rsidR="00777FA0" w:rsidRPr="00826867">
              <w:t>)</w:t>
            </w:r>
          </w:p>
        </w:tc>
      </w:tr>
      <w:tr w:rsidR="00777FA0" w:rsidRPr="00560221" w:rsidTr="00777FA0">
        <w:tc>
          <w:tcPr>
            <w:tcW w:w="7151" w:type="dxa"/>
          </w:tcPr>
          <w:p w:rsidR="00777FA0" w:rsidRPr="00560221" w:rsidRDefault="00777FA0">
            <w:r w:rsidRPr="00560221">
              <w:t>kortárs és klasszikus</w:t>
            </w:r>
            <w:r w:rsidR="00E55638" w:rsidRPr="00560221">
              <w:t xml:space="preserve"> magyar szerzők aránya 50% </w:t>
            </w:r>
          </w:p>
        </w:tc>
        <w:tc>
          <w:tcPr>
            <w:tcW w:w="4893" w:type="dxa"/>
          </w:tcPr>
          <w:p w:rsidR="00777FA0" w:rsidRPr="00560221" w:rsidRDefault="00CB4338" w:rsidP="00CB4338">
            <w:r>
              <w:t>nem releváns</w:t>
            </w:r>
          </w:p>
        </w:tc>
      </w:tr>
      <w:tr w:rsidR="00777FA0" w:rsidTr="00777FA0">
        <w:tc>
          <w:tcPr>
            <w:tcW w:w="7151" w:type="dxa"/>
          </w:tcPr>
          <w:p w:rsidR="00777FA0" w:rsidRPr="00560221" w:rsidRDefault="00777FA0" w:rsidP="00A358DA">
            <w:r w:rsidRPr="00560221">
              <w:t>1 felnőtt bemutató (egyeztetve a Weöres Sándor Színházzal)</w:t>
            </w:r>
          </w:p>
        </w:tc>
        <w:tc>
          <w:tcPr>
            <w:tcW w:w="4893" w:type="dxa"/>
          </w:tcPr>
          <w:p w:rsidR="00777FA0" w:rsidRDefault="001E5C86" w:rsidP="00684ABE">
            <w:r w:rsidRPr="00560221">
              <w:t xml:space="preserve">nem kötelezettség, csak lehetőség 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előadások (lehetőség szerint – teltházzal) évadonként 22</w:t>
            </w:r>
            <w:r w:rsidR="00560221">
              <w:t>0, ebből 80% Szombathelyen</w:t>
            </w:r>
          </w:p>
        </w:tc>
        <w:tc>
          <w:tcPr>
            <w:tcW w:w="4893" w:type="dxa"/>
          </w:tcPr>
          <w:p w:rsidR="00777FA0" w:rsidRDefault="00CB4338" w:rsidP="00CB4338">
            <w:r>
              <w:t>igen (360) Szombathelyen:241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35% kulturálisan kevésbé ellátott településen, 5%-ot határon túli magyarlakta területen (tájelőadások)</w:t>
            </w:r>
          </w:p>
        </w:tc>
        <w:tc>
          <w:tcPr>
            <w:tcW w:w="4893" w:type="dxa"/>
          </w:tcPr>
          <w:p w:rsidR="00777FA0" w:rsidRDefault="00CB4338" w:rsidP="00CC0D5C">
            <w:r>
              <w:t>tájelőadások összesen: 119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fizetőnéző-szám a nézőtéri befogadóképesség 75%-a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össz-nézőszám: 25.000 fő</w:t>
            </w:r>
          </w:p>
        </w:tc>
        <w:tc>
          <w:tcPr>
            <w:tcW w:w="4893" w:type="dxa"/>
          </w:tcPr>
          <w:p w:rsidR="00777FA0" w:rsidRDefault="00CB4338">
            <w:r>
              <w:t>igen (29.200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fizetőnéző-szám: 20.000 fő</w:t>
            </w:r>
          </w:p>
        </w:tc>
        <w:tc>
          <w:tcPr>
            <w:tcW w:w="4893" w:type="dxa"/>
          </w:tcPr>
          <w:p w:rsidR="00777FA0" w:rsidRDefault="00CB4338">
            <w:r>
              <w:t>igen (25.175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kiemelt minősítésű besorolás megőrzése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A358DA">
            <w:r>
              <w:t>a műfaj sokszínűségének megőrzése, újszerű bábos előadó-művészeti  technikák alkalmazása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közönségkapcsolatok erősítése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bábszínházi szakmai programok szervezése amatőr és hivatásos szakemberek, társulatok közreműködésével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Együttműködés a határon túli magyarság szervezeteivel, a város nemzetközi kapcsolataiban részt vesz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lehetőség szerint tevékenysége kiegészítése közművelődési programokkal,  intézményekkel, művészekkel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tárgyévi adatszolgáltatás megküldése az Emtv.-ben megfogalmazottak szerint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 xml:space="preserve">írásos beszámoló a feladatok teljesítéséről az illetékes bizottság részére </w:t>
            </w:r>
          </w:p>
        </w:tc>
        <w:tc>
          <w:tcPr>
            <w:tcW w:w="4893" w:type="dxa"/>
          </w:tcPr>
          <w:p w:rsidR="00777FA0" w:rsidRDefault="00777FA0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>
            <w:r>
              <w:t>a fenntartói megállapodás lejártát megelőzően záró beszámoló készítése a tényleges adatokkal</w:t>
            </w:r>
          </w:p>
        </w:tc>
        <w:tc>
          <w:tcPr>
            <w:tcW w:w="4893" w:type="dxa"/>
          </w:tcPr>
          <w:p w:rsidR="00777FA0" w:rsidRDefault="00777FA0">
            <w:r>
              <w:t xml:space="preserve">soron következő beszámoló határideje: </w:t>
            </w:r>
            <w:r w:rsidR="00CB4338">
              <w:rPr>
                <w:b/>
              </w:rPr>
              <w:t>2021. 08.31</w:t>
            </w:r>
            <w:r w:rsidRPr="00E15027">
              <w:rPr>
                <w:b/>
              </w:rPr>
              <w:t>.</w:t>
            </w:r>
            <w:r w:rsidR="00CB4338">
              <w:rPr>
                <w:b/>
              </w:rPr>
              <w:t xml:space="preserve"> </w:t>
            </w:r>
          </w:p>
        </w:tc>
      </w:tr>
    </w:tbl>
    <w:p w:rsidR="00826867" w:rsidRPr="00684ABE" w:rsidRDefault="00826867" w:rsidP="00684ABE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51"/>
        <w:gridCol w:w="4893"/>
      </w:tblGrid>
      <w:tr w:rsidR="00777FA0" w:rsidTr="00777FA0">
        <w:tc>
          <w:tcPr>
            <w:tcW w:w="7151" w:type="dxa"/>
          </w:tcPr>
          <w:p w:rsidR="00777FA0" w:rsidRPr="00FC3D62" w:rsidRDefault="00777FA0" w:rsidP="00684A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3D62">
              <w:rPr>
                <w:rFonts w:ascii="Arial" w:hAnsi="Arial" w:cs="Arial"/>
                <w:b/>
                <w:sz w:val="24"/>
                <w:szCs w:val="24"/>
              </w:rPr>
              <w:t>A Weöres</w:t>
            </w:r>
            <w:r w:rsidR="00684ABE">
              <w:rPr>
                <w:rFonts w:ascii="Arial" w:hAnsi="Arial" w:cs="Arial"/>
                <w:b/>
                <w:sz w:val="24"/>
                <w:szCs w:val="24"/>
              </w:rPr>
              <w:t xml:space="preserve"> Sándor Színház Nonprofit Kft.</w:t>
            </w:r>
          </w:p>
        </w:tc>
        <w:tc>
          <w:tcPr>
            <w:tcW w:w="4893" w:type="dxa"/>
          </w:tcPr>
          <w:p w:rsidR="00777FA0" w:rsidRPr="00FC3D62" w:rsidRDefault="00777FA0" w:rsidP="00EC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teljesítés</w:t>
            </w:r>
            <w:r w:rsidR="00684ABE">
              <w:rPr>
                <w:rFonts w:ascii="Arial" w:hAnsi="Arial" w:cs="Arial"/>
                <w:b/>
                <w:sz w:val="24"/>
                <w:szCs w:val="24"/>
              </w:rPr>
              <w:t xml:space="preserve"> a beszámoló alapján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legmagasabb szakmai minőségi követelmények</w:t>
            </w:r>
          </w:p>
        </w:tc>
        <w:tc>
          <w:tcPr>
            <w:tcW w:w="4893" w:type="dxa"/>
          </w:tcPr>
          <w:p w:rsidR="00777FA0" w:rsidRDefault="004A3474" w:rsidP="004A3474">
            <w:r>
              <w:t>igen  (3 díj)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művészek szakmai fejlődésének biztosítása</w:t>
            </w:r>
          </w:p>
        </w:tc>
        <w:tc>
          <w:tcPr>
            <w:tcW w:w="4893" w:type="dxa"/>
          </w:tcPr>
          <w:p w:rsidR="00777FA0" w:rsidRDefault="00777FA0" w:rsidP="004A3474">
            <w:r>
              <w:t>igen (pl. társulati tagok saját előadásaina</w:t>
            </w:r>
            <w:r w:rsidR="004A3474">
              <w:t>k létrehozása, bemutatása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műhelymunka feltételeinek megteremtése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felnőtt és ifjúsági korosztály számára szóló előadások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évadonként legalább 7 új bemutató</w:t>
            </w:r>
          </w:p>
        </w:tc>
        <w:tc>
          <w:tcPr>
            <w:tcW w:w="4893" w:type="dxa"/>
          </w:tcPr>
          <w:p w:rsidR="00777FA0" w:rsidRDefault="004A3474" w:rsidP="00EC3DBA">
            <w:r>
              <w:t>igen (11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az új bemutatók közül min. 1 kortárs magyar és 1 klasszikus magyar szerző műve</w:t>
            </w:r>
          </w:p>
        </w:tc>
        <w:tc>
          <w:tcPr>
            <w:tcW w:w="4893" w:type="dxa"/>
          </w:tcPr>
          <w:p w:rsidR="00777FA0" w:rsidRDefault="004A3474" w:rsidP="004A3474">
            <w:r>
              <w:t>igen (6 kortárs)</w:t>
            </w:r>
          </w:p>
        </w:tc>
      </w:tr>
      <w:tr w:rsidR="00777FA0" w:rsidTr="00560221">
        <w:tc>
          <w:tcPr>
            <w:tcW w:w="7151" w:type="dxa"/>
            <w:shd w:val="clear" w:color="auto" w:fill="auto"/>
          </w:tcPr>
          <w:p w:rsidR="00777FA0" w:rsidRPr="00560221" w:rsidRDefault="00777FA0" w:rsidP="00EC3DBA">
            <w:r w:rsidRPr="00560221">
              <w:t>évadonként legfeljebb 2 bemutató a gyermekközönség számára</w:t>
            </w:r>
          </w:p>
        </w:tc>
        <w:tc>
          <w:tcPr>
            <w:tcW w:w="4893" w:type="dxa"/>
            <w:shd w:val="clear" w:color="auto" w:fill="auto"/>
          </w:tcPr>
          <w:p w:rsidR="00777FA0" w:rsidRDefault="00777FA0" w:rsidP="00EC3DBA">
            <w:r w:rsidRPr="00560221">
              <w:t>nem</w:t>
            </w:r>
            <w:r w:rsidR="001E5C86" w:rsidRPr="00560221">
              <w:t xml:space="preserve"> kötelezettség, csak lehetőség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évadonként legalább 250 előadás, ebből 90% saját társulattal</w:t>
            </w:r>
          </w:p>
        </w:tc>
        <w:tc>
          <w:tcPr>
            <w:tcW w:w="4893" w:type="dxa"/>
          </w:tcPr>
          <w:p w:rsidR="00777FA0" w:rsidRDefault="004A3474" w:rsidP="00EC3DBA">
            <w:r>
              <w:t>igen (3336) saját társulattal: 95</w:t>
            </w:r>
            <w:r w:rsidR="00777FA0">
              <w:t>%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 xml:space="preserve">élő zenekaros, énekkaros előadások száma: 15 </w:t>
            </w:r>
          </w:p>
        </w:tc>
        <w:tc>
          <w:tcPr>
            <w:tcW w:w="4893" w:type="dxa"/>
          </w:tcPr>
          <w:p w:rsidR="00777FA0" w:rsidRDefault="004A3474" w:rsidP="00EC3DBA">
            <w:r>
              <w:t>igen (57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stúdió-előadások: 40</w:t>
            </w:r>
          </w:p>
        </w:tc>
        <w:tc>
          <w:tcPr>
            <w:tcW w:w="4893" w:type="dxa"/>
          </w:tcPr>
          <w:p w:rsidR="00777FA0" w:rsidRDefault="004A3474" w:rsidP="00EC3DBA">
            <w:r>
              <w:t>igen (46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lehetőség szerint évadonként 6 előadás városon kívül</w:t>
            </w:r>
          </w:p>
        </w:tc>
        <w:tc>
          <w:tcPr>
            <w:tcW w:w="4893" w:type="dxa"/>
          </w:tcPr>
          <w:p w:rsidR="00777FA0" w:rsidRDefault="004A3474" w:rsidP="00EC3DBA">
            <w:r>
              <w:t>igen (6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előadások – lehetőség szerint – teltházzal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 a nézőtéri befogadóképesség 70%-a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(89%)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össz-nézőszám: 42.000 fő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(megbecsülhető)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fizetőnéző-szám: 40.000 fő</w:t>
            </w:r>
          </w:p>
        </w:tc>
        <w:tc>
          <w:tcPr>
            <w:tcW w:w="4893" w:type="dxa"/>
          </w:tcPr>
          <w:p w:rsidR="00777FA0" w:rsidRDefault="004A3474" w:rsidP="00EC3DBA">
            <w:r>
              <w:t>igen (61.141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kiemelt minősítésű besorolás megőrzése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műfaji sokszínűség, újszerű színházi előadó-művészeti technikák alkalmazása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közönségkapcsolatok folyamatos erősítése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oktatási-nevelési intézményekkel való együttműködés</w:t>
            </w:r>
          </w:p>
        </w:tc>
        <w:tc>
          <w:tcPr>
            <w:tcW w:w="4893" w:type="dxa"/>
          </w:tcPr>
          <w:p w:rsidR="00777FA0" w:rsidRDefault="004A3474" w:rsidP="004A3474">
            <w:r>
              <w:t>igen (TÉR-ERŐ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Szombathely nemzetközi kapcsolataiban részt vesz, a város nemzetközi együttműködésének elősegítése</w:t>
            </w:r>
          </w:p>
        </w:tc>
        <w:tc>
          <w:tcPr>
            <w:tcW w:w="4893" w:type="dxa"/>
          </w:tcPr>
          <w:p w:rsidR="00777FA0" w:rsidRDefault="00777FA0" w:rsidP="004A3474">
            <w:r>
              <w:t>igen (Az ETC tagja lett)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részvétel a város kiemelt rendezvényein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tárgyévi adatszolgáltatás megküldése az Emtv.-ben megfogalmazottak szerint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írásos beszámoló a feladatok teljesítéséről az illetékes bizottság részére (4.7.)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a fenntartói megállapodás lejártát megelőzően záró beszámoló készítése a tényleges adatokkal</w:t>
            </w:r>
          </w:p>
        </w:tc>
        <w:tc>
          <w:tcPr>
            <w:tcW w:w="4893" w:type="dxa"/>
          </w:tcPr>
          <w:p w:rsidR="00777FA0" w:rsidRDefault="00777FA0" w:rsidP="00EC3DBA">
            <w:r>
              <w:t xml:space="preserve">soron következő beszámoló határideje: </w:t>
            </w:r>
            <w:r w:rsidR="004A3474">
              <w:rPr>
                <w:b/>
              </w:rPr>
              <w:t>2021. 08.31.</w:t>
            </w:r>
          </w:p>
        </w:tc>
      </w:tr>
    </w:tbl>
    <w:p w:rsidR="00826867" w:rsidRDefault="00826867" w:rsidP="00D54900">
      <w:pPr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51"/>
        <w:gridCol w:w="4893"/>
      </w:tblGrid>
      <w:tr w:rsidR="00777FA0" w:rsidTr="00777FA0">
        <w:tc>
          <w:tcPr>
            <w:tcW w:w="7151" w:type="dxa"/>
          </w:tcPr>
          <w:p w:rsidR="00777FA0" w:rsidRPr="00FC3D62" w:rsidRDefault="00684ABE" w:rsidP="00684A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Savaria Szimfonikus Zenekar</w:t>
            </w:r>
          </w:p>
        </w:tc>
        <w:tc>
          <w:tcPr>
            <w:tcW w:w="4893" w:type="dxa"/>
          </w:tcPr>
          <w:p w:rsidR="00777FA0" w:rsidRPr="00FC3D62" w:rsidRDefault="00777FA0" w:rsidP="00EC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teljesítés</w:t>
            </w:r>
            <w:r w:rsidR="00684ABE">
              <w:rPr>
                <w:rFonts w:ascii="Arial" w:hAnsi="Arial" w:cs="Arial"/>
                <w:b/>
                <w:sz w:val="24"/>
                <w:szCs w:val="24"/>
              </w:rPr>
              <w:t xml:space="preserve"> a beszámoló alapján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művészek szakmai fejlődésének biztosítása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műhelymunka feltételeinek megteremtése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hangverseny legalább 50</w:t>
            </w:r>
          </w:p>
        </w:tc>
        <w:tc>
          <w:tcPr>
            <w:tcW w:w="4893" w:type="dxa"/>
          </w:tcPr>
          <w:p w:rsidR="00777FA0" w:rsidRDefault="000B7DDC" w:rsidP="000B7DDC">
            <w:r>
              <w:t>igen (107)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külföldi fellépések lehetőség szerint</w:t>
            </w:r>
          </w:p>
        </w:tc>
        <w:tc>
          <w:tcPr>
            <w:tcW w:w="4893" w:type="dxa"/>
          </w:tcPr>
          <w:p w:rsidR="00777FA0" w:rsidRDefault="00777FA0" w:rsidP="00EC3DBA">
            <w:r>
              <w:t>igen (7)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legalább 2 klasszikus zenekari mű bérletsorozatban, legalább 1 kortárs magyar zenemű ősbemutatója</w:t>
            </w:r>
          </w:p>
        </w:tc>
        <w:tc>
          <w:tcPr>
            <w:tcW w:w="4893" w:type="dxa"/>
          </w:tcPr>
          <w:p w:rsidR="00777FA0" w:rsidRDefault="00777FA0" w:rsidP="00EC3DBA">
            <w:r>
              <w:t xml:space="preserve">igen </w:t>
            </w:r>
            <w:r w:rsidRPr="00BD4208">
              <w:rPr>
                <w:b/>
              </w:rPr>
              <w:t xml:space="preserve"> </w:t>
            </w:r>
            <w:r w:rsidRPr="00BC1CD8">
              <w:t>(</w:t>
            </w:r>
            <w:r>
              <w:t xml:space="preserve">klasszikus: </w:t>
            </w:r>
            <w:r w:rsidRPr="00BC1CD8">
              <w:t>6)</w:t>
            </w:r>
          </w:p>
          <w:p w:rsidR="00777FA0" w:rsidRPr="00BD4208" w:rsidRDefault="00684ABE" w:rsidP="00EC3DBA">
            <w:pPr>
              <w:rPr>
                <w:b/>
              </w:rPr>
            </w:pPr>
            <w:r>
              <w:t>(</w:t>
            </w:r>
            <w:r w:rsidR="000944A7">
              <w:t>2016/2017-es évadban: 4</w:t>
            </w:r>
            <w:r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ifjúsági hangversenyek legalább az évad hangversenyeinek 15%-a</w:t>
            </w:r>
          </w:p>
        </w:tc>
        <w:tc>
          <w:tcPr>
            <w:tcW w:w="4893" w:type="dxa"/>
          </w:tcPr>
          <w:p w:rsidR="00777FA0" w:rsidRDefault="00B27CDE" w:rsidP="00EC3DBA">
            <w:r>
              <w:t>igen (42%</w:t>
            </w:r>
            <w:r w:rsidR="00652C6F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évadonként legalább 5 koncert Szombathelyen kívül (Magyarországon)</w:t>
            </w:r>
          </w:p>
        </w:tc>
        <w:tc>
          <w:tcPr>
            <w:tcW w:w="4893" w:type="dxa"/>
          </w:tcPr>
          <w:p w:rsidR="00777FA0" w:rsidRDefault="00B27CDE" w:rsidP="00EC3DBA">
            <w:r>
              <w:t>igen (9</w:t>
            </w:r>
            <w:r w:rsidR="00777FA0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előadások – lehetőség szerint – teltházzal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 a nézőtéri befogadóképesség 75%-a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  <w:r w:rsidR="00B27CDE">
              <w:t xml:space="preserve"> 85%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össz-nézőszám: 30.000 fő</w:t>
            </w:r>
          </w:p>
        </w:tc>
        <w:tc>
          <w:tcPr>
            <w:tcW w:w="4893" w:type="dxa"/>
          </w:tcPr>
          <w:p w:rsidR="00777FA0" w:rsidRDefault="00777FA0" w:rsidP="00EC3DBA">
            <w:r>
              <w:t xml:space="preserve">igen (40.000) 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 a nézőtéri befogadóképesség 75%-a</w:t>
            </w:r>
          </w:p>
        </w:tc>
        <w:tc>
          <w:tcPr>
            <w:tcW w:w="4893" w:type="dxa"/>
          </w:tcPr>
          <w:p w:rsidR="00777FA0" w:rsidRDefault="00652C6F" w:rsidP="00EC3DBA">
            <w:r>
              <w:t>igen</w:t>
            </w:r>
            <w:r w:rsidR="00684ABE">
              <w:t xml:space="preserve"> (</w:t>
            </w:r>
            <w:r w:rsidR="00B27CDE">
              <w:t>Bartók Terem+Agora+Iseum=35.45</w:t>
            </w:r>
            <w:r w:rsidR="00856FAB">
              <w:t>0</w:t>
            </w:r>
            <w:r w:rsidR="00684ABE">
              <w:t>)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fizetőnéző-szám: 22.000 fő</w:t>
            </w:r>
          </w:p>
        </w:tc>
        <w:tc>
          <w:tcPr>
            <w:tcW w:w="4893" w:type="dxa"/>
          </w:tcPr>
          <w:p w:rsidR="00777FA0" w:rsidRDefault="00B27CDE" w:rsidP="00EC3DBA">
            <w:r>
              <w:t>28.6</w:t>
            </w:r>
            <w:r w:rsidR="00856FAB">
              <w:t>00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nemzeti minősítésű besorolás megőrzése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műfaji sokszínűség, újszerű zenei technikák alkalmazása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Közszolgáltatási Szerződésben meghatározott zeneművészeti szakmai programok, feladatok teljesítése</w:t>
            </w:r>
          </w:p>
        </w:tc>
        <w:tc>
          <w:tcPr>
            <w:tcW w:w="4893" w:type="dxa"/>
          </w:tcPr>
          <w:p w:rsidR="00777FA0" w:rsidRDefault="00856FAB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Nemzetközi Bartók Szeminárium és Fesztivállal együttműködés, közreműködés, hely biztosítása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Együttműködés a határon túli magyarság szervezeteivel, a város nemzetközi kapcsolataiban részt vesz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lehetőség szerint tevékenysége kiegészítése közművelődési programokkal,  intézményekkel, művészekkel)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tárgyévi adatszolgáltatás megküldése az Emtv.-ben megfogalmazottak szerint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 xml:space="preserve">írásos beszámoló a feladatok teljesítéséről az illetékes bizottság részére </w:t>
            </w:r>
          </w:p>
        </w:tc>
        <w:tc>
          <w:tcPr>
            <w:tcW w:w="4893" w:type="dxa"/>
          </w:tcPr>
          <w:p w:rsidR="00777FA0" w:rsidRDefault="00777FA0" w:rsidP="00EC3DBA">
            <w:r>
              <w:t>igen</w:t>
            </w:r>
          </w:p>
        </w:tc>
      </w:tr>
      <w:tr w:rsidR="00777FA0" w:rsidTr="00777FA0">
        <w:tc>
          <w:tcPr>
            <w:tcW w:w="7151" w:type="dxa"/>
          </w:tcPr>
          <w:p w:rsidR="00777FA0" w:rsidRDefault="00777FA0" w:rsidP="00EC3DBA">
            <w:r>
              <w:t>a fenntartói megállapodás lejártát megelőzően záró beszámoló készítése a tényleges adatokkal</w:t>
            </w:r>
          </w:p>
        </w:tc>
        <w:tc>
          <w:tcPr>
            <w:tcW w:w="4893" w:type="dxa"/>
          </w:tcPr>
          <w:p w:rsidR="00777FA0" w:rsidRDefault="00777FA0" w:rsidP="000B7DDC">
            <w:r>
              <w:t xml:space="preserve">soron következő beszámoló határideje: </w:t>
            </w:r>
            <w:r w:rsidR="000B7DDC">
              <w:rPr>
                <w:b/>
              </w:rPr>
              <w:t>2021</w:t>
            </w:r>
            <w:r w:rsidRPr="00777FA0">
              <w:rPr>
                <w:b/>
              </w:rPr>
              <w:t xml:space="preserve">. </w:t>
            </w:r>
            <w:r w:rsidR="000B7DDC">
              <w:rPr>
                <w:b/>
              </w:rPr>
              <w:t>08.31.</w:t>
            </w:r>
          </w:p>
        </w:tc>
      </w:tr>
    </w:tbl>
    <w:p w:rsidR="00826867" w:rsidRPr="00826867" w:rsidRDefault="00826867" w:rsidP="00777FA0">
      <w:pPr>
        <w:rPr>
          <w:rFonts w:ascii="Arial" w:hAnsi="Arial" w:cs="Arial"/>
          <w:b/>
          <w:sz w:val="24"/>
          <w:szCs w:val="24"/>
        </w:rPr>
      </w:pPr>
    </w:p>
    <w:sectPr w:rsidR="00826867" w:rsidRPr="00826867" w:rsidSect="00FC3D6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67" w:rsidRDefault="00826867" w:rsidP="00826867">
      <w:pPr>
        <w:spacing w:after="0" w:line="240" w:lineRule="auto"/>
      </w:pPr>
      <w:r>
        <w:separator/>
      </w:r>
    </w:p>
  </w:endnote>
  <w:endnote w:type="continuationSeparator" w:id="0">
    <w:p w:rsidR="00826867" w:rsidRDefault="00826867" w:rsidP="0082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611451"/>
      <w:docPartObj>
        <w:docPartGallery w:val="Page Numbers (Bottom of Page)"/>
        <w:docPartUnique/>
      </w:docPartObj>
    </w:sdtPr>
    <w:sdtEndPr/>
    <w:sdtContent>
      <w:p w:rsidR="00826867" w:rsidRDefault="008268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2D">
          <w:rPr>
            <w:noProof/>
          </w:rPr>
          <w:t>2</w:t>
        </w:r>
        <w:r>
          <w:fldChar w:fldCharType="end"/>
        </w:r>
      </w:p>
    </w:sdtContent>
  </w:sdt>
  <w:p w:rsidR="00826867" w:rsidRDefault="0082686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67" w:rsidRDefault="00826867" w:rsidP="00826867">
      <w:pPr>
        <w:spacing w:after="0" w:line="240" w:lineRule="auto"/>
      </w:pPr>
      <w:r>
        <w:separator/>
      </w:r>
    </w:p>
  </w:footnote>
  <w:footnote w:type="continuationSeparator" w:id="0">
    <w:p w:rsidR="00826867" w:rsidRDefault="00826867" w:rsidP="0082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4639D"/>
    <w:multiLevelType w:val="hybridMultilevel"/>
    <w:tmpl w:val="BCCEC238"/>
    <w:lvl w:ilvl="0" w:tplc="DC3814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04"/>
    <w:rsid w:val="00015B4F"/>
    <w:rsid w:val="000944A7"/>
    <w:rsid w:val="000A260D"/>
    <w:rsid w:val="000B7DDC"/>
    <w:rsid w:val="000D6224"/>
    <w:rsid w:val="000F6B16"/>
    <w:rsid w:val="00161DE1"/>
    <w:rsid w:val="001747A9"/>
    <w:rsid w:val="001A6DAE"/>
    <w:rsid w:val="001B657B"/>
    <w:rsid w:val="001E5C86"/>
    <w:rsid w:val="0020561B"/>
    <w:rsid w:val="00305932"/>
    <w:rsid w:val="00322FEE"/>
    <w:rsid w:val="00347C04"/>
    <w:rsid w:val="0048354C"/>
    <w:rsid w:val="004A3474"/>
    <w:rsid w:val="00560221"/>
    <w:rsid w:val="00652C6F"/>
    <w:rsid w:val="00684ABE"/>
    <w:rsid w:val="006D692D"/>
    <w:rsid w:val="006F1CF5"/>
    <w:rsid w:val="00777FA0"/>
    <w:rsid w:val="00826867"/>
    <w:rsid w:val="00853B55"/>
    <w:rsid w:val="00856FAB"/>
    <w:rsid w:val="008E2505"/>
    <w:rsid w:val="00A358DA"/>
    <w:rsid w:val="00AB4E77"/>
    <w:rsid w:val="00AF492E"/>
    <w:rsid w:val="00B27CDE"/>
    <w:rsid w:val="00C15C04"/>
    <w:rsid w:val="00C40C71"/>
    <w:rsid w:val="00CB4338"/>
    <w:rsid w:val="00CC0D5C"/>
    <w:rsid w:val="00D04372"/>
    <w:rsid w:val="00D54900"/>
    <w:rsid w:val="00D55CAF"/>
    <w:rsid w:val="00DE4217"/>
    <w:rsid w:val="00E15027"/>
    <w:rsid w:val="00E22024"/>
    <w:rsid w:val="00E55638"/>
    <w:rsid w:val="00E629F9"/>
    <w:rsid w:val="00E764FE"/>
    <w:rsid w:val="00F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F819B-77C6-4A2F-BAF9-4C04A33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C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2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867"/>
  </w:style>
  <w:style w:type="paragraph" w:styleId="llb">
    <w:name w:val="footer"/>
    <w:basedOn w:val="Norml"/>
    <w:link w:val="llbChar"/>
    <w:uiPriority w:val="99"/>
    <w:unhideWhenUsed/>
    <w:rsid w:val="0082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867"/>
  </w:style>
  <w:style w:type="paragraph" w:styleId="Listaszerbekezds">
    <w:name w:val="List Paragraph"/>
    <w:basedOn w:val="Norml"/>
    <w:uiPriority w:val="34"/>
    <w:qFormat/>
    <w:rsid w:val="00D5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3DCB-A4F8-42BA-A002-B301AACE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</cp:revision>
  <dcterms:created xsi:type="dcterms:W3CDTF">2019-04-17T06:29:00Z</dcterms:created>
  <dcterms:modified xsi:type="dcterms:W3CDTF">2019-04-17T06:29:00Z</dcterms:modified>
</cp:coreProperties>
</file>