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Szombathely Megyei Jogú Város Önkormányzata Közgyűlésének</w:t>
      </w: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…/2019. (……..) önkormányzati rendelete</w:t>
      </w: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</w:p>
    <w:p w:rsidR="007B397C" w:rsidRPr="009523DD" w:rsidRDefault="007B397C" w:rsidP="007B397C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Szombathely Megyei Jogú Város Önkormányzatának Szervezeti és Működési Szabályzatáról szóló 34/2014. (XI.3.) önkormányzati rendelet módosításáról</w:t>
      </w:r>
    </w:p>
    <w:p w:rsidR="004D62A2" w:rsidRPr="009523DD" w:rsidRDefault="004D62A2" w:rsidP="00EE60D1">
      <w:pPr>
        <w:jc w:val="both"/>
        <w:rPr>
          <w:rFonts w:ascii="Arial" w:hAnsi="Arial" w:cs="Arial"/>
        </w:rPr>
      </w:pP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7B397C" w:rsidRPr="009523DD" w:rsidRDefault="007B397C" w:rsidP="007B397C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Szombathely Megyei Jogú Város Önkormányzatának Közgyűlése az Alaptörvény 32. cikk (2) bekezdésében </w:t>
      </w:r>
      <w:r w:rsidR="00EE60D1" w:rsidRPr="009523DD">
        <w:rPr>
          <w:rFonts w:ascii="Arial" w:hAnsi="Arial" w:cs="Arial"/>
        </w:rPr>
        <w:t>meghatározott</w:t>
      </w:r>
      <w:r w:rsidRPr="009523DD">
        <w:rPr>
          <w:rFonts w:ascii="Arial" w:hAnsi="Arial" w:cs="Arial"/>
        </w:rPr>
        <w:t xml:space="preserve"> eredeti jogalkotói hatáskörében, az Alaptörvény 32. cikk (1) bekezdés d) pontjában meghatározott feladatkörében eljárva a következőket rendeli el:</w:t>
      </w: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1. §</w:t>
      </w:r>
    </w:p>
    <w:p w:rsidR="007B397C" w:rsidRPr="009523DD" w:rsidRDefault="007B397C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Szombathely Megyei Jogú Város Önkormányzatának Szervezeti és Működési Szabályzatáról szóló 34/2014. (XI.3.) önkormányzati rendelet (a továbbiakban: SZMSZ) 15. § (1) bekezdése helyébe a következő rendelkezés lép: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EE60D1" w:rsidRPr="009523DD" w:rsidRDefault="00EE60D1" w:rsidP="00EE60D1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„(1)</w:t>
      </w:r>
      <w:r w:rsidRPr="009523DD">
        <w:rPr>
          <w:rFonts w:ascii="Arial" w:hAnsi="Arial" w:cs="Arial"/>
          <w:szCs w:val="24"/>
        </w:rPr>
        <w:tab/>
        <w:t>A Közgyűlés évente legalább a Magyarország helyi önkormányzatairól szóló 2011. évi CLXXXIX. törvény 44. §-ában meghatározottal egyező számú ülést tart, minden hónap utolsó csütörtöki napján, kivéve június, július, augusztus és december hónapokat. Indokolt esetben a polgármester a rendkívüli ülés összehívására irányadó határidőben jogosult további Közgyűlések összehívására.”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2. §</w:t>
      </w:r>
    </w:p>
    <w:p w:rsidR="009930EE" w:rsidRPr="009523DD" w:rsidRDefault="009930EE" w:rsidP="009930EE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Az SZMSZ 24. § (1) bekezdése helyébe a következő rendelkezés lép: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9930EE" w:rsidRPr="009523DD" w:rsidRDefault="009930EE" w:rsidP="009930E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„(1)</w:t>
      </w:r>
      <w:r w:rsidRPr="009523DD">
        <w:rPr>
          <w:rFonts w:ascii="Arial" w:hAnsi="Arial" w:cs="Arial"/>
          <w:szCs w:val="24"/>
        </w:rPr>
        <w:tab/>
        <w:t>A 23. § (1)-(2) bekezdés szerinti előterjesztéseket a Közgyűlés az ülés első napirendi pontjaként tárgyalja. A 23. § (4) bekezdés szerinti előterjesztéseket a Közgyűlés a nyilvános ülés végén a napirendi pontok megtárgyalását követően tárgyalja.”</w:t>
      </w:r>
    </w:p>
    <w:p w:rsidR="009930EE" w:rsidRPr="009523DD" w:rsidRDefault="009930EE" w:rsidP="00EE60D1">
      <w:pPr>
        <w:jc w:val="both"/>
        <w:rPr>
          <w:rFonts w:ascii="Arial" w:hAnsi="Arial" w:cs="Arial"/>
        </w:rPr>
      </w:pP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9C34FB" w:rsidRPr="009523DD" w:rsidRDefault="00B6009D" w:rsidP="009C34FB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3</w:t>
      </w:r>
      <w:r w:rsidR="009C34FB" w:rsidRPr="009523DD">
        <w:rPr>
          <w:rFonts w:ascii="Arial" w:hAnsi="Arial" w:cs="Arial"/>
          <w:b/>
          <w:szCs w:val="24"/>
        </w:rPr>
        <w:t>. §</w:t>
      </w:r>
    </w:p>
    <w:p w:rsidR="009C34FB" w:rsidRPr="009523DD" w:rsidRDefault="009C34FB" w:rsidP="009C34FB">
      <w:pPr>
        <w:jc w:val="both"/>
        <w:rPr>
          <w:rFonts w:ascii="Arial" w:hAnsi="Arial" w:cs="Arial"/>
        </w:rPr>
      </w:pPr>
    </w:p>
    <w:p w:rsidR="009C34FB" w:rsidRPr="009523DD" w:rsidRDefault="009C34FB" w:rsidP="009C34FB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Az SZMSZ 51. §-a helyébe a következő rendelkezés lép:</w:t>
      </w:r>
    </w:p>
    <w:p w:rsidR="00224540" w:rsidRPr="009523DD" w:rsidRDefault="00224540" w:rsidP="00EE60D1">
      <w:pPr>
        <w:jc w:val="both"/>
        <w:rPr>
          <w:rFonts w:ascii="Arial" w:hAnsi="Arial" w:cs="Arial"/>
        </w:rPr>
      </w:pPr>
    </w:p>
    <w:p w:rsidR="00224540" w:rsidRPr="009523DD" w:rsidRDefault="00224540" w:rsidP="00224540">
      <w:pPr>
        <w:numPr>
          <w:ilvl w:val="12"/>
          <w:numId w:val="0"/>
        </w:numPr>
        <w:tabs>
          <w:tab w:val="left" w:pos="851"/>
        </w:tabs>
        <w:ind w:left="851" w:hanging="851"/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„51. §</w:t>
      </w:r>
    </w:p>
    <w:p w:rsidR="00224540" w:rsidRPr="009523DD" w:rsidRDefault="00224540" w:rsidP="00224540">
      <w:pPr>
        <w:numPr>
          <w:ilvl w:val="12"/>
          <w:numId w:val="0"/>
        </w:numPr>
        <w:tabs>
          <w:tab w:val="left" w:pos="851"/>
        </w:tabs>
        <w:ind w:left="851" w:hanging="851"/>
        <w:jc w:val="center"/>
        <w:rPr>
          <w:rFonts w:ascii="Arial" w:hAnsi="Arial" w:cs="Arial"/>
          <w:b/>
          <w:szCs w:val="24"/>
        </w:rPr>
      </w:pPr>
    </w:p>
    <w:p w:rsidR="00224540" w:rsidRPr="009523DD" w:rsidRDefault="00224540" w:rsidP="00224540">
      <w:pPr>
        <w:numPr>
          <w:ilvl w:val="12"/>
          <w:numId w:val="0"/>
        </w:numPr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A Közgyűlés állandó jelleggel az alábbi bizottságokat hozza létre és létszámukat a következőkben állapítja meg:</w:t>
      </w:r>
    </w:p>
    <w:p w:rsidR="00224540" w:rsidRPr="009523DD" w:rsidRDefault="00224540" w:rsidP="00224540">
      <w:pPr>
        <w:tabs>
          <w:tab w:val="left" w:pos="7920"/>
        </w:tabs>
        <w:ind w:left="567" w:hanging="567"/>
        <w:jc w:val="both"/>
        <w:rPr>
          <w:rFonts w:ascii="Arial" w:hAnsi="Arial" w:cs="Arial"/>
          <w:strike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"/>
        <w:gridCol w:w="5595"/>
        <w:gridCol w:w="3011"/>
      </w:tblGrid>
      <w:tr w:rsidR="009523DD" w:rsidRPr="009523DD" w:rsidTr="00BC69E1">
        <w:tc>
          <w:tcPr>
            <w:tcW w:w="468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both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both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Gazdasági és Városstratégiai Bizottság</w:t>
            </w:r>
          </w:p>
        </w:tc>
        <w:tc>
          <w:tcPr>
            <w:tcW w:w="3096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right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…. fő</w:t>
            </w:r>
          </w:p>
        </w:tc>
      </w:tr>
      <w:tr w:rsidR="009523DD" w:rsidRPr="009523DD" w:rsidTr="00BC69E1">
        <w:tc>
          <w:tcPr>
            <w:tcW w:w="468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both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2.</w:t>
            </w:r>
          </w:p>
        </w:tc>
        <w:tc>
          <w:tcPr>
            <w:tcW w:w="5724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both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Oktatási és Szociális Bizottság</w:t>
            </w:r>
          </w:p>
        </w:tc>
        <w:tc>
          <w:tcPr>
            <w:tcW w:w="3096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right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…. fő</w:t>
            </w:r>
          </w:p>
        </w:tc>
      </w:tr>
      <w:tr w:rsidR="00224540" w:rsidRPr="009523DD" w:rsidTr="00BC69E1">
        <w:tc>
          <w:tcPr>
            <w:tcW w:w="468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both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3.</w:t>
            </w:r>
          </w:p>
        </w:tc>
        <w:tc>
          <w:tcPr>
            <w:tcW w:w="5724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both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Jogi és Társadalmi Kapcsolatok Bizottsága</w:t>
            </w:r>
          </w:p>
        </w:tc>
        <w:tc>
          <w:tcPr>
            <w:tcW w:w="3096" w:type="dxa"/>
            <w:shd w:val="clear" w:color="auto" w:fill="auto"/>
          </w:tcPr>
          <w:p w:rsidR="00224540" w:rsidRPr="009523DD" w:rsidRDefault="00224540" w:rsidP="00BC69E1">
            <w:pPr>
              <w:tabs>
                <w:tab w:val="left" w:pos="7920"/>
              </w:tabs>
              <w:jc w:val="right"/>
              <w:rPr>
                <w:rFonts w:ascii="Arial" w:hAnsi="Arial" w:cs="Arial"/>
              </w:rPr>
            </w:pPr>
            <w:r w:rsidRPr="009523DD">
              <w:rPr>
                <w:rFonts w:ascii="Arial" w:hAnsi="Arial" w:cs="Arial"/>
              </w:rPr>
              <w:t>…. fő</w:t>
            </w:r>
            <w:r w:rsidR="00FA1D2E" w:rsidRPr="009523DD">
              <w:rPr>
                <w:rFonts w:ascii="Arial" w:hAnsi="Arial" w:cs="Arial"/>
              </w:rPr>
              <w:t>”</w:t>
            </w:r>
          </w:p>
        </w:tc>
      </w:tr>
    </w:tbl>
    <w:p w:rsidR="00224540" w:rsidRPr="009523DD" w:rsidRDefault="00224540" w:rsidP="00EE60D1">
      <w:pPr>
        <w:jc w:val="both"/>
        <w:rPr>
          <w:rFonts w:ascii="Arial" w:hAnsi="Arial" w:cs="Arial"/>
        </w:rPr>
      </w:pPr>
    </w:p>
    <w:p w:rsidR="009930EE" w:rsidRPr="009523DD" w:rsidRDefault="009930EE" w:rsidP="00EE60D1">
      <w:pPr>
        <w:jc w:val="both"/>
        <w:rPr>
          <w:rFonts w:ascii="Arial" w:hAnsi="Arial" w:cs="Arial"/>
        </w:rPr>
      </w:pPr>
    </w:p>
    <w:p w:rsidR="0063112D" w:rsidRPr="009523DD" w:rsidRDefault="0063112D" w:rsidP="0063112D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4. §</w:t>
      </w: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63112D" w:rsidRPr="009523DD" w:rsidRDefault="008307E8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(1)</w:t>
      </w:r>
      <w:r w:rsidRPr="009523DD">
        <w:rPr>
          <w:rFonts w:ascii="Arial" w:hAnsi="Arial" w:cs="Arial"/>
        </w:rPr>
        <w:tab/>
      </w:r>
      <w:r w:rsidR="0063112D" w:rsidRPr="009523DD">
        <w:rPr>
          <w:rFonts w:ascii="Arial" w:hAnsi="Arial" w:cs="Arial"/>
        </w:rPr>
        <w:t>Az SZMSZ 52. § (1) bekezdés 10. pontja helyébe a következő rendelkezés lép:</w:t>
      </w:r>
    </w:p>
    <w:p w:rsidR="0063112D" w:rsidRPr="009523DD" w:rsidRDefault="0063112D" w:rsidP="00EE60D1">
      <w:pPr>
        <w:jc w:val="both"/>
        <w:rPr>
          <w:rFonts w:ascii="Arial" w:hAnsi="Arial" w:cs="Arial"/>
        </w:rPr>
      </w:pPr>
    </w:p>
    <w:p w:rsidR="009930EE" w:rsidRPr="009523DD" w:rsidRDefault="008307E8" w:rsidP="00EE60D1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</w:t>
      </w:r>
      <w:r w:rsidR="00285757" w:rsidRPr="009523DD">
        <w:rPr>
          <w:rFonts w:ascii="Arial" w:hAnsi="Arial" w:cs="Arial"/>
          <w:i/>
        </w:rPr>
        <w:t>Gazdasági és Városstratégiai Bizottság – További</w:t>
      </w:r>
      <w:r w:rsidRPr="009523DD">
        <w:rPr>
          <w:rFonts w:ascii="Arial" w:hAnsi="Arial" w:cs="Arial"/>
          <w:i/>
        </w:rPr>
        <w:t>, a pénzügyekkel, vagyongazdálkodással kapcsolatos feladatai körében:)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EE60D1" w:rsidRPr="009523DD" w:rsidRDefault="008307E8" w:rsidP="008307E8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„10.</w:t>
      </w:r>
      <w:r w:rsidRPr="009523DD">
        <w:rPr>
          <w:rFonts w:ascii="Arial" w:hAnsi="Arial" w:cs="Arial"/>
        </w:rPr>
        <w:tab/>
        <w:t>véleményezi az önkormányzati gazdasági társaságok mérlegbeszámolóját, üzleti tervét;”</w:t>
      </w:r>
    </w:p>
    <w:p w:rsidR="00EE60D1" w:rsidRPr="009523DD" w:rsidRDefault="00EE60D1" w:rsidP="00EE60D1">
      <w:pPr>
        <w:jc w:val="both"/>
        <w:rPr>
          <w:rFonts w:ascii="Arial" w:hAnsi="Arial" w:cs="Arial"/>
        </w:rPr>
      </w:pPr>
    </w:p>
    <w:p w:rsidR="00EE60D1" w:rsidRPr="009523DD" w:rsidRDefault="008307E8" w:rsidP="00EE60D1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(2)</w:t>
      </w:r>
      <w:r w:rsidRPr="009523DD">
        <w:rPr>
          <w:rFonts w:ascii="Arial" w:hAnsi="Arial" w:cs="Arial"/>
        </w:rPr>
        <w:tab/>
        <w:t>Az SZMSZ 52. § (2) bekezdés 1. pontja helyébe a következő rendelkezés lép:</w:t>
      </w:r>
    </w:p>
    <w:p w:rsidR="00285757" w:rsidRPr="009523DD" w:rsidRDefault="00285757" w:rsidP="00EE60D1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Oktatási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„1.</w:t>
      </w:r>
      <w:r w:rsidRPr="009523DD">
        <w:rPr>
          <w:rFonts w:ascii="Arial" w:hAnsi="Arial" w:cs="Arial"/>
        </w:rPr>
        <w:tab/>
        <w:t>javaslatot tesz a költségvetési rendeletben meghatározott oktatási kiadások felhasználására;”</w:t>
      </w:r>
    </w:p>
    <w:p w:rsidR="00285757" w:rsidRPr="009523DD" w:rsidRDefault="00285757" w:rsidP="00EE60D1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(3)</w:t>
      </w:r>
      <w:r w:rsidRPr="009523DD">
        <w:rPr>
          <w:rFonts w:ascii="Arial" w:hAnsi="Arial" w:cs="Arial"/>
        </w:rPr>
        <w:tab/>
        <w:t>Az SZMSZ 52. § (2) bekezdés 64.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Szociális és családügyi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„64.</w:t>
      </w:r>
      <w:r w:rsidRPr="009523DD">
        <w:rPr>
          <w:rFonts w:ascii="Arial" w:hAnsi="Arial" w:cs="Arial"/>
        </w:rPr>
        <w:tab/>
        <w:t>javaslatot tesz a költségvetési rendeletben meghatározott szociális, gyermekjóléti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(4)</w:t>
      </w:r>
      <w:r w:rsidRPr="009523DD">
        <w:rPr>
          <w:rFonts w:ascii="Arial" w:hAnsi="Arial" w:cs="Arial"/>
        </w:rPr>
        <w:tab/>
        <w:t>Az SZMSZ 52. § (2) bekezdés 73.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>(Oktatási és Szociális Bizottság – Ifjúsággal kapcsolatos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„73.</w:t>
      </w:r>
      <w:r w:rsidRPr="009523DD">
        <w:rPr>
          <w:rFonts w:ascii="Arial" w:hAnsi="Arial" w:cs="Arial"/>
        </w:rPr>
        <w:tab/>
        <w:t>javaslatot tesz a költségvetési rendeletben meghatározott ifjúsági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(5)</w:t>
      </w:r>
      <w:r w:rsidRPr="009523DD">
        <w:rPr>
          <w:rFonts w:ascii="Arial" w:hAnsi="Arial" w:cs="Arial"/>
        </w:rPr>
        <w:tab/>
        <w:t>Az SZMSZ 52. § (3) bekezdés 54.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 xml:space="preserve">(Jogi és Társadalmi Kapcsolatok Bizottsága – </w:t>
      </w:r>
      <w:r w:rsidRPr="009523DD">
        <w:rPr>
          <w:rFonts w:ascii="Arial" w:hAnsi="Arial" w:cs="Arial"/>
          <w:i/>
        </w:rPr>
        <w:tab/>
        <w:t>Kulturális és sport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„54.</w:t>
      </w:r>
      <w:r w:rsidRPr="009523DD">
        <w:rPr>
          <w:rFonts w:ascii="Arial" w:hAnsi="Arial" w:cs="Arial"/>
        </w:rPr>
        <w:tab/>
        <w:t>javaslatot tesz a költségvetési rendeletben meghatározott kulturális és sport kiadások felhasználására;”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(6)</w:t>
      </w:r>
      <w:r w:rsidRPr="009523DD">
        <w:rPr>
          <w:rFonts w:ascii="Arial" w:hAnsi="Arial" w:cs="Arial"/>
        </w:rPr>
        <w:tab/>
        <w:t>Az SZMSZ 52. § (3) bekezdés 64. pontja helyébe a következő rendelkezés lép: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  <w:i/>
        </w:rPr>
      </w:pPr>
      <w:r w:rsidRPr="009523DD">
        <w:rPr>
          <w:rFonts w:ascii="Arial" w:hAnsi="Arial" w:cs="Arial"/>
          <w:i/>
        </w:rPr>
        <w:t xml:space="preserve">(Jogi és Társadalmi Kapcsolatok Bizottsága – </w:t>
      </w:r>
      <w:r w:rsidRPr="009523DD">
        <w:rPr>
          <w:rFonts w:ascii="Arial" w:hAnsi="Arial" w:cs="Arial"/>
          <w:i/>
        </w:rPr>
        <w:tab/>
        <w:t>Kulturális és sport feladatai körében:)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ind w:left="705" w:hanging="705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„64.</w:t>
      </w:r>
      <w:r w:rsidRPr="009523DD">
        <w:rPr>
          <w:rFonts w:ascii="Arial" w:hAnsi="Arial" w:cs="Arial"/>
        </w:rPr>
        <w:tab/>
        <w:t>az önkormányzat éves költségvetésében meghatározott összeghatárig a civil alap terhére javaslatot tesz a társadalmi szervezetek, illetve az általuk rendezett programok támogatására meghatározott előirányzatok felhasználására, és figyelemmel kíséri azok végrehajtását;”</w:t>
      </w: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285757" w:rsidRPr="009523DD" w:rsidRDefault="00285757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F740CF" w:rsidRPr="009523DD" w:rsidRDefault="00F740CF" w:rsidP="00F740CF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lastRenderedPageBreak/>
        <w:t>5. §</w:t>
      </w:r>
    </w:p>
    <w:p w:rsidR="00F740CF" w:rsidRPr="009523DD" w:rsidRDefault="00F740CF" w:rsidP="00F740CF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Az SZMSZ 82. § (5) bekezdése helyébe a következő rendelkezés lép:</w:t>
      </w:r>
    </w:p>
    <w:p w:rsidR="003F428E" w:rsidRPr="009523DD" w:rsidRDefault="003F428E" w:rsidP="003F428E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>„(5)</w:t>
      </w:r>
      <w:r w:rsidRPr="009523DD">
        <w:rPr>
          <w:rFonts w:ascii="Arial" w:hAnsi="Arial" w:cs="Arial"/>
          <w:szCs w:val="24"/>
        </w:rPr>
        <w:tab/>
        <w:t>A Közgyűlés a közszolgálati tisztségviselőkről szóló 2011. évi CXIX. törvény 239.§ (2) bekezdésében foglaltak alapján a polgármester tevékenységéhez közvetlenül kapcsolódó feladatok ellátására a Polgármesteri Kabineten belül 3 fő önkormányzati főtanácsadói és tanácsadói munkakört hoz létre az alábbiak szerint:</w:t>
      </w: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  <w:r w:rsidRPr="009523DD">
        <w:rPr>
          <w:rFonts w:ascii="Arial" w:hAnsi="Arial" w:cs="Arial"/>
          <w:szCs w:val="24"/>
        </w:rPr>
        <w:tab/>
      </w:r>
      <w:r w:rsidRPr="009523DD">
        <w:rPr>
          <w:rFonts w:ascii="Arial" w:hAnsi="Arial" w:cs="Arial"/>
          <w:szCs w:val="24"/>
        </w:rPr>
        <w:tab/>
      </w:r>
      <w:r w:rsidRPr="009523DD">
        <w:rPr>
          <w:rFonts w:ascii="Arial" w:hAnsi="Arial" w:cs="Arial"/>
          <w:szCs w:val="24"/>
        </w:rPr>
        <w:tab/>
        <w:t>3 fő alpolgármesteri asszisztens (alpolgármesterenként 1-1 fő).”</w:t>
      </w: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9D20E8" w:rsidRPr="009523DD" w:rsidRDefault="009D20E8" w:rsidP="009D20E8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6. §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9D20E8" w:rsidRPr="009523DD" w:rsidRDefault="001B0D87" w:rsidP="009D20E8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Az SZMSZ 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a)</w:t>
      </w:r>
      <w:r w:rsidRPr="009523DD">
        <w:rPr>
          <w:rFonts w:ascii="Arial" w:hAnsi="Arial" w:cs="Arial"/>
        </w:rPr>
        <w:tab/>
        <w:t>5. melléklete helyébe az 1. melléklet,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b)</w:t>
      </w:r>
      <w:r w:rsidRPr="009523DD">
        <w:rPr>
          <w:rFonts w:ascii="Arial" w:hAnsi="Arial" w:cs="Arial"/>
        </w:rPr>
        <w:tab/>
        <w:t>6. melléklete helyébe a 2. melléklet,</w:t>
      </w:r>
    </w:p>
    <w:p w:rsidR="009D20E8" w:rsidRPr="009523DD" w:rsidRDefault="009D20E8" w:rsidP="001B0D87">
      <w:pPr>
        <w:ind w:firstLine="284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c)</w:t>
      </w:r>
      <w:r w:rsidRPr="009523DD">
        <w:rPr>
          <w:rFonts w:ascii="Arial" w:hAnsi="Arial" w:cs="Arial"/>
        </w:rPr>
        <w:tab/>
        <w:t xml:space="preserve">8. </w:t>
      </w:r>
      <w:bookmarkStart w:id="0" w:name="_GoBack"/>
      <w:bookmarkEnd w:id="0"/>
      <w:r w:rsidRPr="009523DD">
        <w:rPr>
          <w:rFonts w:ascii="Arial" w:hAnsi="Arial" w:cs="Arial"/>
        </w:rPr>
        <w:t>melléklete helyébe a 3. melléklet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lép.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D573D3" w:rsidRPr="009523DD" w:rsidRDefault="00D573D3" w:rsidP="00D573D3">
      <w:pPr>
        <w:jc w:val="center"/>
        <w:rPr>
          <w:rFonts w:ascii="Arial" w:hAnsi="Arial" w:cs="Arial"/>
          <w:b/>
          <w:szCs w:val="24"/>
        </w:rPr>
      </w:pPr>
      <w:r w:rsidRPr="009523DD">
        <w:rPr>
          <w:rFonts w:ascii="Arial" w:hAnsi="Arial" w:cs="Arial"/>
          <w:b/>
          <w:szCs w:val="24"/>
        </w:rPr>
        <w:t>7. §</w:t>
      </w:r>
    </w:p>
    <w:p w:rsidR="00D573D3" w:rsidRPr="009523DD" w:rsidRDefault="00D573D3" w:rsidP="00D573D3">
      <w:pPr>
        <w:jc w:val="both"/>
        <w:rPr>
          <w:rFonts w:ascii="Arial" w:hAnsi="Arial" w:cs="Arial"/>
        </w:rPr>
      </w:pPr>
    </w:p>
    <w:p w:rsidR="00D573D3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 xml:space="preserve">(1) </w:t>
      </w:r>
      <w:r w:rsidRPr="009523DD">
        <w:rPr>
          <w:rFonts w:ascii="Arial" w:hAnsi="Arial" w:cs="Arial"/>
        </w:rPr>
        <w:tab/>
      </w:r>
      <w:r w:rsidR="00D573D3" w:rsidRPr="009523DD">
        <w:rPr>
          <w:rFonts w:ascii="Arial" w:hAnsi="Arial" w:cs="Arial"/>
        </w:rPr>
        <w:t>Ez a rendelet</w:t>
      </w:r>
      <w:r w:rsidRPr="009523DD">
        <w:rPr>
          <w:rFonts w:ascii="Arial" w:hAnsi="Arial" w:cs="Arial"/>
        </w:rPr>
        <w:t xml:space="preserve"> – a (2) bekezdésben foglalt kivétellel – a </w:t>
      </w:r>
      <w:r w:rsidR="00D573D3" w:rsidRPr="009523DD">
        <w:rPr>
          <w:rFonts w:ascii="Arial" w:hAnsi="Arial" w:cs="Arial"/>
        </w:rPr>
        <w:t>kihirdetését követő napon lép hatályba.</w:t>
      </w:r>
    </w:p>
    <w:p w:rsidR="00717382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717382" w:rsidRPr="009523DD" w:rsidRDefault="00717382" w:rsidP="00717382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9523DD">
        <w:rPr>
          <w:rFonts w:ascii="Arial" w:hAnsi="Arial" w:cs="Arial"/>
        </w:rPr>
        <w:t>(2)</w:t>
      </w:r>
      <w:r w:rsidRPr="009523DD">
        <w:rPr>
          <w:rFonts w:ascii="Arial" w:hAnsi="Arial" w:cs="Arial"/>
        </w:rPr>
        <w:tab/>
        <w:t>Az 5. § 2019. július 1-jén lép hatályba.</w:t>
      </w:r>
    </w:p>
    <w:p w:rsidR="009D20E8" w:rsidRPr="009523DD" w:rsidRDefault="009D20E8" w:rsidP="009D20E8">
      <w:pPr>
        <w:jc w:val="both"/>
        <w:rPr>
          <w:rFonts w:ascii="Arial" w:hAnsi="Arial" w:cs="Arial"/>
        </w:rPr>
      </w:pPr>
    </w:p>
    <w:p w:rsidR="003F428E" w:rsidRPr="009523DD" w:rsidRDefault="003F428E" w:rsidP="003F428E">
      <w:pPr>
        <w:numPr>
          <w:ilvl w:val="12"/>
          <w:numId w:val="0"/>
        </w:numPr>
        <w:ind w:left="567" w:hanging="567"/>
        <w:jc w:val="both"/>
        <w:rPr>
          <w:rFonts w:ascii="Arial" w:hAnsi="Arial" w:cs="Arial"/>
          <w:szCs w:val="24"/>
        </w:rPr>
      </w:pPr>
    </w:p>
    <w:p w:rsidR="00F740CF" w:rsidRPr="009523DD" w:rsidRDefault="00F740CF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285757">
      <w:pPr>
        <w:jc w:val="both"/>
        <w:rPr>
          <w:rFonts w:ascii="Arial" w:hAnsi="Arial" w:cs="Arial"/>
        </w:rPr>
      </w:pPr>
    </w:p>
    <w:p w:rsidR="00E877EB" w:rsidRPr="009523DD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9523DD">
        <w:rPr>
          <w:rFonts w:ascii="Arial" w:hAnsi="Arial" w:cs="Arial"/>
          <w:b/>
        </w:rPr>
        <w:tab/>
        <w:t>(: Dr. Puskás Tivadar :)</w:t>
      </w:r>
      <w:r w:rsidRPr="009523DD">
        <w:rPr>
          <w:rFonts w:ascii="Arial" w:hAnsi="Arial" w:cs="Arial"/>
          <w:b/>
        </w:rPr>
        <w:tab/>
        <w:t>(: Dr. Károlyi Ákos :)</w:t>
      </w:r>
    </w:p>
    <w:p w:rsidR="00E877EB" w:rsidRPr="009523DD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9523DD">
        <w:rPr>
          <w:rFonts w:ascii="Arial" w:hAnsi="Arial" w:cs="Arial"/>
          <w:b/>
        </w:rPr>
        <w:tab/>
        <w:t>polgármester</w:t>
      </w:r>
      <w:r w:rsidRPr="009523DD">
        <w:rPr>
          <w:rFonts w:ascii="Arial" w:hAnsi="Arial" w:cs="Arial"/>
          <w:b/>
        </w:rPr>
        <w:tab/>
        <w:t>jegyző</w:t>
      </w:r>
    </w:p>
    <w:sectPr w:rsidR="00E877EB" w:rsidRPr="009523DD" w:rsidSect="00CC450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8" w:rsidRDefault="008144D8" w:rsidP="008144D8">
      <w:r>
        <w:separator/>
      </w:r>
    </w:p>
  </w:endnote>
  <w:endnote w:type="continuationSeparator" w:id="0">
    <w:p w:rsidR="008144D8" w:rsidRDefault="008144D8" w:rsidP="008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1035609"/>
      <w:docPartObj>
        <w:docPartGallery w:val="Page Numbers (Bottom of Page)"/>
        <w:docPartUnique/>
      </w:docPartObj>
    </w:sdtPr>
    <w:sdtEndPr/>
    <w:sdtContent>
      <w:p w:rsidR="008144D8" w:rsidRPr="008144D8" w:rsidRDefault="008144D8">
        <w:pPr>
          <w:pStyle w:val="llb"/>
          <w:jc w:val="center"/>
          <w:rPr>
            <w:rFonts w:ascii="Arial" w:hAnsi="Arial" w:cs="Arial"/>
          </w:rPr>
        </w:pPr>
        <w:r w:rsidRPr="008144D8">
          <w:rPr>
            <w:rFonts w:ascii="Arial" w:hAnsi="Arial" w:cs="Arial"/>
          </w:rPr>
          <w:fldChar w:fldCharType="begin"/>
        </w:r>
        <w:r w:rsidRPr="008144D8">
          <w:rPr>
            <w:rFonts w:ascii="Arial" w:hAnsi="Arial" w:cs="Arial"/>
          </w:rPr>
          <w:instrText>PAGE   \* MERGEFORMAT</w:instrText>
        </w:r>
        <w:r w:rsidRPr="008144D8">
          <w:rPr>
            <w:rFonts w:ascii="Arial" w:hAnsi="Arial" w:cs="Arial"/>
          </w:rPr>
          <w:fldChar w:fldCharType="separate"/>
        </w:r>
        <w:r w:rsidR="009523DD">
          <w:rPr>
            <w:rFonts w:ascii="Arial" w:hAnsi="Arial" w:cs="Arial"/>
            <w:noProof/>
          </w:rPr>
          <w:t>3</w:t>
        </w:r>
        <w:r w:rsidRPr="008144D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8" w:rsidRDefault="008144D8" w:rsidP="008144D8">
      <w:r>
        <w:separator/>
      </w:r>
    </w:p>
  </w:footnote>
  <w:footnote w:type="continuationSeparator" w:id="0">
    <w:p w:rsidR="008144D8" w:rsidRDefault="008144D8" w:rsidP="0081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1" w:rsidRPr="00CC4501" w:rsidRDefault="00CC4501" w:rsidP="00CC4501">
    <w:pPr>
      <w:pStyle w:val="lfej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01" w:rsidRPr="00CC4501" w:rsidRDefault="00CC4501" w:rsidP="00CC4501">
    <w:pPr>
      <w:pStyle w:val="lfej"/>
      <w:jc w:val="right"/>
      <w:rPr>
        <w:rFonts w:ascii="Arial" w:hAnsi="Arial" w:cs="Arial"/>
      </w:rPr>
    </w:pPr>
    <w:r w:rsidRPr="00CC4501">
      <w:rPr>
        <w:rFonts w:ascii="Arial" w:hAnsi="Arial" w:cs="Arial"/>
      </w:rPr>
      <w:t xml:space="preserve">1. </w:t>
    </w:r>
    <w:r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605"/>
    <w:multiLevelType w:val="hybridMultilevel"/>
    <w:tmpl w:val="6478D3A0"/>
    <w:lvl w:ilvl="0" w:tplc="20082A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296"/>
    <w:multiLevelType w:val="hybridMultilevel"/>
    <w:tmpl w:val="719E1D5E"/>
    <w:lvl w:ilvl="0" w:tplc="3F2CDA1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1"/>
    <w:rsid w:val="001B0D87"/>
    <w:rsid w:val="00224540"/>
    <w:rsid w:val="00233496"/>
    <w:rsid w:val="00285757"/>
    <w:rsid w:val="003F428E"/>
    <w:rsid w:val="004D62A2"/>
    <w:rsid w:val="00546141"/>
    <w:rsid w:val="0063112D"/>
    <w:rsid w:val="0065007A"/>
    <w:rsid w:val="00717382"/>
    <w:rsid w:val="007B397C"/>
    <w:rsid w:val="008144D8"/>
    <w:rsid w:val="008307E8"/>
    <w:rsid w:val="009523DD"/>
    <w:rsid w:val="009930EE"/>
    <w:rsid w:val="009C34FB"/>
    <w:rsid w:val="009D20E8"/>
    <w:rsid w:val="00B6009D"/>
    <w:rsid w:val="00B95823"/>
    <w:rsid w:val="00CC4501"/>
    <w:rsid w:val="00D573D3"/>
    <w:rsid w:val="00E877EB"/>
    <w:rsid w:val="00EE60D1"/>
    <w:rsid w:val="00F740CF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D7FB711-F119-464B-BDE6-941D144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0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557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23</cp:revision>
  <cp:lastPrinted>2019-04-15T13:54:00Z</cp:lastPrinted>
  <dcterms:created xsi:type="dcterms:W3CDTF">2019-04-03T14:39:00Z</dcterms:created>
  <dcterms:modified xsi:type="dcterms:W3CDTF">2019-04-15T13:54:00Z</dcterms:modified>
</cp:coreProperties>
</file>