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3A2427">
        <w:rPr>
          <w:rFonts w:ascii="Arial" w:hAnsi="Arial" w:cs="Arial"/>
          <w:b/>
        </w:rPr>
        <w:t>2018</w:t>
      </w:r>
      <w:r w:rsidR="001B54B0">
        <w:rPr>
          <w:rFonts w:ascii="Arial" w:hAnsi="Arial" w:cs="Arial"/>
          <w:b/>
        </w:rPr>
        <w:t xml:space="preserve">. </w:t>
      </w:r>
      <w:r w:rsidR="00727644">
        <w:rPr>
          <w:rFonts w:ascii="Arial" w:hAnsi="Arial" w:cs="Arial"/>
          <w:b/>
        </w:rPr>
        <w:t>december 3</w:t>
      </w:r>
      <w:r w:rsidR="00E803E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21550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</w:t>
      </w:r>
      <w:r w:rsidR="00215500">
        <w:rPr>
          <w:rFonts w:ascii="Arial" w:hAnsi="Arial" w:cs="Arial"/>
          <w:b/>
        </w:rPr>
        <w:t xml:space="preserve">Szombathely, Kisfaludy Sándor utca 1. szám alatti ingatlanról </w:t>
      </w:r>
      <w:r w:rsidRPr="00EC17BD">
        <w:rPr>
          <w:rFonts w:ascii="Arial" w:hAnsi="Arial" w:cs="Arial"/>
          <w:b/>
        </w:rPr>
        <w:t>szóló tájékoztató elfogadására</w:t>
      </w:r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5500" w:rsidRDefault="00215500" w:rsidP="00215500">
      <w:pPr>
        <w:jc w:val="both"/>
        <w:rPr>
          <w:rFonts w:ascii="Arial" w:hAnsi="Arial" w:cs="Arial"/>
        </w:rPr>
      </w:pPr>
      <w:r w:rsidRPr="00215500">
        <w:rPr>
          <w:rFonts w:ascii="Arial" w:hAnsi="Arial" w:cs="Arial"/>
        </w:rPr>
        <w:t>A Szombathely, Kisfaludy Sándor utca 1.</w:t>
      </w:r>
      <w:r>
        <w:rPr>
          <w:rFonts w:ascii="Arial" w:hAnsi="Arial" w:cs="Arial"/>
        </w:rPr>
        <w:t xml:space="preserve"> szám alatti ingatlan 7 </w:t>
      </w:r>
      <w:proofErr w:type="spellStart"/>
      <w:r>
        <w:rPr>
          <w:rFonts w:ascii="Arial" w:hAnsi="Arial" w:cs="Arial"/>
        </w:rPr>
        <w:t>albetéte</w:t>
      </w:r>
      <w:proofErr w:type="spellEnd"/>
      <w:r>
        <w:rPr>
          <w:rFonts w:ascii="Arial" w:hAnsi="Arial" w:cs="Arial"/>
        </w:rPr>
        <w:t xml:space="preserve"> (</w:t>
      </w:r>
      <w:r w:rsidRPr="009E6A33">
        <w:rPr>
          <w:rFonts w:ascii="Arial" w:hAnsi="Arial" w:cs="Arial"/>
          <w:bCs/>
        </w:rPr>
        <w:t>6748/A/3</w:t>
      </w:r>
      <w:r>
        <w:rPr>
          <w:rFonts w:ascii="Arial" w:hAnsi="Arial" w:cs="Arial"/>
          <w:bCs/>
        </w:rPr>
        <w:t>, 6748/A/4, 6748/A/6, 6748/A/7, 6748/A/8, 6748/A/9, 6748/A/11)</w:t>
      </w:r>
      <w:r>
        <w:rPr>
          <w:rFonts w:ascii="Arial" w:hAnsi="Arial" w:cs="Arial"/>
        </w:rPr>
        <w:t xml:space="preserve"> a 2017. évi vagyonkoncepció </w:t>
      </w:r>
      <w:r w:rsidRPr="009E6A33">
        <w:rPr>
          <w:rFonts w:ascii="Arial" w:hAnsi="Arial" w:cs="Arial"/>
        </w:rPr>
        <w:t>keretében lett kijelölve</w:t>
      </w:r>
      <w:r>
        <w:rPr>
          <w:rFonts w:ascii="Arial" w:hAnsi="Arial" w:cs="Arial"/>
        </w:rPr>
        <w:t xml:space="preserve"> egyben történő</w:t>
      </w:r>
      <w:r w:rsidRPr="009E6A33">
        <w:rPr>
          <w:rFonts w:ascii="Arial" w:hAnsi="Arial" w:cs="Arial"/>
        </w:rPr>
        <w:t xml:space="preserve"> értékesítésre</w:t>
      </w:r>
      <w:r>
        <w:rPr>
          <w:rFonts w:ascii="Arial" w:hAnsi="Arial" w:cs="Arial"/>
        </w:rPr>
        <w:t>.</w:t>
      </w:r>
    </w:p>
    <w:p w:rsidR="00215500" w:rsidRDefault="00215500" w:rsidP="00215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ingatlan több alkalommal került meghirdetésre az alábbi forgalmi értékeken:</w:t>
      </w:r>
    </w:p>
    <w:p w:rsidR="00215500" w:rsidRDefault="00215500" w:rsidP="0021550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1550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187/2017. (VI.15.) és 239/2017. (IX.14.) Kgy. sz. határozatok alapján a</w:t>
      </w:r>
      <w:r w:rsidRPr="00215500">
        <w:rPr>
          <w:rFonts w:ascii="Arial" w:hAnsi="Arial" w:cs="Arial"/>
        </w:rPr>
        <w:t xml:space="preserve"> SZOVA </w:t>
      </w:r>
      <w:proofErr w:type="spellStart"/>
      <w:r w:rsidRPr="00215500">
        <w:rPr>
          <w:rFonts w:ascii="Arial" w:hAnsi="Arial" w:cs="Arial"/>
        </w:rPr>
        <w:t>Zrt</w:t>
      </w:r>
      <w:proofErr w:type="spellEnd"/>
      <w:r w:rsidRPr="00215500">
        <w:rPr>
          <w:rFonts w:ascii="Arial" w:hAnsi="Arial" w:cs="Arial"/>
        </w:rPr>
        <w:t>. értékbecslés</w:t>
      </w:r>
      <w:r w:rsidR="00CB5F8A">
        <w:rPr>
          <w:rFonts w:ascii="Arial" w:hAnsi="Arial" w:cs="Arial"/>
        </w:rPr>
        <w:t>e</w:t>
      </w:r>
      <w:r w:rsidRPr="00215500">
        <w:rPr>
          <w:rFonts w:ascii="Arial" w:hAnsi="Arial" w:cs="Arial"/>
        </w:rPr>
        <w:t xml:space="preserve"> szerint 98.100.000,- Ft + ÁFA, azaz 1</w:t>
      </w:r>
      <w:r>
        <w:rPr>
          <w:rFonts w:ascii="Arial" w:hAnsi="Arial" w:cs="Arial"/>
        </w:rPr>
        <w:t>24.587.000,- Ft forgalmi értéken;</w:t>
      </w:r>
    </w:p>
    <w:p w:rsidR="00215500" w:rsidRDefault="00CB5F8A" w:rsidP="0021550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15/2018. (II.15.) Kgy. sz. határozat alapján a</w:t>
      </w:r>
      <w:r w:rsidR="00215500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 xml:space="preserve">West Ingatlan </w:t>
      </w:r>
      <w:r>
        <w:rPr>
          <w:rFonts w:ascii="Arial" w:hAnsi="Arial" w:cs="Arial"/>
        </w:rPr>
        <w:t>Bt. értékbecslése szerint</w:t>
      </w:r>
      <w:r w:rsidRPr="009E6A33">
        <w:rPr>
          <w:rFonts w:ascii="Arial" w:hAnsi="Arial" w:cs="Arial"/>
        </w:rPr>
        <w:t xml:space="preserve"> 84.645.669,- Ft + ÁFA, azaz bruttó 107.500.000,- Ft</w:t>
      </w:r>
      <w:r>
        <w:rPr>
          <w:rFonts w:ascii="Arial" w:hAnsi="Arial" w:cs="Arial"/>
        </w:rPr>
        <w:t xml:space="preserve"> forgalmi értéken.</w:t>
      </w:r>
    </w:p>
    <w:p w:rsidR="004C327A" w:rsidRDefault="004C327A" w:rsidP="00CB5F8A">
      <w:pPr>
        <w:jc w:val="both"/>
        <w:rPr>
          <w:rFonts w:ascii="Arial" w:hAnsi="Arial" w:cs="Arial"/>
        </w:rPr>
      </w:pPr>
    </w:p>
    <w:p w:rsidR="00CB5F8A" w:rsidRDefault="00CB5F8A" w:rsidP="00CB5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eljárások – ajánlat hiány</w:t>
      </w:r>
      <w:r w:rsidR="004C327A">
        <w:rPr>
          <w:rFonts w:ascii="Arial" w:hAnsi="Arial" w:cs="Arial"/>
        </w:rPr>
        <w:t>ában –</w:t>
      </w:r>
      <w:r>
        <w:rPr>
          <w:rFonts w:ascii="Arial" w:hAnsi="Arial" w:cs="Arial"/>
        </w:rPr>
        <w:t xml:space="preserve"> eredménytelenül zárultak.</w:t>
      </w:r>
    </w:p>
    <w:p w:rsidR="00CB5F8A" w:rsidRPr="00CB5F8A" w:rsidRDefault="00CB5F8A" w:rsidP="00CB5F8A">
      <w:pPr>
        <w:jc w:val="both"/>
        <w:rPr>
          <w:rFonts w:ascii="Arial" w:hAnsi="Arial" w:cs="Arial"/>
        </w:rPr>
      </w:pPr>
    </w:p>
    <w:p w:rsidR="005D46F4" w:rsidRDefault="005D46F4" w:rsidP="005D4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15/2018. (II.15.)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felkérte</w:t>
      </w:r>
      <w:r w:rsidRPr="005D46F4">
        <w:rPr>
          <w:rFonts w:ascii="Arial" w:hAnsi="Arial" w:cs="Arial"/>
        </w:rPr>
        <w:t xml:space="preserve"> a polgármestert, amennyiben a Kisfaludy S. </w:t>
      </w:r>
      <w:proofErr w:type="gramStart"/>
      <w:r w:rsidRPr="005D46F4">
        <w:rPr>
          <w:rFonts w:ascii="Arial" w:hAnsi="Arial" w:cs="Arial"/>
        </w:rPr>
        <w:t>u.</w:t>
      </w:r>
      <w:proofErr w:type="gramEnd"/>
      <w:r w:rsidRPr="005D46F4">
        <w:rPr>
          <w:rFonts w:ascii="Arial" w:hAnsi="Arial" w:cs="Arial"/>
        </w:rPr>
        <w:t xml:space="preserve"> 1</w:t>
      </w:r>
      <w:r w:rsidR="004A0B25">
        <w:rPr>
          <w:rFonts w:ascii="Arial" w:hAnsi="Arial" w:cs="Arial"/>
        </w:rPr>
        <w:t>.</w:t>
      </w:r>
      <w:r w:rsidRPr="005D46F4">
        <w:rPr>
          <w:rFonts w:ascii="Arial" w:hAnsi="Arial" w:cs="Arial"/>
        </w:rPr>
        <w:t xml:space="preserve"> szám alatti ingatlan értékesítésre kijelölt </w:t>
      </w:r>
      <w:proofErr w:type="spellStart"/>
      <w:r w:rsidRPr="005D46F4">
        <w:rPr>
          <w:rFonts w:ascii="Arial" w:hAnsi="Arial" w:cs="Arial"/>
        </w:rPr>
        <w:t>albetéteinek</w:t>
      </w:r>
      <w:proofErr w:type="spellEnd"/>
      <w:r w:rsidRPr="005D46F4">
        <w:rPr>
          <w:rFonts w:ascii="Arial" w:hAnsi="Arial" w:cs="Arial"/>
        </w:rPr>
        <w:t xml:space="preserve"> egyben történő értékesítése 2018. június 30. napjáig eredménytelenül zárul, az egyes </w:t>
      </w:r>
      <w:proofErr w:type="spellStart"/>
      <w:r w:rsidRPr="005D46F4">
        <w:rPr>
          <w:rFonts w:ascii="Arial" w:hAnsi="Arial" w:cs="Arial"/>
        </w:rPr>
        <w:t>albetétek</w:t>
      </w:r>
      <w:proofErr w:type="spellEnd"/>
      <w:r w:rsidRPr="005D46F4">
        <w:rPr>
          <w:rFonts w:ascii="Arial" w:hAnsi="Arial" w:cs="Arial"/>
        </w:rPr>
        <w:t xml:space="preserve"> külön történő értékesítése kezdődjön meg az ingatlanok értékei alapján a vagyonrendelet szerinti tulajdonosi jogkör gyakorlója által jóváhagyott pályázati felhívások alapján.</w:t>
      </w:r>
    </w:p>
    <w:p w:rsidR="005D46F4" w:rsidRDefault="005D46F4" w:rsidP="005D46F4">
      <w:pPr>
        <w:jc w:val="both"/>
        <w:rPr>
          <w:rFonts w:ascii="Arial" w:hAnsi="Arial" w:cs="Arial"/>
        </w:rPr>
      </w:pPr>
    </w:p>
    <w:p w:rsidR="00B66FB2" w:rsidRDefault="00B66FB2" w:rsidP="005D4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kezelője, a</w:t>
      </w:r>
      <w:r w:rsidR="005D46F4">
        <w:rPr>
          <w:rFonts w:ascii="Arial" w:hAnsi="Arial" w:cs="Arial"/>
        </w:rPr>
        <w:t xml:space="preserve"> SZOVA Nonprofit </w:t>
      </w:r>
      <w:proofErr w:type="spellStart"/>
      <w:r w:rsidR="005D46F4">
        <w:rPr>
          <w:rFonts w:ascii="Arial" w:hAnsi="Arial" w:cs="Arial"/>
        </w:rPr>
        <w:t>Zrt.-t</w:t>
      </w:r>
      <w:proofErr w:type="spellEnd"/>
      <w:r w:rsidR="005D46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megvizsgálta </w:t>
      </w:r>
      <w:r w:rsidR="005D46F4">
        <w:rPr>
          <w:rFonts w:ascii="Arial" w:hAnsi="Arial" w:cs="Arial"/>
        </w:rPr>
        <w:t xml:space="preserve">az egyes </w:t>
      </w:r>
      <w:proofErr w:type="spellStart"/>
      <w:r w:rsidR="005D46F4">
        <w:rPr>
          <w:rFonts w:ascii="Arial" w:hAnsi="Arial" w:cs="Arial"/>
        </w:rPr>
        <w:t>albetétek</w:t>
      </w:r>
      <w:proofErr w:type="spellEnd"/>
      <w:r w:rsidR="005D46F4">
        <w:rPr>
          <w:rFonts w:ascii="Arial" w:hAnsi="Arial" w:cs="Arial"/>
        </w:rPr>
        <w:t xml:space="preserve"> külön történő értékesítésé</w:t>
      </w:r>
      <w:r>
        <w:rPr>
          <w:rFonts w:ascii="Arial" w:hAnsi="Arial" w:cs="Arial"/>
        </w:rPr>
        <w:t xml:space="preserve">nek lehetőségét. </w:t>
      </w:r>
    </w:p>
    <w:p w:rsidR="00B66FB2" w:rsidRDefault="00B66FB2" w:rsidP="005D46F4">
      <w:pPr>
        <w:jc w:val="both"/>
        <w:rPr>
          <w:rFonts w:ascii="Arial" w:hAnsi="Arial" w:cs="Arial"/>
        </w:rPr>
      </w:pPr>
    </w:p>
    <w:p w:rsidR="00B66FB2" w:rsidRPr="00B66FB2" w:rsidRDefault="00B66FB2" w:rsidP="00B66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E0E5F">
        <w:rPr>
          <w:rFonts w:ascii="Arial" w:hAnsi="Arial" w:cs="Arial"/>
        </w:rPr>
        <w:t xml:space="preserve">jelenleg hatályos </w:t>
      </w:r>
      <w:r>
        <w:rPr>
          <w:rFonts w:ascii="Arial" w:hAnsi="Arial" w:cs="Arial"/>
        </w:rPr>
        <w:t>társasházi alapító okirat</w:t>
      </w:r>
      <w:r w:rsidR="00AE0E5F">
        <w:rPr>
          <w:rFonts w:ascii="Arial" w:hAnsi="Arial" w:cs="Arial"/>
        </w:rPr>
        <w:t xml:space="preserve"> szerint</w:t>
      </w:r>
      <w:r>
        <w:rPr>
          <w:rFonts w:ascii="Arial" w:hAnsi="Arial" w:cs="Arial"/>
        </w:rPr>
        <w:t>,</w:t>
      </w:r>
      <w:r w:rsidR="00AE0E5F">
        <w:rPr>
          <w:rFonts w:ascii="Arial" w:hAnsi="Arial" w:cs="Arial"/>
        </w:rPr>
        <w:t xml:space="preserve"> annak</w:t>
      </w:r>
      <w:r>
        <w:rPr>
          <w:rFonts w:ascii="Arial" w:hAnsi="Arial" w:cs="Arial"/>
        </w:rPr>
        <w:t xml:space="preserve"> módosítás</w:t>
      </w:r>
      <w:r w:rsidR="00AE0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nélkül, az alábbi </w:t>
      </w:r>
      <w:proofErr w:type="spellStart"/>
      <w:r>
        <w:rPr>
          <w:rFonts w:ascii="Arial" w:hAnsi="Arial" w:cs="Arial"/>
        </w:rPr>
        <w:t>albetétek</w:t>
      </w:r>
      <w:proofErr w:type="spellEnd"/>
      <w:r>
        <w:rPr>
          <w:rFonts w:ascii="Arial" w:hAnsi="Arial" w:cs="Arial"/>
        </w:rPr>
        <w:t xml:space="preserve"> értéke</w:t>
      </w:r>
      <w:r w:rsidR="00AE0E5F">
        <w:rPr>
          <w:rFonts w:ascii="Arial" w:hAnsi="Arial" w:cs="Arial"/>
        </w:rPr>
        <w:t>síthetők</w:t>
      </w:r>
      <w:r w:rsidR="00F16D79">
        <w:rPr>
          <w:rFonts w:ascii="Arial" w:hAnsi="Arial" w:cs="Arial"/>
        </w:rPr>
        <w:t xml:space="preserve"> a SZOVA</w:t>
      </w:r>
      <w:r w:rsidR="00AC3951">
        <w:rPr>
          <w:rFonts w:ascii="Arial" w:hAnsi="Arial" w:cs="Arial"/>
        </w:rPr>
        <w:t xml:space="preserve"> N</w:t>
      </w:r>
      <w:r w:rsidR="00F16D79">
        <w:rPr>
          <w:rFonts w:ascii="Arial" w:hAnsi="Arial" w:cs="Arial"/>
        </w:rPr>
        <w:t>o</w:t>
      </w:r>
      <w:r w:rsidR="00AC3951">
        <w:rPr>
          <w:rFonts w:ascii="Arial" w:hAnsi="Arial" w:cs="Arial"/>
        </w:rPr>
        <w:t>n</w:t>
      </w:r>
      <w:r w:rsidR="00F16D79">
        <w:rPr>
          <w:rFonts w:ascii="Arial" w:hAnsi="Arial" w:cs="Arial"/>
        </w:rPr>
        <w:t xml:space="preserve">profit </w:t>
      </w:r>
      <w:proofErr w:type="spellStart"/>
      <w:r w:rsidR="00F16D79">
        <w:rPr>
          <w:rFonts w:ascii="Arial" w:hAnsi="Arial" w:cs="Arial"/>
        </w:rPr>
        <w:t>Zrt</w:t>
      </w:r>
      <w:proofErr w:type="spellEnd"/>
      <w:r w:rsidR="00F16D79">
        <w:rPr>
          <w:rFonts w:ascii="Arial" w:hAnsi="Arial" w:cs="Arial"/>
        </w:rPr>
        <w:t>. által megállapított forgalmi értéken:</w:t>
      </w:r>
    </w:p>
    <w:p w:rsidR="00B66FB2" w:rsidRPr="008753DC" w:rsidRDefault="00B66FB2" w:rsidP="00B66FB2">
      <w:pPr>
        <w:ind w:left="284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6FB2" w:rsidRPr="008753DC" w:rsidTr="005E596A">
        <w:tc>
          <w:tcPr>
            <w:tcW w:w="3070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753DC">
              <w:rPr>
                <w:rFonts w:ascii="Arial" w:hAnsi="Arial" w:cs="Arial"/>
                <w:color w:val="000000"/>
              </w:rPr>
              <w:t>Hrsz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 xml:space="preserve">alapterület </w:t>
            </w:r>
            <w:r w:rsidR="008753DC">
              <w:rPr>
                <w:rFonts w:ascii="Arial" w:hAnsi="Arial" w:cs="Arial"/>
                <w:color w:val="000000"/>
              </w:rPr>
              <w:t>(</w:t>
            </w:r>
            <w:r w:rsidRPr="008753DC">
              <w:rPr>
                <w:rFonts w:ascii="Arial" w:hAnsi="Arial" w:cs="Arial"/>
                <w:color w:val="000000"/>
              </w:rPr>
              <w:t>m</w:t>
            </w:r>
            <w:r w:rsidR="008753DC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8753D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nettó forgalmi érték</w:t>
            </w:r>
            <w:r w:rsidR="008753DC">
              <w:rPr>
                <w:rFonts w:ascii="Arial" w:hAnsi="Arial" w:cs="Arial"/>
                <w:color w:val="000000"/>
              </w:rPr>
              <w:t xml:space="preserve"> (Ft)</w:t>
            </w:r>
          </w:p>
        </w:tc>
      </w:tr>
      <w:tr w:rsidR="00B66FB2" w:rsidRPr="008753DC" w:rsidTr="005E596A">
        <w:tc>
          <w:tcPr>
            <w:tcW w:w="3070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6748/A/4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32</w:t>
            </w:r>
            <w:r w:rsidR="008753DC">
              <w:rPr>
                <w:rFonts w:ascii="Arial" w:hAnsi="Arial" w:cs="Arial"/>
                <w:color w:val="000000"/>
              </w:rPr>
              <w:t>.</w:t>
            </w:r>
            <w:r w:rsidRPr="008753DC">
              <w:rPr>
                <w:rFonts w:ascii="Arial" w:hAnsi="Arial" w:cs="Arial"/>
                <w:color w:val="000000"/>
              </w:rPr>
              <w:t>800</w:t>
            </w:r>
            <w:r w:rsidR="008753DC">
              <w:rPr>
                <w:rFonts w:ascii="Arial" w:hAnsi="Arial" w:cs="Arial"/>
                <w:color w:val="000000"/>
              </w:rPr>
              <w:t>.</w:t>
            </w:r>
            <w:r w:rsidRPr="008753DC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B66FB2" w:rsidRPr="008753DC" w:rsidTr="005E596A">
        <w:tc>
          <w:tcPr>
            <w:tcW w:w="3070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6748/A/6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4</w:t>
            </w:r>
            <w:r w:rsidR="008753DC">
              <w:rPr>
                <w:rFonts w:ascii="Arial" w:hAnsi="Arial" w:cs="Arial"/>
                <w:color w:val="000000"/>
              </w:rPr>
              <w:t>.400.</w:t>
            </w:r>
            <w:r w:rsidRPr="008753DC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B66FB2" w:rsidRPr="008753DC" w:rsidTr="005E596A">
        <w:tc>
          <w:tcPr>
            <w:tcW w:w="3070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6748/A/8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7</w:t>
            </w:r>
            <w:r w:rsidR="008753DC">
              <w:rPr>
                <w:rFonts w:ascii="Arial" w:hAnsi="Arial" w:cs="Arial"/>
                <w:color w:val="000000"/>
              </w:rPr>
              <w:t>.</w:t>
            </w:r>
            <w:r w:rsidRPr="008753DC">
              <w:rPr>
                <w:rFonts w:ascii="Arial" w:hAnsi="Arial" w:cs="Arial"/>
                <w:color w:val="000000"/>
              </w:rPr>
              <w:t>5</w:t>
            </w:r>
            <w:r w:rsidR="008753DC">
              <w:rPr>
                <w:rFonts w:ascii="Arial" w:hAnsi="Arial" w:cs="Arial"/>
                <w:color w:val="000000"/>
              </w:rPr>
              <w:t>00.</w:t>
            </w:r>
            <w:r w:rsidRPr="008753DC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B66FB2" w:rsidRPr="008753DC" w:rsidTr="005E596A">
        <w:tc>
          <w:tcPr>
            <w:tcW w:w="3070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6748/A/1</w:t>
            </w:r>
            <w:r w:rsidR="00030EB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3071" w:type="dxa"/>
            <w:shd w:val="clear" w:color="auto" w:fill="auto"/>
          </w:tcPr>
          <w:p w:rsidR="00B66FB2" w:rsidRPr="008753DC" w:rsidRDefault="00B66FB2" w:rsidP="005E596A">
            <w:pPr>
              <w:jc w:val="center"/>
              <w:rPr>
                <w:rFonts w:ascii="Arial" w:hAnsi="Arial" w:cs="Arial"/>
                <w:color w:val="000000"/>
              </w:rPr>
            </w:pPr>
            <w:r w:rsidRPr="008753DC">
              <w:rPr>
                <w:rFonts w:ascii="Arial" w:hAnsi="Arial" w:cs="Arial"/>
                <w:color w:val="000000"/>
              </w:rPr>
              <w:t>27</w:t>
            </w:r>
            <w:r w:rsidR="008753DC">
              <w:rPr>
                <w:rFonts w:ascii="Arial" w:hAnsi="Arial" w:cs="Arial"/>
                <w:color w:val="000000"/>
              </w:rPr>
              <w:t>.500.</w:t>
            </w:r>
            <w:r w:rsidRPr="008753DC">
              <w:rPr>
                <w:rFonts w:ascii="Arial" w:hAnsi="Arial" w:cs="Arial"/>
                <w:color w:val="000000"/>
              </w:rPr>
              <w:t>000</w:t>
            </w:r>
          </w:p>
        </w:tc>
      </w:tr>
    </w:tbl>
    <w:p w:rsidR="00B66FB2" w:rsidRPr="008753DC" w:rsidRDefault="00B66FB2" w:rsidP="00B66FB2">
      <w:pPr>
        <w:ind w:left="284"/>
        <w:jc w:val="both"/>
        <w:rPr>
          <w:rFonts w:ascii="Arial" w:hAnsi="Arial" w:cs="Arial"/>
          <w:color w:val="000000"/>
        </w:rPr>
      </w:pPr>
    </w:p>
    <w:p w:rsidR="00C06F7D" w:rsidRPr="008753DC" w:rsidRDefault="00C06F7D" w:rsidP="00764B7E">
      <w:pPr>
        <w:jc w:val="both"/>
        <w:rPr>
          <w:rFonts w:ascii="Arial" w:hAnsi="Arial" w:cs="Arial"/>
        </w:rPr>
      </w:pPr>
    </w:p>
    <w:p w:rsidR="00AC3951" w:rsidRDefault="00AC3951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többi </w:t>
      </w:r>
      <w:proofErr w:type="spellStart"/>
      <w:r>
        <w:rPr>
          <w:rFonts w:ascii="Arial" w:hAnsi="Arial" w:cs="Arial"/>
        </w:rPr>
        <w:t>albetét</w:t>
      </w:r>
      <w:proofErr w:type="spellEnd"/>
      <w:r>
        <w:rPr>
          <w:rFonts w:ascii="Arial" w:hAnsi="Arial" w:cs="Arial"/>
        </w:rPr>
        <w:t xml:space="preserve"> esetén az értékesítés előtt szükséges egyes közös tulajdonban lévő helyiségek külön tulajdonba adása, értékesítése, amelyhez szükséges az alapító okirat módosítása is a tulajdonosok 100 %-os egyetértésével. A Magyar Állam tulajdonosi pozíciójára tekintettel ez az eljárás nagyon hosszadalmas.</w:t>
      </w:r>
    </w:p>
    <w:p w:rsidR="00AC3951" w:rsidRDefault="00AC3951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társasházban több olyan nagy alapterületű, több helyiségből álló </w:t>
      </w:r>
      <w:proofErr w:type="spellStart"/>
      <w:r>
        <w:rPr>
          <w:rFonts w:ascii="Arial" w:hAnsi="Arial" w:cs="Arial"/>
        </w:rPr>
        <w:t>albetét</w:t>
      </w:r>
      <w:proofErr w:type="spellEnd"/>
      <w:r>
        <w:rPr>
          <w:rFonts w:ascii="Arial" w:hAnsi="Arial" w:cs="Arial"/>
        </w:rPr>
        <w:t xml:space="preserve"> van, ahol jelenleg osztott használat valósul meg. Az egyes </w:t>
      </w:r>
      <w:proofErr w:type="spellStart"/>
      <w:r>
        <w:rPr>
          <w:rFonts w:ascii="Arial" w:hAnsi="Arial" w:cs="Arial"/>
        </w:rPr>
        <w:t>albetétek</w:t>
      </w:r>
      <w:proofErr w:type="spellEnd"/>
      <w:r>
        <w:rPr>
          <w:rFonts w:ascii="Arial" w:hAnsi="Arial" w:cs="Arial"/>
        </w:rPr>
        <w:t xml:space="preserve"> megosztásához elég a tulajdonosok többségi hozzájárulása, azonban ezen ingatlanrészek megosztása</w:t>
      </w:r>
      <w:r w:rsidR="006338DD">
        <w:rPr>
          <w:rFonts w:ascii="Arial" w:hAnsi="Arial" w:cs="Arial"/>
        </w:rPr>
        <w:t xml:space="preserve"> műszakilag</w:t>
      </w:r>
      <w:r>
        <w:rPr>
          <w:rFonts w:ascii="Arial" w:hAnsi="Arial" w:cs="Arial"/>
        </w:rPr>
        <w:t xml:space="preserve"> nem minden ese</w:t>
      </w:r>
      <w:r w:rsidR="006338DD">
        <w:rPr>
          <w:rFonts w:ascii="Arial" w:hAnsi="Arial" w:cs="Arial"/>
        </w:rPr>
        <w:t>tben lehetséges, illetve javasolt.</w:t>
      </w:r>
    </w:p>
    <w:p w:rsidR="00485DCF" w:rsidRDefault="00485DCF" w:rsidP="00764B7E">
      <w:pPr>
        <w:jc w:val="both"/>
        <w:rPr>
          <w:rFonts w:ascii="Arial" w:hAnsi="Arial" w:cs="Arial"/>
        </w:rPr>
      </w:pPr>
    </w:p>
    <w:p w:rsidR="00485DCF" w:rsidRDefault="00485DCF" w:rsidP="00485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a Tisztelt Bizottság kérje fel a polgármestert, hogy Szombathely Megyei Jogú Város Önkormányzata vagyonáról szóló 40/2014. (XII. 23.) önkormányzati rendelet 14. §</w:t>
      </w:r>
      <w:proofErr w:type="spellStart"/>
      <w:r w:rsidR="00AC74D1">
        <w:rPr>
          <w:rFonts w:ascii="Arial" w:hAnsi="Arial" w:cs="Arial"/>
        </w:rPr>
        <w:t>-ára</w:t>
      </w:r>
      <w:proofErr w:type="spellEnd"/>
      <w:r w:rsidR="00AC74D1">
        <w:rPr>
          <w:rFonts w:ascii="Arial" w:hAnsi="Arial" w:cs="Arial"/>
        </w:rPr>
        <w:t xml:space="preserve"> figyelemmel – </w:t>
      </w:r>
      <w:r w:rsidR="004A0B25">
        <w:rPr>
          <w:rFonts w:ascii="Arial" w:hAnsi="Arial" w:cs="Arial"/>
        </w:rPr>
        <w:t>az ingatlanok érékétől</w:t>
      </w:r>
      <w:r w:rsidR="00AC74D1">
        <w:rPr>
          <w:rFonts w:ascii="Arial" w:hAnsi="Arial" w:cs="Arial"/>
        </w:rPr>
        <w:t xml:space="preserve"> függően – a</w:t>
      </w:r>
      <w:r w:rsidR="007B570E">
        <w:rPr>
          <w:rFonts w:ascii="Arial" w:hAnsi="Arial" w:cs="Arial"/>
        </w:rPr>
        <w:t xml:space="preserve"> rendelet 8. §</w:t>
      </w:r>
      <w:proofErr w:type="spellStart"/>
      <w:r w:rsidR="007B570E">
        <w:rPr>
          <w:rFonts w:ascii="Arial" w:hAnsi="Arial" w:cs="Arial"/>
        </w:rPr>
        <w:t>-ában</w:t>
      </w:r>
      <w:proofErr w:type="spellEnd"/>
      <w:r w:rsidR="00AC51A3">
        <w:rPr>
          <w:rFonts w:ascii="Arial" w:hAnsi="Arial" w:cs="Arial"/>
        </w:rPr>
        <w:t xml:space="preserve"> meghatározott tulajdonosi jogkör</w:t>
      </w:r>
      <w:r w:rsidR="007B570E">
        <w:rPr>
          <w:rFonts w:ascii="Arial" w:hAnsi="Arial" w:cs="Arial"/>
        </w:rPr>
        <w:t xml:space="preserve"> gyakorlója elé </w:t>
      </w:r>
      <w:r>
        <w:rPr>
          <w:rFonts w:ascii="Arial" w:hAnsi="Arial" w:cs="Arial"/>
        </w:rPr>
        <w:t xml:space="preserve">terjessze az egyes </w:t>
      </w:r>
      <w:proofErr w:type="spellStart"/>
      <w:r>
        <w:rPr>
          <w:rFonts w:ascii="Arial" w:hAnsi="Arial" w:cs="Arial"/>
        </w:rPr>
        <w:t>albetétek</w:t>
      </w:r>
      <w:proofErr w:type="spellEnd"/>
      <w:r w:rsidR="003B1BD1">
        <w:rPr>
          <w:rFonts w:ascii="Arial" w:hAnsi="Arial" w:cs="Arial"/>
        </w:rPr>
        <w:t xml:space="preserve"> értékesítésére vonatkozó</w:t>
      </w:r>
      <w:r>
        <w:rPr>
          <w:rFonts w:ascii="Arial" w:hAnsi="Arial" w:cs="Arial"/>
        </w:rPr>
        <w:t xml:space="preserve"> </w:t>
      </w:r>
      <w:r w:rsidR="007B570E">
        <w:rPr>
          <w:rFonts w:ascii="Arial" w:hAnsi="Arial" w:cs="Arial"/>
        </w:rPr>
        <w:t>pá</w:t>
      </w:r>
      <w:r>
        <w:rPr>
          <w:rFonts w:ascii="Arial" w:hAnsi="Arial" w:cs="Arial"/>
        </w:rPr>
        <w:t>l</w:t>
      </w:r>
      <w:r w:rsidR="007B570E">
        <w:rPr>
          <w:rFonts w:ascii="Arial" w:hAnsi="Arial" w:cs="Arial"/>
        </w:rPr>
        <w:t>yá</w:t>
      </w:r>
      <w:r>
        <w:rPr>
          <w:rFonts w:ascii="Arial" w:hAnsi="Arial" w:cs="Arial"/>
        </w:rPr>
        <w:t>z</w:t>
      </w:r>
      <w:r w:rsidR="007B570E">
        <w:rPr>
          <w:rFonts w:ascii="Arial" w:hAnsi="Arial" w:cs="Arial"/>
        </w:rPr>
        <w:t>at</w:t>
      </w:r>
      <w:r>
        <w:rPr>
          <w:rFonts w:ascii="Arial" w:hAnsi="Arial" w:cs="Arial"/>
        </w:rPr>
        <w:t>i felhívást</w:t>
      </w:r>
      <w:r w:rsidR="007B570E">
        <w:rPr>
          <w:rFonts w:ascii="Arial" w:hAnsi="Arial" w:cs="Arial"/>
        </w:rPr>
        <w:t>.</w:t>
      </w:r>
    </w:p>
    <w:p w:rsidR="00054432" w:rsidRDefault="00054432" w:rsidP="00485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albetéte</w:t>
      </w:r>
      <w:r w:rsidR="001956BC">
        <w:rPr>
          <w:rFonts w:ascii="Arial" w:hAnsi="Arial" w:cs="Arial"/>
        </w:rPr>
        <w:t>k</w:t>
      </w:r>
      <w:proofErr w:type="spellEnd"/>
      <w:r w:rsidR="001956BC">
        <w:rPr>
          <w:rFonts w:ascii="Arial" w:hAnsi="Arial" w:cs="Arial"/>
        </w:rPr>
        <w:t xml:space="preserve"> közül egynél a polgármester, kettő</w:t>
      </w:r>
      <w:r>
        <w:rPr>
          <w:rFonts w:ascii="Arial" w:hAnsi="Arial" w:cs="Arial"/>
        </w:rPr>
        <w:t xml:space="preserve"> esetében a Gazdasági és Városstratégiai Bizottság, illetve egy esetében a Közgyűlés a tulajdonosi jogok gyakorlója.</w:t>
      </w:r>
    </w:p>
    <w:p w:rsidR="00C06F7D" w:rsidRPr="008753DC" w:rsidRDefault="00485DCF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873CC3" w:rsidRDefault="00764B7E" w:rsidP="00764B7E">
      <w:pPr>
        <w:jc w:val="both"/>
        <w:rPr>
          <w:rFonts w:ascii="Arial" w:hAnsi="Arial" w:cs="Arial"/>
          <w:b/>
        </w:rPr>
      </w:pPr>
      <w:r w:rsidRPr="00873CC3">
        <w:rPr>
          <w:rFonts w:ascii="Arial" w:hAnsi="Arial" w:cs="Arial"/>
          <w:b/>
        </w:rPr>
        <w:t xml:space="preserve">Szombathely, </w:t>
      </w:r>
      <w:r w:rsidR="00873CC3" w:rsidRPr="00873CC3">
        <w:rPr>
          <w:rFonts w:ascii="Arial" w:hAnsi="Arial" w:cs="Arial"/>
          <w:b/>
        </w:rPr>
        <w:t>2018</w:t>
      </w:r>
      <w:r w:rsidR="001E0BD1" w:rsidRPr="00873CC3">
        <w:rPr>
          <w:rFonts w:ascii="Arial" w:hAnsi="Arial" w:cs="Arial"/>
          <w:b/>
        </w:rPr>
        <w:t xml:space="preserve">. </w:t>
      </w:r>
      <w:r w:rsidR="00BF2CF3">
        <w:rPr>
          <w:rFonts w:ascii="Arial" w:hAnsi="Arial" w:cs="Arial"/>
          <w:b/>
        </w:rPr>
        <w:t>nov</w:t>
      </w:r>
      <w:r w:rsidR="0030480F">
        <w:rPr>
          <w:rFonts w:ascii="Arial" w:hAnsi="Arial" w:cs="Arial"/>
          <w:b/>
        </w:rPr>
        <w:t>ember</w:t>
      </w:r>
      <w:r w:rsidR="00124709">
        <w:rPr>
          <w:rFonts w:ascii="Arial" w:hAnsi="Arial" w:cs="Arial"/>
          <w:b/>
        </w:rPr>
        <w:t xml:space="preserve"> 29.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231968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231968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30480F">
        <w:rPr>
          <w:rFonts w:ascii="Arial" w:hAnsi="Arial" w:cs="Arial"/>
          <w:b/>
          <w:bCs/>
          <w:u w:val="single"/>
        </w:rPr>
        <w:t>XII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 w:rsidR="0030480F">
        <w:rPr>
          <w:rFonts w:ascii="Arial" w:hAnsi="Arial" w:cs="Arial"/>
          <w:b/>
          <w:bCs/>
          <w:u w:val="single"/>
        </w:rPr>
        <w:t>3</w:t>
      </w:r>
      <w:r w:rsidR="006B1945">
        <w:rPr>
          <w:rFonts w:ascii="Arial" w:hAnsi="Arial" w:cs="Arial"/>
          <w:b/>
          <w:bCs/>
          <w:u w:val="single"/>
        </w:rPr>
        <w:t>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30EB9" w:rsidRDefault="00764B7E" w:rsidP="00030EB9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030EB9">
        <w:rPr>
          <w:rFonts w:ascii="Arial" w:hAnsi="Arial" w:cs="Arial"/>
        </w:rPr>
        <w:t xml:space="preserve"> a Szombathely, Kisfaludy Sándor utca 1. szám alatti ingatlanról szóló</w:t>
      </w:r>
      <w:r w:rsidR="002E4CC2">
        <w:rPr>
          <w:rFonts w:ascii="Arial" w:hAnsi="Arial" w:cs="Arial"/>
        </w:rPr>
        <w:t xml:space="preserve"> tájékoztatót </w:t>
      </w:r>
      <w:r w:rsidR="00030EB9">
        <w:rPr>
          <w:rFonts w:ascii="Arial" w:hAnsi="Arial" w:cs="Arial"/>
        </w:rPr>
        <w:t>e</w:t>
      </w:r>
      <w:r w:rsidR="002E4CC2">
        <w:rPr>
          <w:rFonts w:ascii="Arial" w:hAnsi="Arial" w:cs="Arial"/>
        </w:rPr>
        <w:t>l</w:t>
      </w:r>
      <w:r w:rsidR="00030EB9">
        <w:rPr>
          <w:rFonts w:ascii="Arial" w:hAnsi="Arial" w:cs="Arial"/>
        </w:rPr>
        <w:t>fogadja, egyúttal felkéri a polgármestert, hogy a</w:t>
      </w:r>
      <w:r w:rsidR="00030EB9" w:rsidRPr="00030EB9">
        <w:rPr>
          <w:rFonts w:ascii="Arial" w:hAnsi="Arial" w:cs="Arial"/>
        </w:rPr>
        <w:t xml:space="preserve"> </w:t>
      </w:r>
      <w:r w:rsidR="00030EB9">
        <w:rPr>
          <w:rFonts w:ascii="Arial" w:hAnsi="Arial" w:cs="Arial"/>
        </w:rPr>
        <w:t>Szombathely Megyei Jogú Város Önkormányzata vagyonáról szóló 40/2014. (XII. 23.) önkormányzati rendelet 14. §</w:t>
      </w:r>
      <w:proofErr w:type="spellStart"/>
      <w:r w:rsidR="00030EB9">
        <w:rPr>
          <w:rFonts w:ascii="Arial" w:hAnsi="Arial" w:cs="Arial"/>
        </w:rPr>
        <w:t>-ára</w:t>
      </w:r>
      <w:proofErr w:type="spellEnd"/>
      <w:r w:rsidR="00030EB9">
        <w:rPr>
          <w:rFonts w:ascii="Arial" w:hAnsi="Arial" w:cs="Arial"/>
        </w:rPr>
        <w:t xml:space="preserve"> figyel</w:t>
      </w:r>
      <w:r w:rsidR="00AC74D1">
        <w:rPr>
          <w:rFonts w:ascii="Arial" w:hAnsi="Arial" w:cs="Arial"/>
        </w:rPr>
        <w:t xml:space="preserve">emmel – </w:t>
      </w:r>
      <w:r w:rsidR="00030EB9">
        <w:rPr>
          <w:rFonts w:ascii="Arial" w:hAnsi="Arial" w:cs="Arial"/>
        </w:rPr>
        <w:t>az</w:t>
      </w:r>
      <w:r w:rsidR="00AC74D1">
        <w:rPr>
          <w:rFonts w:ascii="Arial" w:hAnsi="Arial" w:cs="Arial"/>
        </w:rPr>
        <w:t xml:space="preserve"> ingatlanok értékétől függően – </w:t>
      </w:r>
      <w:r w:rsidR="00030EB9">
        <w:rPr>
          <w:rFonts w:ascii="Arial" w:hAnsi="Arial" w:cs="Arial"/>
        </w:rPr>
        <w:t>a rendelet 8. §</w:t>
      </w:r>
      <w:proofErr w:type="spellStart"/>
      <w:r w:rsidR="00030EB9">
        <w:rPr>
          <w:rFonts w:ascii="Arial" w:hAnsi="Arial" w:cs="Arial"/>
        </w:rPr>
        <w:t>-ában</w:t>
      </w:r>
      <w:proofErr w:type="spellEnd"/>
      <w:r w:rsidR="00AE65F9">
        <w:rPr>
          <w:rFonts w:ascii="Arial" w:hAnsi="Arial" w:cs="Arial"/>
        </w:rPr>
        <w:t xml:space="preserve"> meghatározott tulajdonosi jogk</w:t>
      </w:r>
      <w:r w:rsidR="00157380">
        <w:rPr>
          <w:rFonts w:ascii="Arial" w:hAnsi="Arial" w:cs="Arial"/>
        </w:rPr>
        <w:t>ör</w:t>
      </w:r>
      <w:r w:rsidR="00030EB9">
        <w:rPr>
          <w:rFonts w:ascii="Arial" w:hAnsi="Arial" w:cs="Arial"/>
        </w:rPr>
        <w:t xml:space="preserve"> gyakorlója elé terjessze az egyes </w:t>
      </w:r>
      <w:proofErr w:type="spellStart"/>
      <w:r w:rsidR="00030EB9">
        <w:rPr>
          <w:rFonts w:ascii="Arial" w:hAnsi="Arial" w:cs="Arial"/>
        </w:rPr>
        <w:t>albetétek</w:t>
      </w:r>
      <w:proofErr w:type="spellEnd"/>
      <w:r w:rsidR="00030EB9">
        <w:rPr>
          <w:rFonts w:ascii="Arial" w:hAnsi="Arial" w:cs="Arial"/>
        </w:rPr>
        <w:t xml:space="preserve"> (</w:t>
      </w:r>
      <w:r w:rsidR="00030EB9" w:rsidRPr="008753DC">
        <w:rPr>
          <w:rFonts w:ascii="Arial" w:hAnsi="Arial" w:cs="Arial"/>
          <w:color w:val="000000"/>
        </w:rPr>
        <w:t>6748/A/4</w:t>
      </w:r>
      <w:r w:rsidR="00030EB9">
        <w:rPr>
          <w:rFonts w:ascii="Arial" w:hAnsi="Arial" w:cs="Arial"/>
          <w:color w:val="000000"/>
        </w:rPr>
        <w:t xml:space="preserve">, </w:t>
      </w:r>
      <w:r w:rsidR="00030EB9" w:rsidRPr="008753DC">
        <w:rPr>
          <w:rFonts w:ascii="Arial" w:hAnsi="Arial" w:cs="Arial"/>
          <w:color w:val="000000"/>
        </w:rPr>
        <w:t>6748/A/</w:t>
      </w:r>
      <w:r w:rsidR="00030EB9">
        <w:rPr>
          <w:rFonts w:ascii="Arial" w:hAnsi="Arial" w:cs="Arial"/>
          <w:color w:val="000000"/>
        </w:rPr>
        <w:t xml:space="preserve">6, </w:t>
      </w:r>
      <w:r w:rsidR="00030EB9" w:rsidRPr="008753DC">
        <w:rPr>
          <w:rFonts w:ascii="Arial" w:hAnsi="Arial" w:cs="Arial"/>
          <w:color w:val="000000"/>
        </w:rPr>
        <w:t>6748/A/</w:t>
      </w:r>
      <w:r w:rsidR="00030EB9">
        <w:rPr>
          <w:rFonts w:ascii="Arial" w:hAnsi="Arial" w:cs="Arial"/>
          <w:color w:val="000000"/>
        </w:rPr>
        <w:t xml:space="preserve">8, </w:t>
      </w:r>
      <w:r w:rsidR="00030EB9" w:rsidRPr="008753DC">
        <w:rPr>
          <w:rFonts w:ascii="Arial" w:hAnsi="Arial" w:cs="Arial"/>
          <w:color w:val="000000"/>
        </w:rPr>
        <w:t>6748/A/</w:t>
      </w:r>
      <w:r w:rsidR="00030EB9">
        <w:rPr>
          <w:rFonts w:ascii="Arial" w:hAnsi="Arial" w:cs="Arial"/>
          <w:color w:val="000000"/>
        </w:rPr>
        <w:t>11)</w:t>
      </w:r>
      <w:r w:rsidR="00157380">
        <w:rPr>
          <w:rFonts w:ascii="Arial" w:hAnsi="Arial" w:cs="Arial"/>
        </w:rPr>
        <w:t xml:space="preserve"> értékesítésére vonatkozó</w:t>
      </w:r>
      <w:r w:rsidR="00030EB9">
        <w:rPr>
          <w:rFonts w:ascii="Arial" w:hAnsi="Arial" w:cs="Arial"/>
        </w:rPr>
        <w:t xml:space="preserve"> pályázati felhívást.</w:t>
      </w:r>
    </w:p>
    <w:p w:rsidR="00030EB9" w:rsidRPr="008753DC" w:rsidRDefault="00030EB9" w:rsidP="00030E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0CE1" w:rsidRDefault="00030EB9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64B7E" w:rsidRPr="009D5559">
        <w:rPr>
          <w:rFonts w:ascii="Arial" w:hAnsi="Arial" w:cs="Arial"/>
          <w:b/>
          <w:u w:val="single"/>
        </w:rPr>
        <w:t>Felelős:</w:t>
      </w:r>
      <w:r w:rsidR="00764B7E" w:rsidRPr="009D5559">
        <w:rPr>
          <w:rFonts w:ascii="Arial" w:hAnsi="Arial" w:cs="Arial"/>
        </w:rPr>
        <w:tab/>
      </w:r>
      <w:r w:rsidR="00392C53">
        <w:rPr>
          <w:rFonts w:ascii="Arial" w:hAnsi="Arial" w:cs="Arial"/>
        </w:rPr>
        <w:t>Dr. Puskás Tivadar</w:t>
      </w:r>
      <w:r w:rsidR="00930CE1">
        <w:rPr>
          <w:rFonts w:ascii="Arial" w:hAnsi="Arial" w:cs="Arial"/>
        </w:rPr>
        <w:t xml:space="preserve">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47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47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38E32A27"/>
    <w:multiLevelType w:val="hybridMultilevel"/>
    <w:tmpl w:val="3E7EC6A4"/>
    <w:lvl w:ilvl="0" w:tplc="294230AA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30EB9"/>
    <w:rsid w:val="00053D7A"/>
    <w:rsid w:val="00054432"/>
    <w:rsid w:val="00056AAE"/>
    <w:rsid w:val="000631D3"/>
    <w:rsid w:val="000970BA"/>
    <w:rsid w:val="00097B62"/>
    <w:rsid w:val="000B3A88"/>
    <w:rsid w:val="000C7E06"/>
    <w:rsid w:val="000D416B"/>
    <w:rsid w:val="000D5554"/>
    <w:rsid w:val="00104493"/>
    <w:rsid w:val="00104AB8"/>
    <w:rsid w:val="00124709"/>
    <w:rsid w:val="00132161"/>
    <w:rsid w:val="001323A4"/>
    <w:rsid w:val="00157380"/>
    <w:rsid w:val="00171035"/>
    <w:rsid w:val="00184160"/>
    <w:rsid w:val="001956BC"/>
    <w:rsid w:val="001A4648"/>
    <w:rsid w:val="001B54B0"/>
    <w:rsid w:val="001D00F6"/>
    <w:rsid w:val="001D2A91"/>
    <w:rsid w:val="001E0BD1"/>
    <w:rsid w:val="0020206A"/>
    <w:rsid w:val="00205368"/>
    <w:rsid w:val="002063FD"/>
    <w:rsid w:val="00211E9F"/>
    <w:rsid w:val="00212704"/>
    <w:rsid w:val="00215500"/>
    <w:rsid w:val="002259BC"/>
    <w:rsid w:val="002271D3"/>
    <w:rsid w:val="00231968"/>
    <w:rsid w:val="00247D50"/>
    <w:rsid w:val="00265FB1"/>
    <w:rsid w:val="0029371F"/>
    <w:rsid w:val="00294FA9"/>
    <w:rsid w:val="002B3968"/>
    <w:rsid w:val="002E1DD5"/>
    <w:rsid w:val="002E4CC2"/>
    <w:rsid w:val="002E4D23"/>
    <w:rsid w:val="002F09DD"/>
    <w:rsid w:val="002F63F3"/>
    <w:rsid w:val="0030480F"/>
    <w:rsid w:val="0032474E"/>
    <w:rsid w:val="00325973"/>
    <w:rsid w:val="0032649B"/>
    <w:rsid w:val="0034130E"/>
    <w:rsid w:val="00342E26"/>
    <w:rsid w:val="003472DC"/>
    <w:rsid w:val="00356256"/>
    <w:rsid w:val="0036748B"/>
    <w:rsid w:val="00387E79"/>
    <w:rsid w:val="00392C53"/>
    <w:rsid w:val="003A2427"/>
    <w:rsid w:val="003B1BD1"/>
    <w:rsid w:val="003B502A"/>
    <w:rsid w:val="003C002F"/>
    <w:rsid w:val="003D637D"/>
    <w:rsid w:val="00417DDE"/>
    <w:rsid w:val="00420791"/>
    <w:rsid w:val="00421B25"/>
    <w:rsid w:val="004555A4"/>
    <w:rsid w:val="004623C9"/>
    <w:rsid w:val="00463EA3"/>
    <w:rsid w:val="004843D7"/>
    <w:rsid w:val="004852D2"/>
    <w:rsid w:val="00485DCF"/>
    <w:rsid w:val="00493BB6"/>
    <w:rsid w:val="00497FB6"/>
    <w:rsid w:val="004A0AC6"/>
    <w:rsid w:val="004A0B25"/>
    <w:rsid w:val="004A1026"/>
    <w:rsid w:val="004A2E92"/>
    <w:rsid w:val="004B379E"/>
    <w:rsid w:val="004C2262"/>
    <w:rsid w:val="004C327A"/>
    <w:rsid w:val="004D670D"/>
    <w:rsid w:val="004E2A57"/>
    <w:rsid w:val="004E76F7"/>
    <w:rsid w:val="004F2622"/>
    <w:rsid w:val="00501F52"/>
    <w:rsid w:val="0051433D"/>
    <w:rsid w:val="005154F8"/>
    <w:rsid w:val="00525FB4"/>
    <w:rsid w:val="00542452"/>
    <w:rsid w:val="00564A83"/>
    <w:rsid w:val="00564B2C"/>
    <w:rsid w:val="005A52B1"/>
    <w:rsid w:val="005D46F4"/>
    <w:rsid w:val="005E053C"/>
    <w:rsid w:val="005F19FE"/>
    <w:rsid w:val="0060693B"/>
    <w:rsid w:val="006254F7"/>
    <w:rsid w:val="006338DD"/>
    <w:rsid w:val="006578E1"/>
    <w:rsid w:val="00673677"/>
    <w:rsid w:val="00677A58"/>
    <w:rsid w:val="00697651"/>
    <w:rsid w:val="006B1945"/>
    <w:rsid w:val="006B5218"/>
    <w:rsid w:val="006C192F"/>
    <w:rsid w:val="006C40DD"/>
    <w:rsid w:val="007156F4"/>
    <w:rsid w:val="007270C7"/>
    <w:rsid w:val="00727354"/>
    <w:rsid w:val="00727644"/>
    <w:rsid w:val="0073430D"/>
    <w:rsid w:val="007355B0"/>
    <w:rsid w:val="0073799B"/>
    <w:rsid w:val="00753697"/>
    <w:rsid w:val="00764B7E"/>
    <w:rsid w:val="0078598E"/>
    <w:rsid w:val="007860BA"/>
    <w:rsid w:val="007B2FF9"/>
    <w:rsid w:val="007B333F"/>
    <w:rsid w:val="007B4548"/>
    <w:rsid w:val="007B570E"/>
    <w:rsid w:val="007C40AF"/>
    <w:rsid w:val="007D76BE"/>
    <w:rsid w:val="007F2F31"/>
    <w:rsid w:val="0080352D"/>
    <w:rsid w:val="0083288A"/>
    <w:rsid w:val="00842C93"/>
    <w:rsid w:val="00844F55"/>
    <w:rsid w:val="00850E4B"/>
    <w:rsid w:val="008728D0"/>
    <w:rsid w:val="00873CC3"/>
    <w:rsid w:val="008753DC"/>
    <w:rsid w:val="00884329"/>
    <w:rsid w:val="00884977"/>
    <w:rsid w:val="008964B5"/>
    <w:rsid w:val="008B0FB5"/>
    <w:rsid w:val="008B19CD"/>
    <w:rsid w:val="008B567A"/>
    <w:rsid w:val="008E72BD"/>
    <w:rsid w:val="00922015"/>
    <w:rsid w:val="00922F2B"/>
    <w:rsid w:val="0092568D"/>
    <w:rsid w:val="009308AE"/>
    <w:rsid w:val="00930CE1"/>
    <w:rsid w:val="009336C9"/>
    <w:rsid w:val="009348EA"/>
    <w:rsid w:val="009454F7"/>
    <w:rsid w:val="009609C3"/>
    <w:rsid w:val="0096279B"/>
    <w:rsid w:val="0099083F"/>
    <w:rsid w:val="00991856"/>
    <w:rsid w:val="009979A5"/>
    <w:rsid w:val="009A606E"/>
    <w:rsid w:val="009F4BF2"/>
    <w:rsid w:val="00A2792D"/>
    <w:rsid w:val="00A32D96"/>
    <w:rsid w:val="00A42360"/>
    <w:rsid w:val="00A70F4A"/>
    <w:rsid w:val="00A7218A"/>
    <w:rsid w:val="00A73045"/>
    <w:rsid w:val="00A7633E"/>
    <w:rsid w:val="00A83D34"/>
    <w:rsid w:val="00A92CA1"/>
    <w:rsid w:val="00A94D2A"/>
    <w:rsid w:val="00AB4A2F"/>
    <w:rsid w:val="00AB5EE6"/>
    <w:rsid w:val="00AB7B31"/>
    <w:rsid w:val="00AC3951"/>
    <w:rsid w:val="00AC51A3"/>
    <w:rsid w:val="00AC553E"/>
    <w:rsid w:val="00AC74D1"/>
    <w:rsid w:val="00AD08CD"/>
    <w:rsid w:val="00AE0E5F"/>
    <w:rsid w:val="00AE58CD"/>
    <w:rsid w:val="00AE65F9"/>
    <w:rsid w:val="00AF24B1"/>
    <w:rsid w:val="00AF7877"/>
    <w:rsid w:val="00B01E68"/>
    <w:rsid w:val="00B103B4"/>
    <w:rsid w:val="00B16561"/>
    <w:rsid w:val="00B60F13"/>
    <w:rsid w:val="00B610E8"/>
    <w:rsid w:val="00B66FB2"/>
    <w:rsid w:val="00BA29BC"/>
    <w:rsid w:val="00BA77D0"/>
    <w:rsid w:val="00BC46F6"/>
    <w:rsid w:val="00BE370B"/>
    <w:rsid w:val="00BF2CF3"/>
    <w:rsid w:val="00C00610"/>
    <w:rsid w:val="00C06F7D"/>
    <w:rsid w:val="00C63F7E"/>
    <w:rsid w:val="00C80ADF"/>
    <w:rsid w:val="00C84C61"/>
    <w:rsid w:val="00C865C1"/>
    <w:rsid w:val="00C869B9"/>
    <w:rsid w:val="00CB5F8A"/>
    <w:rsid w:val="00CB7CAA"/>
    <w:rsid w:val="00CB7D4C"/>
    <w:rsid w:val="00CD5185"/>
    <w:rsid w:val="00CF6718"/>
    <w:rsid w:val="00D02EB1"/>
    <w:rsid w:val="00D14BCD"/>
    <w:rsid w:val="00D1645D"/>
    <w:rsid w:val="00D22A4E"/>
    <w:rsid w:val="00D45099"/>
    <w:rsid w:val="00D52BE1"/>
    <w:rsid w:val="00D54DF8"/>
    <w:rsid w:val="00D700C2"/>
    <w:rsid w:val="00D713B0"/>
    <w:rsid w:val="00D73EB1"/>
    <w:rsid w:val="00DA14B3"/>
    <w:rsid w:val="00DA2ED1"/>
    <w:rsid w:val="00DA4916"/>
    <w:rsid w:val="00DB0FE0"/>
    <w:rsid w:val="00DB288F"/>
    <w:rsid w:val="00DD3FE2"/>
    <w:rsid w:val="00E07082"/>
    <w:rsid w:val="00E30D6E"/>
    <w:rsid w:val="00E338D0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16D79"/>
    <w:rsid w:val="00F33BE9"/>
    <w:rsid w:val="00F405F7"/>
    <w:rsid w:val="00F439B1"/>
    <w:rsid w:val="00F63CE0"/>
    <w:rsid w:val="00F64005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1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0FAD8-9E4F-4B26-856E-9DB28A6D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33</cp:revision>
  <cp:lastPrinted>2018-11-26T10:26:00Z</cp:lastPrinted>
  <dcterms:created xsi:type="dcterms:W3CDTF">2018-11-23T09:02:00Z</dcterms:created>
  <dcterms:modified xsi:type="dcterms:W3CDTF">2018-11-29T14:11:00Z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