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5841" w:rsidRDefault="007A23BB">
      <w:bookmarkStart w:id="0" w:name="_GoBack"/>
      <w:bookmarkEnd w:id="0"/>
      <w:r>
        <w:tab/>
      </w:r>
      <w:r>
        <w:rPr>
          <w:noProof/>
        </w:rPr>
        <w:drawing>
          <wp:anchor distT="0" distB="0" distL="0" distR="0" simplePos="0" relativeHeight="251658240" behindDoc="0" locked="0" layoutInCell="1" hidden="0" allowOverlap="1">
            <wp:simplePos x="0" y="0"/>
            <wp:positionH relativeFrom="margin">
              <wp:posOffset>-944927</wp:posOffset>
            </wp:positionH>
            <wp:positionV relativeFrom="paragraph">
              <wp:posOffset>-899794</wp:posOffset>
            </wp:positionV>
            <wp:extent cx="7590249" cy="10741196"/>
            <wp:effectExtent l="0" t="0" r="0" b="0"/>
            <wp:wrapSquare wrapText="bothSides" distT="0" distB="0" distL="0" distR="0"/>
            <wp:docPr id="7" name="image35.png" descr="Z:\URBACT MAPS – Military Assets as Public Spaces\201709 - Akcióterv\Borító v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Z:\URBACT MAPS – Military Assets as Public Spaces\201709 - Akcióterv\Borító v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0249" cy="107411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15841" w:rsidRDefault="007A23BB">
      <w:r>
        <w:lastRenderedPageBreak/>
        <w:br w:type="page"/>
      </w:r>
    </w:p>
    <w:p w:rsidR="00315841" w:rsidRDefault="007A23BB">
      <w:pPr>
        <w:pStyle w:val="Cmsor1"/>
      </w:pPr>
      <w:bookmarkStart w:id="1" w:name="_gjdgxs" w:colFirst="0" w:colLast="0"/>
      <w:bookmarkEnd w:id="1"/>
      <w:r>
        <w:lastRenderedPageBreak/>
        <w:t>Tartalomjegyzék</w:t>
      </w:r>
    </w:p>
    <w:sdt>
      <w:sdtPr>
        <w:id w:val="-271938152"/>
        <w:docPartObj>
          <w:docPartGallery w:val="Table of Contents"/>
          <w:docPartUnique/>
        </w:docPartObj>
      </w:sdtPr>
      <w:sdtEndPr/>
      <w:sdtContent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 w:line="240" w:lineRule="auto"/>
            <w:rPr>
              <w:color w:val="000000"/>
              <w:sz w:val="22"/>
              <w:szCs w:val="22"/>
            </w:rPr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w:anchor="_gjdgxs">
            <w:r>
              <w:rPr>
                <w:color w:val="000000"/>
              </w:rPr>
              <w:t>Tartalomjegyzék</w:t>
            </w:r>
            <w:r>
              <w:rPr>
                <w:color w:val="000000"/>
              </w:rPr>
              <w:tab/>
              <w:t>2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 w:line="240" w:lineRule="auto"/>
            <w:rPr>
              <w:color w:val="000000"/>
              <w:sz w:val="22"/>
              <w:szCs w:val="22"/>
            </w:rPr>
          </w:pPr>
          <w:hyperlink w:anchor="_30j0zll">
            <w:r>
              <w:rPr>
                <w:color w:val="000000"/>
              </w:rPr>
              <w:t>1. Fejezet / Alapvető összefüggések</w:t>
            </w:r>
            <w:r>
              <w:rPr>
                <w:color w:val="000000"/>
              </w:rPr>
              <w:tab/>
              <w:t>3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1fob9te">
            <w:r>
              <w:rPr>
                <w:color w:val="000000"/>
              </w:rPr>
              <w:t>1.1 Regionális szerepkör</w:t>
            </w:r>
            <w:r>
              <w:rPr>
                <w:color w:val="000000"/>
              </w:rPr>
              <w:tab/>
              <w:t>3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3znysh7">
            <w:r>
              <w:rPr>
                <w:color w:val="000000"/>
              </w:rPr>
              <w:t>1.2 A városi szint bemutatása</w:t>
            </w:r>
            <w:r>
              <w:rPr>
                <w:color w:val="000000"/>
              </w:rPr>
              <w:tab/>
              <w:t>4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2et92p0">
            <w:r>
              <w:rPr>
                <w:color w:val="000000"/>
              </w:rPr>
              <w:t>1.3 A Huszárlaktanyát övező városrész bemutatása</w:t>
            </w:r>
            <w:r>
              <w:rPr>
                <w:color w:val="000000"/>
              </w:rPr>
              <w:tab/>
              <w:t>6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tyjcwt">
            <w:r>
              <w:rPr>
                <w:color w:val="000000"/>
              </w:rPr>
              <w:t>1.4 A Huszárlaktanya területének bemutatása</w:t>
            </w:r>
            <w:r>
              <w:rPr>
                <w:color w:val="000000"/>
              </w:rPr>
              <w:tab/>
              <w:t>8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 w:line="240" w:lineRule="auto"/>
            <w:rPr>
              <w:color w:val="000000"/>
              <w:sz w:val="22"/>
              <w:szCs w:val="22"/>
            </w:rPr>
          </w:pPr>
          <w:hyperlink w:anchor="_3dy6vkm">
            <w:r>
              <w:rPr>
                <w:color w:val="000000"/>
              </w:rPr>
              <w:t>2. Fejezet / Célkitűzések</w:t>
            </w:r>
            <w:r>
              <w:rPr>
                <w:color w:val="000000"/>
              </w:rPr>
              <w:tab/>
              <w:t>11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1t3h5sf">
            <w:r>
              <w:rPr>
                <w:color w:val="000000"/>
              </w:rPr>
              <w:t>2.1 Épületek</w:t>
            </w:r>
            <w:r>
              <w:rPr>
                <w:color w:val="000000"/>
              </w:rPr>
              <w:tab/>
              <w:t>15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4d34og8">
            <w:r>
              <w:rPr>
                <w:color w:val="000000"/>
              </w:rPr>
              <w:t>2.2 Nyitott terek rendszere</w:t>
            </w:r>
            <w:r>
              <w:rPr>
                <w:color w:val="000000"/>
              </w:rPr>
              <w:tab/>
              <w:t>15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17dp8vu">
            <w:r>
              <w:rPr>
                <w:color w:val="000000"/>
              </w:rPr>
              <w:t>2.3 Lakosság</w:t>
            </w:r>
            <w:r>
              <w:rPr>
                <w:color w:val="000000"/>
              </w:rPr>
              <w:tab/>
              <w:t>16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3rdcrjn">
            <w:r>
              <w:rPr>
                <w:color w:val="000000"/>
              </w:rPr>
              <w:t>2.4 Meglévő stratégiai eszközök</w:t>
            </w:r>
            <w:r>
              <w:rPr>
                <w:color w:val="000000"/>
              </w:rPr>
              <w:tab/>
              <w:t>17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 w:line="240" w:lineRule="auto"/>
            <w:rPr>
              <w:color w:val="000000"/>
              <w:sz w:val="22"/>
              <w:szCs w:val="22"/>
            </w:rPr>
          </w:pPr>
          <w:hyperlink w:anchor="_lnxbz9">
            <w:r>
              <w:rPr>
                <w:color w:val="000000"/>
              </w:rPr>
              <w:t>3. Fejezet</w:t>
            </w:r>
            <w:r>
              <w:rPr>
                <w:color w:val="000000"/>
              </w:rPr>
              <w:t xml:space="preserve"> / Érintettek és résztvevők (Stakeholderek)</w:t>
            </w:r>
            <w:r>
              <w:rPr>
                <w:color w:val="000000"/>
              </w:rPr>
              <w:tab/>
              <w:t>21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35nkun2">
            <w:r>
              <w:rPr>
                <w:color w:val="000000"/>
              </w:rPr>
              <w:t>3.1 Regionális/térségi szinten</w:t>
            </w:r>
            <w:r>
              <w:rPr>
                <w:color w:val="000000"/>
              </w:rPr>
              <w:tab/>
              <w:t>22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1ksv4uv">
            <w:r>
              <w:rPr>
                <w:color w:val="000000"/>
              </w:rPr>
              <w:t>3.2 Városi szinten</w:t>
            </w:r>
            <w:r>
              <w:rPr>
                <w:color w:val="000000"/>
              </w:rPr>
              <w:tab/>
              <w:t>22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44sinio">
            <w:r>
              <w:rPr>
                <w:color w:val="000000"/>
              </w:rPr>
              <w:t>3.3 A Huszárlaktanya területének közvetlen környezetét képező városrész szintjén</w:t>
            </w:r>
            <w:r>
              <w:rPr>
                <w:color w:val="000000"/>
              </w:rPr>
              <w:tab/>
              <w:t>24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2jxsxqh">
            <w:r>
              <w:rPr>
                <w:color w:val="000000"/>
              </w:rPr>
              <w:t>3.4 Az érintettek bevonásának módszerei</w:t>
            </w:r>
            <w:r>
              <w:rPr>
                <w:color w:val="000000"/>
              </w:rPr>
              <w:tab/>
              <w:t>24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 w:line="240" w:lineRule="auto"/>
            <w:rPr>
              <w:color w:val="000000"/>
              <w:sz w:val="22"/>
              <w:szCs w:val="22"/>
            </w:rPr>
          </w:pPr>
          <w:hyperlink w:anchor="_z337ya">
            <w:r>
              <w:rPr>
                <w:color w:val="000000"/>
              </w:rPr>
              <w:t>4. Fejezet / Akciók</w:t>
            </w:r>
            <w:r>
              <w:rPr>
                <w:color w:val="000000"/>
              </w:rPr>
              <w:tab/>
              <w:t>30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3j2qqm3">
            <w:r>
              <w:rPr>
                <w:color w:val="000000"/>
              </w:rPr>
              <w:t>4.1 Műemlék ép</w:t>
            </w:r>
            <w:r>
              <w:rPr>
                <w:color w:val="000000"/>
              </w:rPr>
              <w:t>ületek – tervezett akciók</w:t>
            </w:r>
            <w:r>
              <w:rPr>
                <w:color w:val="000000"/>
              </w:rPr>
              <w:tab/>
              <w:t>33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1y810tw">
            <w:r>
              <w:rPr>
                <w:color w:val="000000"/>
              </w:rPr>
              <w:t>4.2 Szabadtéri területek - tervezett akciók</w:t>
            </w:r>
            <w:r>
              <w:rPr>
                <w:color w:val="000000"/>
              </w:rPr>
              <w:tab/>
              <w:t>42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4i7ojhp">
            <w:r>
              <w:rPr>
                <w:color w:val="000000"/>
              </w:rPr>
              <w:t>4.3 Új lakóépületek – tervezett akciók</w:t>
            </w:r>
            <w:r>
              <w:rPr>
                <w:color w:val="000000"/>
              </w:rPr>
              <w:tab/>
              <w:t>46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2xcytpi">
            <w:r>
              <w:rPr>
                <w:color w:val="000000"/>
              </w:rPr>
              <w:t>4.4 Karbantartás – Tervezett horizontális akc</w:t>
            </w:r>
            <w:r>
              <w:rPr>
                <w:color w:val="000000"/>
              </w:rPr>
              <w:t>iók</w:t>
            </w:r>
            <w:r>
              <w:rPr>
                <w:color w:val="000000"/>
              </w:rPr>
              <w:tab/>
              <w:t>48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1ci93xb">
            <w:r>
              <w:rPr>
                <w:color w:val="000000"/>
              </w:rPr>
              <w:t>4.5 Kommunikációs stratégia (horizontális akciók)</w:t>
            </w:r>
            <w:r>
              <w:rPr>
                <w:color w:val="000000"/>
              </w:rPr>
              <w:tab/>
              <w:t>49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3whwml4">
            <w:r>
              <w:rPr>
                <w:color w:val="000000"/>
              </w:rPr>
              <w:t>Akciók ütemterve</w:t>
            </w:r>
            <w:r>
              <w:rPr>
                <w:color w:val="000000"/>
              </w:rPr>
              <w:tab/>
              <w:t>50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 w:line="240" w:lineRule="auto"/>
            <w:rPr>
              <w:color w:val="000000"/>
              <w:sz w:val="22"/>
              <w:szCs w:val="22"/>
            </w:rPr>
          </w:pPr>
          <w:hyperlink w:anchor="_2bn6wsx">
            <w:r>
              <w:rPr>
                <w:color w:val="000000"/>
              </w:rPr>
              <w:t>5. Fejezet / Pénzügyi források</w:t>
            </w:r>
            <w:r>
              <w:rPr>
                <w:color w:val="000000"/>
              </w:rPr>
              <w:tab/>
              <w:t>53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qsh70q">
            <w:r>
              <w:rPr>
                <w:color w:val="000000"/>
              </w:rPr>
              <w:t>5.1 Európai Uniós p</w:t>
            </w:r>
            <w:r>
              <w:rPr>
                <w:color w:val="000000"/>
              </w:rPr>
              <w:t>énzügyi források</w:t>
            </w:r>
            <w:r>
              <w:rPr>
                <w:color w:val="000000"/>
              </w:rPr>
              <w:tab/>
              <w:t>53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3as4poj">
            <w:r>
              <w:rPr>
                <w:color w:val="000000"/>
              </w:rPr>
              <w:t>5.2 Állami források</w:t>
            </w:r>
            <w:r>
              <w:rPr>
                <w:color w:val="000000"/>
              </w:rPr>
              <w:tab/>
              <w:t>54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1pxezwc">
            <w:r>
              <w:rPr>
                <w:color w:val="000000"/>
              </w:rPr>
              <w:t>5.3 Helyi források</w:t>
            </w:r>
            <w:r>
              <w:rPr>
                <w:color w:val="000000"/>
              </w:rPr>
              <w:tab/>
              <w:t>54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49x2ik5">
            <w:r>
              <w:rPr>
                <w:color w:val="000000"/>
              </w:rPr>
              <w:t>5.4 Gazdasági támogatás az akciók számára</w:t>
            </w:r>
            <w:r>
              <w:rPr>
                <w:color w:val="000000"/>
              </w:rPr>
              <w:tab/>
              <w:t>55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 w:line="240" w:lineRule="auto"/>
            <w:rPr>
              <w:color w:val="000000"/>
              <w:sz w:val="22"/>
              <w:szCs w:val="22"/>
            </w:rPr>
          </w:pPr>
          <w:hyperlink w:anchor="_2p2csry">
            <w:r>
              <w:rPr>
                <w:color w:val="000000"/>
              </w:rPr>
              <w:t>6. Fejezet / Megvalósí</w:t>
            </w:r>
            <w:r>
              <w:rPr>
                <w:color w:val="000000"/>
              </w:rPr>
              <w:t>tás, szervezeti keretek, irányítás</w:t>
            </w:r>
            <w:r>
              <w:rPr>
                <w:color w:val="000000"/>
              </w:rPr>
              <w:tab/>
              <w:t>56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147n2zr">
            <w:r>
              <w:rPr>
                <w:color w:val="000000"/>
              </w:rPr>
              <w:t>6.1 A kulcsszereplők, és az akciókban betöltött szerepük</w:t>
            </w:r>
            <w:r>
              <w:rPr>
                <w:color w:val="000000"/>
              </w:rPr>
              <w:tab/>
              <w:t>56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3o7alnk">
            <w:r>
              <w:rPr>
                <w:color w:val="000000"/>
              </w:rPr>
              <w:t>6.2 A Huszárlaktanya-projekt és a tervezett akciók irányítási szabályai</w:t>
            </w:r>
            <w:r>
              <w:rPr>
                <w:color w:val="000000"/>
              </w:rPr>
              <w:tab/>
              <w:t>56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 w:line="240" w:lineRule="auto"/>
            <w:rPr>
              <w:color w:val="000000"/>
              <w:sz w:val="22"/>
              <w:szCs w:val="22"/>
            </w:rPr>
          </w:pPr>
          <w:hyperlink w:anchor="_23ckvvd">
            <w:r>
              <w:rPr>
                <w:color w:val="000000"/>
              </w:rPr>
              <w:t>7. Fejezet / Monitoring tevékenység</w:t>
            </w:r>
            <w:r>
              <w:rPr>
                <w:color w:val="000000"/>
              </w:rPr>
              <w:tab/>
              <w:t>58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ihv636">
            <w:r>
              <w:rPr>
                <w:color w:val="000000"/>
              </w:rPr>
              <w:t>7.1 Várt társadalmi-gazdasági eredmények / hatások</w:t>
            </w:r>
            <w:r>
              <w:rPr>
                <w:color w:val="000000"/>
              </w:rPr>
              <w:tab/>
              <w:t>58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32hioqz">
            <w:r>
              <w:rPr>
                <w:color w:val="000000"/>
              </w:rPr>
              <w:t>7.2 Működtetéssel kapcsolatos egyéb információk</w:t>
            </w:r>
            <w:r>
              <w:rPr>
                <w:color w:val="000000"/>
              </w:rPr>
              <w:tab/>
              <w:t>60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/>
            <w:ind w:left="200" w:hanging="200"/>
            <w:rPr>
              <w:color w:val="000000"/>
              <w:sz w:val="22"/>
              <w:szCs w:val="22"/>
            </w:rPr>
          </w:pPr>
          <w:hyperlink w:anchor="_1hmsyys">
            <w:r>
              <w:rPr>
                <w:color w:val="000000"/>
              </w:rPr>
              <w:t>7.3 Az HTCS önértékelése</w:t>
            </w:r>
            <w:r>
              <w:rPr>
                <w:color w:val="000000"/>
              </w:rPr>
              <w:tab/>
              <w:t>60</w:t>
            </w:r>
          </w:hyperlink>
        </w:p>
        <w:p w:rsidR="00315841" w:rsidRDefault="007A23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after="100" w:line="240" w:lineRule="auto"/>
            <w:rPr>
              <w:color w:val="000000"/>
              <w:sz w:val="22"/>
              <w:szCs w:val="22"/>
            </w:rPr>
          </w:pPr>
          <w:hyperlink w:anchor="_41mghml">
            <w:r>
              <w:rPr>
                <w:color w:val="000000"/>
              </w:rPr>
              <w:t>8. Fejezet / Kommunikáció</w:t>
            </w:r>
            <w:r>
              <w:rPr>
                <w:color w:val="000000"/>
              </w:rPr>
              <w:tab/>
              <w:t>61</w:t>
            </w:r>
          </w:hyperlink>
          <w:r>
            <w:fldChar w:fldCharType="end"/>
          </w:r>
        </w:p>
      </w:sdtContent>
    </w:sdt>
    <w:p w:rsidR="00315841" w:rsidRDefault="007A23BB">
      <w:pPr>
        <w:pStyle w:val="Cmsor1"/>
      </w:pPr>
      <w:bookmarkStart w:id="2" w:name="_30j0zll" w:colFirst="0" w:colLast="0"/>
      <w:bookmarkEnd w:id="2"/>
      <w:r>
        <w:lastRenderedPageBreak/>
        <w:t>1. Fejezet / Alapvető összefüggések</w:t>
      </w:r>
    </w:p>
    <w:p w:rsidR="00315841" w:rsidRDefault="007A23BB">
      <w:pPr>
        <w:pStyle w:val="Cmsor2"/>
        <w:spacing w:before="240" w:after="240"/>
      </w:pPr>
      <w:bookmarkStart w:id="3" w:name="_1fob9te" w:colFirst="0" w:colLast="0"/>
      <w:bookmarkEnd w:id="3"/>
      <w:r>
        <w:t>1.1 Regionális szerepkör</w:t>
      </w:r>
    </w:p>
    <w:p w:rsidR="00315841" w:rsidRDefault="007A23BB">
      <w:pPr>
        <w:jc w:val="both"/>
      </w:pPr>
      <w:r>
        <w:t>Szombathely városa Magyarország nyugati határának közelében található, a Nyugat-Dunántúli rég</w:t>
      </w:r>
      <w:r>
        <w:t xml:space="preserve">ió részét képező </w:t>
      </w:r>
      <w:r>
        <w:rPr>
          <w:b/>
        </w:rPr>
        <w:t>Vas megye székhelye</w:t>
      </w:r>
      <w:r>
        <w:t>. Térségi szerepkörét több tényező is determinálja: amennyiben regionális szinten tekintünk rá, az egyik legfontosabb, hogy a várostól mintegy 100-100 km-re található a Győr-Moson-Sopron megyén áthaladó, Nyugat-Európát é</w:t>
      </w:r>
      <w:r>
        <w:t xml:space="preserve">s Balkánt összekötő V. számú (illetve a VII., Duna folyosó), valamint a Zala megye déli határán húzódó V. – V/B. számú folyosó, tehát </w:t>
      </w:r>
      <w:r>
        <w:rPr>
          <w:b/>
        </w:rPr>
        <w:t>a Helsinki-folyosók tekintetében Szombathely holttérben található, ugyanakkor összekötő kapcsot is jelent közöttük</w:t>
      </w:r>
      <w:r>
        <w:t xml:space="preserve">. Éppen </w:t>
      </w:r>
      <w:r>
        <w:t>ezért fontos a haránt irányú közlekedési hálózat fejlesztése. Az erre való törekvés a mai közlekedésfejlesztési politikában is megtalálható, ennek köszönhető az M86-os (E65) autóút kiépítése is.</w:t>
      </w:r>
    </w:p>
    <w:p w:rsidR="00315841" w:rsidRDefault="007A23BB">
      <w:pPr>
        <w:jc w:val="both"/>
      </w:pPr>
      <w:r>
        <w:t xml:space="preserve">További </w:t>
      </w:r>
      <w:r>
        <w:rPr>
          <w:b/>
        </w:rPr>
        <w:t>meghatározó tényező az osztrák piac közelsége</w:t>
      </w:r>
      <w:r>
        <w:t xml:space="preserve">: ennek </w:t>
      </w:r>
      <w:r>
        <w:t xml:space="preserve">megítélése – akár szubjektív, akár objektív szempontok mentén – meglehetősen vegyes képet mutat. A lényegesen kedvezőbb kereseti lehetőségek miatt </w:t>
      </w:r>
      <w:r>
        <w:rPr>
          <w:b/>
        </w:rPr>
        <w:t>jelentős Burgenland</w:t>
      </w:r>
      <w:r>
        <w:t xml:space="preserve">, illetve a távolabbi tartományok </w:t>
      </w:r>
      <w:r>
        <w:rPr>
          <w:b/>
        </w:rPr>
        <w:t>munkaerő-elszívó ereje</w:t>
      </w:r>
      <w:r>
        <w:t>, ugyanakkor az ottani jövedelem e</w:t>
      </w:r>
      <w:r>
        <w:t xml:space="preserve">gy része a megyében „csapódik le”, miközben az Ausztriából érkező </w:t>
      </w:r>
      <w:r>
        <w:rPr>
          <w:b/>
        </w:rPr>
        <w:t>bevásárló-turizmus is erősíti a térség gazdasági helyzetét, illetve Szombathely szolgáltatási szektorban betöltött szerepkörét</w:t>
      </w:r>
      <w:r>
        <w:t xml:space="preserve">. Ugyanakkor nem szabad figyelmen kívül hagyni, hogy a folyamat </w:t>
      </w:r>
      <w:r>
        <w:t xml:space="preserve">következtében jelentős </w:t>
      </w:r>
      <w:r>
        <w:rPr>
          <w:b/>
        </w:rPr>
        <w:t>munkaerőhiány alakult ki</w:t>
      </w:r>
      <w:r>
        <w:t xml:space="preserve"> az elmúlt években, többek között a vendéglátás, építőipar és egyes betanított gyári munkák területén.</w:t>
      </w:r>
    </w:p>
    <w:p w:rsidR="00315841" w:rsidRDefault="007A23BB">
      <w:pPr>
        <w:jc w:val="both"/>
      </w:pPr>
      <w:r>
        <w:t xml:space="preserve">Megyei szinten egyértelmű Szombathely térségi szerepköre: az alapvetően aprófalvas településhálózat </w:t>
      </w:r>
      <w:r>
        <w:rPr>
          <w:b/>
        </w:rPr>
        <w:t>gazdas</w:t>
      </w:r>
      <w:r>
        <w:rPr>
          <w:b/>
        </w:rPr>
        <w:t>ági, kereskedelmi, közlekedési, kulturális, oktatási és adminisztratív központjaként funkcionál</w:t>
      </w:r>
      <w:r>
        <w:t>. Ezt jól mutatja, hogy – bár a rendelkezésre álló hivatalos adatok több mint tíz évesek – a nagyjából 78 000 lakosú város nappali népessége közel 15 000 fővel m</w:t>
      </w:r>
      <w:r>
        <w:t>agasabb. Ez egyre nagyobb problémát jelent a közlekedési szempontból frekventáltabb időszakokban, egyre többször fordulnak elő kisebb-nagyobb közlekedési torlódások a városban. Amennyiben a város és térségének lakosságszámát tekintjük, az OECD felmérése al</w:t>
      </w:r>
      <w:r>
        <w:t xml:space="preserve">apján az meghaladja a 134 000 főt, amellyel </w:t>
      </w:r>
      <w:r>
        <w:rPr>
          <w:b/>
        </w:rPr>
        <w:t>a 10. legnagyobb városi térségnek számít Magyarországon</w:t>
      </w:r>
      <w:r>
        <w:t xml:space="preserve">. Annak ellenére, hogy Vas megye teljes népességének (253 689 fő) több mint fele (53%-a) él Szombathelyen és agglomerációjában, az uniós besorolás alapján a </w:t>
      </w:r>
      <w:r>
        <w:t>kisméretű funkcionális városi térségek közé tartozik.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 xml:space="preserve">Habár az egykori „határsáv” térsége viszonylag sűrűn lakott, a környezeti állapotáról elmondható, hogy </w:t>
      </w:r>
      <w:r>
        <w:rPr>
          <w:b/>
          <w:color w:val="000000"/>
        </w:rPr>
        <w:t>az urbanizált térségeket jól megőrzött természeti környezet veszi körbe</w:t>
      </w:r>
      <w:r>
        <w:rPr>
          <w:color w:val="000000"/>
        </w:rPr>
        <w:t>. A kapcsolódó határterületek sokszor szerves részei a tájegységek határon túli folytatásának, ebből kifolyólag az elmúlt évtizedekben gyakoriakká váltak a határokon átívelő szerveződések, nemzeti parkok, natúrparkok, mint például a Fertő–Neusiedlersee Kul</w:t>
      </w:r>
      <w:r>
        <w:rPr>
          <w:color w:val="000000"/>
        </w:rPr>
        <w:t>túrtáj, az Írottkő-Geschriebenstein Natúrpark, vagy az Őrség–Raab–Goricko Natúrpark.</w:t>
      </w:r>
    </w:p>
    <w:p w:rsidR="00315841" w:rsidRDefault="007A23BB">
      <w:pPr>
        <w:rPr>
          <w:color w:val="0B5394"/>
          <w:sz w:val="26"/>
          <w:szCs w:val="26"/>
        </w:rPr>
      </w:pPr>
      <w:r>
        <w:br w:type="page"/>
      </w:r>
    </w:p>
    <w:p w:rsidR="00315841" w:rsidRDefault="007A23BB">
      <w:pPr>
        <w:pStyle w:val="Cmsor2"/>
      </w:pPr>
      <w:bookmarkStart w:id="4" w:name="_3znysh7" w:colFirst="0" w:colLast="0"/>
      <w:bookmarkEnd w:id="4"/>
      <w:r>
        <w:lastRenderedPageBreak/>
        <w:t>1.2 A városi szint bemutatása</w:t>
      </w:r>
    </w:p>
    <w:p w:rsidR="00315841" w:rsidRDefault="007A23BB">
      <w:pPr>
        <w:pStyle w:val="Cmsor3"/>
        <w:pBdr>
          <w:top w:val="single" w:sz="4" w:space="1" w:color="000000"/>
        </w:pBdr>
        <w:spacing w:after="240"/>
        <w:rPr>
          <w:smallCaps w:val="0"/>
        </w:rPr>
      </w:pPr>
      <w:r>
        <w:t>A város szerkezete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color w:val="000000"/>
        </w:rPr>
      </w:pPr>
      <w:r>
        <w:rPr>
          <w:color w:val="000000"/>
        </w:rPr>
        <w:t xml:space="preserve">A város területe </w:t>
      </w:r>
      <w:r>
        <w:rPr>
          <w:b/>
          <w:color w:val="000000"/>
        </w:rPr>
        <w:t>funkcionális szempontból</w:t>
      </w:r>
      <w:r>
        <w:rPr>
          <w:color w:val="000000"/>
        </w:rPr>
        <w:t xml:space="preserve"> több övezetre bontható, az alábbiak szerint:</w:t>
      </w:r>
    </w:p>
    <w:p w:rsidR="00315841" w:rsidRDefault="007A23BB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 xml:space="preserve">az </w:t>
      </w:r>
      <w:r>
        <w:rPr>
          <w:b/>
          <w:color w:val="000000"/>
        </w:rPr>
        <w:t>ipari övezetek</w:t>
      </w:r>
      <w:r>
        <w:rPr>
          <w:color w:val="000000"/>
        </w:rPr>
        <w:t xml:space="preserve"> a város keleti </w:t>
      </w:r>
      <w:r>
        <w:rPr>
          <w:color w:val="000000"/>
        </w:rPr>
        <w:t>és részben a déli/északi részén;</w:t>
      </w:r>
    </w:p>
    <w:p w:rsidR="00315841" w:rsidRDefault="007A23BB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 xml:space="preserve">a </w:t>
      </w:r>
      <w:r>
        <w:rPr>
          <w:b/>
          <w:color w:val="000000"/>
        </w:rPr>
        <w:t>zöldövezet, rekreációs területek</w:t>
      </w:r>
      <w:r>
        <w:rPr>
          <w:color w:val="000000"/>
        </w:rPr>
        <w:t xml:space="preserve"> a város nyugati részén, valamint a Gyöngyös, Perint patakok mentén;</w:t>
      </w:r>
    </w:p>
    <w:p w:rsidR="00315841" w:rsidRDefault="007A23BB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 xml:space="preserve">a város közepén – a történeti városmag területén – a </w:t>
      </w:r>
      <w:r>
        <w:rPr>
          <w:b/>
          <w:color w:val="000000"/>
        </w:rPr>
        <w:t>multifunkciós városközpont</w:t>
      </w:r>
      <w:r>
        <w:rPr>
          <w:color w:val="000000"/>
        </w:rPr>
        <w:t xml:space="preserve"> kereskedelmi, államigazgatási, üzleti-pé</w:t>
      </w:r>
      <w:r>
        <w:rPr>
          <w:color w:val="000000"/>
        </w:rPr>
        <w:t>nzügyi szerepkörökkel és intézményekkel;</w:t>
      </w:r>
    </w:p>
    <w:p w:rsidR="00315841" w:rsidRDefault="007A23BB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 xml:space="preserve">a város szélén, a főbb kivezető utak mentén az új </w:t>
      </w:r>
      <w:r>
        <w:rPr>
          <w:b/>
          <w:color w:val="000000"/>
        </w:rPr>
        <w:t>kereskedelmi-bevásárló funkciókkal bíró központok</w:t>
      </w:r>
      <w:r>
        <w:rPr>
          <w:color w:val="000000"/>
        </w:rPr>
        <w:t xml:space="preserve"> (hipermarketekkel, autószalonokkal, egyéb kereskedelmi egységekkel) helyezkednek el;</w:t>
      </w:r>
    </w:p>
    <w:p w:rsidR="00315841" w:rsidRDefault="007A23BB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 xml:space="preserve">a belső- és külső </w:t>
      </w:r>
      <w:r>
        <w:rPr>
          <w:b/>
          <w:color w:val="000000"/>
        </w:rPr>
        <w:t>lakóövezetek</w:t>
      </w:r>
      <w:r>
        <w:rPr>
          <w:color w:val="000000"/>
        </w:rPr>
        <w:t>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 xml:space="preserve">Szombathely településszerkezetének és a természetföldrajzi adottságainak köszönhetően a város a tér minden irányába tudott terjeszkedni az évek során, mely azt eredményezte, hogy </w:t>
      </w:r>
      <w:r>
        <w:rPr>
          <w:b/>
          <w:color w:val="000000"/>
        </w:rPr>
        <w:t>a városi övezetek nagyjából koncentrikusan helyezkednek el</w:t>
      </w:r>
      <w:r>
        <w:rPr>
          <w:color w:val="000000"/>
        </w:rPr>
        <w:t xml:space="preserve">, esetenként még őrizve a korábbi faluközponti településszerkezet nyomait. A </w:t>
      </w:r>
      <w:r>
        <w:rPr>
          <w:b/>
          <w:color w:val="000000"/>
        </w:rPr>
        <w:t>városközpont</w:t>
      </w:r>
      <w:r>
        <w:rPr>
          <w:color w:val="000000"/>
        </w:rPr>
        <w:t xml:space="preserve"> nagyjából egybeesik a történelmi városmaggal, itt összpontosul a város és a megye központi funkcióinak jelentős része. Ezt veszi körbe egy lazább beépítésű </w:t>
      </w:r>
      <w:r>
        <w:rPr>
          <w:b/>
          <w:color w:val="000000"/>
        </w:rPr>
        <w:t>belső lakó</w:t>
      </w:r>
      <w:r>
        <w:rPr>
          <w:b/>
          <w:color w:val="000000"/>
        </w:rPr>
        <w:t>öv</w:t>
      </w:r>
      <w:r>
        <w:rPr>
          <w:color w:val="000000"/>
        </w:rPr>
        <w:t xml:space="preserve">, ahol jelentősebb központi funkció nem fejlődött ki. Ebbe a lakóövbe beékelődtek </w:t>
      </w:r>
      <w:r>
        <w:rPr>
          <w:b/>
          <w:color w:val="000000"/>
        </w:rPr>
        <w:t>az oktatási negyed és az egészségügyi, valamint szociális terület jelentősebb intézményei</w:t>
      </w:r>
      <w:r>
        <w:rPr>
          <w:color w:val="000000"/>
        </w:rPr>
        <w:t xml:space="preserve">. A belső lakóöv ad helyet továbbá a közepes- és/vagy magas beépítésű </w:t>
      </w:r>
      <w:r>
        <w:rPr>
          <w:b/>
          <w:color w:val="000000"/>
        </w:rPr>
        <w:t>lakótelepekne</w:t>
      </w:r>
      <w:r>
        <w:rPr>
          <w:b/>
          <w:color w:val="000000"/>
        </w:rPr>
        <w:t>k</w:t>
      </w:r>
      <w:r>
        <w:rPr>
          <w:color w:val="000000"/>
        </w:rPr>
        <w:t xml:space="preserve">: ezek a területek bírnak a legnagyobb népsűrűséggel, azonban e területeken is csak helyi szerepkörű intézmények alakultak ki. A város külső – főképp a története során hozzácsatolt egykori falvak – területén található a </w:t>
      </w:r>
      <w:r>
        <w:rPr>
          <w:b/>
          <w:color w:val="000000"/>
        </w:rPr>
        <w:t>külső lakóöv</w:t>
      </w:r>
      <w:r>
        <w:rPr>
          <w:color w:val="000000"/>
        </w:rPr>
        <w:t>, amely leginkább csalá</w:t>
      </w:r>
      <w:r>
        <w:rPr>
          <w:color w:val="000000"/>
        </w:rPr>
        <w:t xml:space="preserve">di házas és sorházas beépítéssel bír. A külső lakóöv főleg Szombathely déli és északi peremén helyezkedik el, ahol szintén csak az ott lakók ellátását szolgáló intézmények fordulnak elő. Az </w:t>
      </w:r>
      <w:r>
        <w:rPr>
          <w:b/>
          <w:color w:val="000000"/>
        </w:rPr>
        <w:t>ipari övezet</w:t>
      </w:r>
      <w:r>
        <w:rPr>
          <w:color w:val="000000"/>
        </w:rPr>
        <w:t>, valamint a hozzá kapcsolódó közlekedési pályák (közu</w:t>
      </w:r>
      <w:r>
        <w:rPr>
          <w:color w:val="000000"/>
        </w:rPr>
        <w:t>tak, vasútvonal) jelentős hányadot foglalnak el a várostestből, melyek döntően a település keleti, kisebb részt az északi és a déli városrészeken találhatók.</w:t>
      </w:r>
    </w:p>
    <w:p w:rsidR="00315841" w:rsidRDefault="007A23BB">
      <w:pPr>
        <w:spacing w:before="240"/>
        <w:jc w:val="both"/>
      </w:pPr>
      <w:r>
        <w:t>A barnamezős, illetve a szlömösödő területek esetében nyomon lehet követni a degradáció folyamatát</w:t>
      </w:r>
      <w:r>
        <w:t>. A leszakadóban levő területeket nem lehet csak egy-egy városrészhez kötni, mozaikszerűen jelennek meg a város struktúrájában, mivel annak idején az ipari területek is az akkori településrész szélén alakultak ki, melyeket mára „elnyelt” a terjeszkedő váro</w:t>
      </w:r>
      <w:r>
        <w:t xml:space="preserve">s. </w:t>
      </w:r>
      <w:r>
        <w:rPr>
          <w:b/>
        </w:rPr>
        <w:t>Barnamezős területek jellemzően az elhagyott, vagy alulhasznosított ipari vagy katonai célokat szolgáló telephelyek környékén alakultak ki</w:t>
      </w:r>
      <w:r>
        <w:t>. Napjainkban főleg a város szövetébe beágyazódott, a városfejlődés során perifériából központi helyzetbe került eg</w:t>
      </w:r>
      <w:r>
        <w:t xml:space="preserve">ykori telephelyek barnamezős területei jelentenek gondot. Jellemző rájuk, hogy a </w:t>
      </w:r>
      <w:r>
        <w:rPr>
          <w:b/>
        </w:rPr>
        <w:t>környezetük alapján alkalmasak lennének értékesebb új funkció megjelenítésére, azonban a tulajdonviszonyok rendezetlensége, vagy finanszírozás hiányában átalakulni, megújulni,</w:t>
      </w:r>
      <w:r>
        <w:rPr>
          <w:b/>
        </w:rPr>
        <w:t xml:space="preserve"> vagy újnak teret adni már nem képesek.</w:t>
      </w:r>
    </w:p>
    <w:p w:rsidR="00315841" w:rsidRDefault="007A23BB">
      <w:pPr>
        <w:spacing w:before="240"/>
        <w:jc w:val="both"/>
        <w:rPr>
          <w:b/>
        </w:rPr>
      </w:pPr>
      <w:r>
        <w:t>Számos olyan konfliktussal terhelt, alulhasznált, romlás alatt lévő vagy leromlott kereskedelmi és/vagy lakóépület is jelen van Szombathely városában, mely napjainkban is beavatkozásra vár. Ezek közvetlen környezetük</w:t>
      </w:r>
      <w:r>
        <w:t xml:space="preserve">re is káros hatással vannak, egy-egy térről vagy utcarészletről </w:t>
      </w:r>
      <w:r>
        <w:lastRenderedPageBreak/>
        <w:t xml:space="preserve">kialakult képet képesek negatívan befolyásolni. </w:t>
      </w:r>
      <w:r>
        <w:rPr>
          <w:b/>
        </w:rPr>
        <w:t>Ezeknek az épületeknek, épületegyütteseknek a funkcionális hasznosításával jelentős mértékű pozitív hatás érhető el, ami a 2014–2020-as Integrált Településfejlesztési Program egyik kiemelt célja is egyben.</w:t>
      </w:r>
    </w:p>
    <w:p w:rsidR="00315841" w:rsidRDefault="007A23BB">
      <w:pPr>
        <w:pStyle w:val="Cmsor3"/>
        <w:pBdr>
          <w:top w:val="single" w:sz="4" w:space="1" w:color="000000"/>
        </w:pBdr>
        <w:rPr>
          <w:smallCaps w:val="0"/>
        </w:rPr>
      </w:pPr>
      <w:r>
        <w:t>VÁROS Gazdasági helyzete</w:t>
      </w:r>
    </w:p>
    <w:p w:rsidR="00315841" w:rsidRDefault="007A23BB">
      <w:pPr>
        <w:spacing w:before="240"/>
        <w:jc w:val="both"/>
      </w:pPr>
      <w:r>
        <w:t>A magyar gazdaság egyik f</w:t>
      </w:r>
      <w:r>
        <w:t xml:space="preserve">ő pillére az autóipar. </w:t>
      </w:r>
      <w:r>
        <w:rPr>
          <w:b/>
        </w:rPr>
        <w:t>Szombathely iparának kulcsszereplői többnyire a nemzetközi gépjárműgyártók beszállítói</w:t>
      </w:r>
      <w:r>
        <w:t>, annak ellenére, hogy ezek a cégek a mobiltelefonoktól a gyógyászati elektronikáig terjedő, változatos termékportfólióval rendelkeznek. Egy a köze</w:t>
      </w:r>
      <w:r>
        <w:t>lmúltban megjelent tanulmány szerint öt szombathelyi cég tartozik Magyarország 200 legnagyobb nettó árbevétellel rendelkező cége közé: a Jabil Circuit (20. helyen), a LuK Savaria (56. helyen), a Delphi Hungary (63. helyen), a TDK-EPCOS (111. helyen) és a B</w:t>
      </w:r>
      <w:r>
        <w:t>PW-Hungária (121. helyen).</w:t>
      </w:r>
    </w:p>
    <w:p w:rsidR="00315841" w:rsidRDefault="007A23BB">
      <w:pPr>
        <w:jc w:val="both"/>
        <w:rPr>
          <w:i/>
          <w:color w:val="000000"/>
        </w:rPr>
      </w:pPr>
      <w:r>
        <w:t xml:space="preserve">Számos kezdeményezés indult annak érdekében, hogy csökkenthető legyen a város gazdasági sebezhetősége, valamint az ettől az egy ágazattól való függősége. </w:t>
      </w:r>
      <w:r>
        <w:rPr>
          <w:b/>
        </w:rPr>
        <w:t>Általános célkitűzés, hogy az ipari ágazat váljon sokszínűbbé, mégpedig azá</w:t>
      </w:r>
      <w:r>
        <w:rPr>
          <w:b/>
        </w:rPr>
        <w:t>ltal, hogy a helyi KKV-k kapcsolódjanak össze a helyben működő, fent említett nagy cégekkel</w:t>
      </w:r>
      <w:r>
        <w:t xml:space="preserve">. A </w:t>
      </w:r>
      <w:r>
        <w:rPr>
          <w:color w:val="000000"/>
        </w:rPr>
        <w:t>helyi innovációs kapacitások növelése érdekében</w:t>
      </w:r>
      <w:r>
        <w:t xml:space="preserve"> a kreatív iparágak ösztönzése mellett a</w:t>
      </w:r>
      <w:r>
        <w:rPr>
          <w:i/>
        </w:rPr>
        <w:t xml:space="preserve"> </w:t>
      </w:r>
      <w:r>
        <w:rPr>
          <w:b/>
          <w:color w:val="000000"/>
        </w:rPr>
        <w:t>Nyugat</w:t>
      </w:r>
      <w:r>
        <w:rPr>
          <w:b/>
          <w:i/>
        </w:rPr>
        <w:t>-</w:t>
      </w:r>
      <w:r>
        <w:rPr>
          <w:b/>
          <w:color w:val="000000"/>
        </w:rPr>
        <w:t>Pannon Járműipari</w:t>
      </w:r>
      <w:r>
        <w:rPr>
          <w:b/>
          <w:i/>
        </w:rPr>
        <w:t xml:space="preserve"> </w:t>
      </w:r>
      <w:r>
        <w:rPr>
          <w:b/>
        </w:rPr>
        <w:t>és</w:t>
      </w:r>
      <w:r>
        <w:rPr>
          <w:b/>
          <w:i/>
        </w:rPr>
        <w:t xml:space="preserve"> </w:t>
      </w:r>
      <w:r>
        <w:rPr>
          <w:b/>
          <w:color w:val="000000"/>
        </w:rPr>
        <w:t>Mechatronikai Központ</w:t>
      </w:r>
      <w:r>
        <w:rPr>
          <w:color w:val="000000"/>
        </w:rPr>
        <w:t xml:space="preserve"> megalapítása volt a leg</w:t>
      </w:r>
      <w:r>
        <w:rPr>
          <w:color w:val="000000"/>
        </w:rPr>
        <w:t>sikeresebb lépés, az ipari cégek, valamint a középiskolák, felsőoktatási intézmények közötti együttműködés fejlesztése révén.</w:t>
      </w:r>
    </w:p>
    <w:p w:rsidR="00315841" w:rsidRDefault="007A23BB">
      <w:pPr>
        <w:jc w:val="both"/>
      </w:pPr>
      <w:r>
        <w:rPr>
          <w:color w:val="000000"/>
        </w:rPr>
        <w:t>Az osztrák határhoz való közelsége mellett a város a IV. és V. TEN-T folyosók közötti összeköttetésként is értelmezhető, ezért jel</w:t>
      </w:r>
      <w:r>
        <w:rPr>
          <w:color w:val="000000"/>
        </w:rPr>
        <w:t>entős kereskedelmi és logisztikai tényezőnek számít, ami további lökést ad a város társadalmi és gazdasági fejlődéséhez. A lehetőség kiaknázása érdekében a város az ipari park bővítését tervezi a külső területei felé, amelyet össze kíván kötni a kétszámjeg</w:t>
      </w:r>
      <w:r>
        <w:rPr>
          <w:color w:val="000000"/>
        </w:rPr>
        <w:t>yű közutak és a vasúti fővonalak áruszállítási hálózatával</w:t>
      </w:r>
      <w:r>
        <w:rPr>
          <w:b/>
          <w:color w:val="000000"/>
        </w:rPr>
        <w:t>. Az új ipari területek a Huszárlaktanyától számított két kilométeres sugarú körön belül létesülnek.</w:t>
      </w:r>
    </w:p>
    <w:p w:rsidR="00315841" w:rsidRDefault="007A23BB">
      <w:pPr>
        <w:pStyle w:val="Cmsor3"/>
        <w:pBdr>
          <w:top w:val="single" w:sz="4" w:space="1" w:color="000000"/>
        </w:pBdr>
        <w:spacing w:after="240"/>
        <w:rPr>
          <w:smallCaps w:val="0"/>
        </w:rPr>
      </w:pPr>
      <w:r>
        <w:t>Kulturális háttér</w:t>
      </w:r>
    </w:p>
    <w:p w:rsidR="00315841" w:rsidRDefault="007A23BB">
      <w:pPr>
        <w:jc w:val="both"/>
        <w:rPr>
          <w:i/>
          <w:color w:val="000000"/>
        </w:rPr>
      </w:pPr>
      <w:r>
        <w:t xml:space="preserve">A város kulturális identitása alapvetően </w:t>
      </w:r>
      <w:r>
        <w:rPr>
          <w:b/>
        </w:rPr>
        <w:t>Szent Márton tiszteletén és a római ör</w:t>
      </w:r>
      <w:r>
        <w:rPr>
          <w:b/>
        </w:rPr>
        <w:t>ökségen</w:t>
      </w:r>
      <w:r>
        <w:t xml:space="preserve"> alapszik. A város legismertebb és leglátogatottabb eseménye a </w:t>
      </w:r>
      <w:r>
        <w:rPr>
          <w:b/>
        </w:rPr>
        <w:t>Savaria Történelmi Karnevál</w:t>
      </w:r>
      <w:r>
        <w:t xml:space="preserve">, amely </w:t>
      </w:r>
      <w:r>
        <w:rPr>
          <w:color w:val="000000"/>
        </w:rPr>
        <w:t>Közép-Európa</w:t>
      </w:r>
      <w:r>
        <w:rPr>
          <w:color w:val="000000"/>
        </w:rPr>
        <w:t xml:space="preserve"> </w:t>
      </w:r>
      <w:r>
        <w:t xml:space="preserve">legnagyobb jelmezes történelmi fesztiváljának számít, és több tízezer látogatót vonz évről évre. Számos más említésre méltó esemény kerül </w:t>
      </w:r>
      <w:r>
        <w:t xml:space="preserve">megrendezésre Szombathelyen, beleértve a </w:t>
      </w:r>
      <w:r>
        <w:rPr>
          <w:b/>
        </w:rPr>
        <w:t>Lamantin Jazz Fesztivál és Improvizációs Tábort</w:t>
      </w:r>
      <w:r>
        <w:t>, valamint a nemzetközi</w:t>
      </w:r>
      <w:r>
        <w:rPr>
          <w:i/>
        </w:rPr>
        <w:t xml:space="preserve"> </w:t>
      </w:r>
      <w:r>
        <w:rPr>
          <w:b/>
          <w:color w:val="000000"/>
        </w:rPr>
        <w:t>Bartók Szeminárium</w:t>
      </w:r>
      <w:r>
        <w:rPr>
          <w:b/>
          <w:i/>
        </w:rPr>
        <w:t xml:space="preserve"> </w:t>
      </w:r>
      <w:r>
        <w:rPr>
          <w:b/>
        </w:rPr>
        <w:t>és</w:t>
      </w:r>
      <w:r>
        <w:rPr>
          <w:b/>
          <w:i/>
        </w:rPr>
        <w:t xml:space="preserve"> </w:t>
      </w:r>
      <w:r>
        <w:rPr>
          <w:b/>
          <w:color w:val="000000"/>
        </w:rPr>
        <w:t>Fesztivál</w:t>
      </w:r>
      <w:r>
        <w:rPr>
          <w:color w:val="000000"/>
        </w:rPr>
        <w:t xml:space="preserve"> rendezvényt. Fontos kiemelni az önkormányzati fenntartású </w:t>
      </w:r>
      <w:r>
        <w:rPr>
          <w:b/>
          <w:color w:val="000000"/>
        </w:rPr>
        <w:t>AGORA Szombathelyi Kulturális Központot</w:t>
      </w:r>
      <w:r>
        <w:rPr>
          <w:color w:val="000000"/>
        </w:rPr>
        <w:t>, amely a város</w:t>
      </w:r>
      <w:r>
        <w:rPr>
          <w:color w:val="000000"/>
        </w:rPr>
        <w:t xml:space="preserve"> összes közösségi kulturális tevékenységéért felelős; különböző városi és turisztikai eseményeket szervez, és a város marketingtevékenységéért is felel.</w:t>
      </w:r>
    </w:p>
    <w:p w:rsidR="00315841" w:rsidRDefault="007A23BB">
      <w:pPr>
        <w:jc w:val="both"/>
        <w:rPr>
          <w:color w:val="000000"/>
        </w:rPr>
      </w:pPr>
      <w:r>
        <w:rPr>
          <w:color w:val="000000"/>
        </w:rPr>
        <w:t>A Mura folyótól egészen Sopronig húzódó magyar-osztrák-szlovén határon átnyúló makrotérség kereskedelmi</w:t>
      </w:r>
      <w:r>
        <w:rPr>
          <w:color w:val="000000"/>
        </w:rPr>
        <w:t xml:space="preserve"> és kulturális fókuszpontjaként a </w:t>
      </w:r>
      <w:r>
        <w:rPr>
          <w:b/>
          <w:color w:val="000000"/>
        </w:rPr>
        <w:t>város ma is jelentős kulturális szereppel bír a tágabb vonzáskörzetében</w:t>
      </w:r>
      <w:r>
        <w:rPr>
          <w:color w:val="000000"/>
        </w:rPr>
        <w:t>, amely magába foglalja Burgenland déli részét és Stájerország keleti részét.</w:t>
      </w:r>
    </w:p>
    <w:p w:rsidR="00315841" w:rsidRDefault="007A23BB">
      <w:pPr>
        <w:rPr>
          <w:color w:val="000000"/>
        </w:rPr>
      </w:pPr>
      <w:r>
        <w:br w:type="page"/>
      </w:r>
    </w:p>
    <w:p w:rsidR="00315841" w:rsidRDefault="007A23BB">
      <w:pPr>
        <w:pStyle w:val="Cmsor3"/>
        <w:spacing w:after="240"/>
        <w:rPr>
          <w:smallCaps w:val="0"/>
        </w:rPr>
      </w:pPr>
      <w:r>
        <w:lastRenderedPageBreak/>
        <w:t>Civil szektor</w:t>
      </w:r>
    </w:p>
    <w:p w:rsidR="00315841" w:rsidRDefault="007A23BB">
      <w:pPr>
        <w:jc w:val="both"/>
      </w:pPr>
      <w:r>
        <w:t>A szombathelyi civil szervezetek 70%-a egyesületi, 30%-uk</w:t>
      </w:r>
      <w:r>
        <w:t xml:space="preserve"> pedig alapítványi formában működik. Tevékenységüket tekintve elmondható, hogy a civil szervezetek közel egyharmada (30%) köthető a sporthoz, de jelentős számban működnek többcélú szervezetek az oktatás (12%), kultúra (10%), érdekképviselet (10%), egészség</w:t>
      </w:r>
      <w:r>
        <w:t>ügy (8%) és egyéb (15,4%) témában.</w:t>
      </w:r>
    </w:p>
    <w:p w:rsidR="00315841" w:rsidRDefault="007A23BB">
      <w:pPr>
        <w:jc w:val="both"/>
      </w:pPr>
      <w:r>
        <w:t xml:space="preserve">Az egyre szűkülő forrásoknak, támogatásoknak köszönhetően </w:t>
      </w:r>
      <w:r>
        <w:rPr>
          <w:b/>
        </w:rPr>
        <w:t>a civil szervezetek egyre inkább nyitottabbá váltak, kezdeményezőként léptek fel közös programok és projektek megvalósítása érdekében</w:t>
      </w:r>
      <w:r>
        <w:t>. Az együttműködések során a g</w:t>
      </w:r>
      <w:r>
        <w:t xml:space="preserve">azdálkodó szervezetek, a civil szervezetek és az önkormányzat összefogása elengedhetetlen. Többek között ennek a felismerésnek a hatására 2007-ben létrejött a </w:t>
      </w:r>
      <w:r>
        <w:rPr>
          <w:b/>
        </w:rPr>
        <w:t>Szombathelyi Civil Kerekasztal,</w:t>
      </w:r>
      <w:r>
        <w:t xml:space="preserve"> melynek alaptevékenysége a civil szervezetek hatékony működésének</w:t>
      </w:r>
      <w:r>
        <w:t xml:space="preserve"> segítése, közös érdekképviselet biztosítása.</w:t>
      </w:r>
    </w:p>
    <w:p w:rsidR="00315841" w:rsidRDefault="007A23BB">
      <w:pPr>
        <w:jc w:val="both"/>
      </w:pPr>
      <w:r>
        <w:t xml:space="preserve">Szombathely esetében elmondható, hogy annak ellenére, hogy rendkívül sok civil szervezettel büszkélkedhet, </w:t>
      </w:r>
      <w:r>
        <w:rPr>
          <w:b/>
        </w:rPr>
        <w:t>a város közösségi terei több esetben nem tudnak megfelelő infrastrukturális hátteret biztosítani az ese</w:t>
      </w:r>
      <w:r>
        <w:rPr>
          <w:b/>
        </w:rPr>
        <w:t>ményeknek.</w:t>
      </w:r>
    </w:p>
    <w:p w:rsidR="00315841" w:rsidRDefault="007A23BB">
      <w:pPr>
        <w:pStyle w:val="Cmsor3"/>
        <w:spacing w:after="240"/>
        <w:rPr>
          <w:smallCaps w:val="0"/>
        </w:rPr>
      </w:pPr>
      <w:r>
        <w:t>Környezeti állapot</w:t>
      </w:r>
    </w:p>
    <w:p w:rsidR="00315841" w:rsidRDefault="007A23BB">
      <w:pPr>
        <w:jc w:val="both"/>
      </w:pPr>
      <w:r>
        <w:rPr>
          <w:b/>
        </w:rPr>
        <w:t>Szombathely város környezeti állapota az országos átlaghoz viszonyítva jó</w:t>
      </w:r>
      <w:r>
        <w:t xml:space="preserve">, ebben szerepet játszik az Alpok közelsége, a nehézipar alacsony részaránya, valamint a kedvező infrastrukturális ellátottság. Mindezek mellett azonban meg kell jegyezni, hogy a klímaváltozás, </w:t>
      </w:r>
      <w:r>
        <w:rPr>
          <w:b/>
        </w:rPr>
        <w:t>az időjárási extremitások gyakoriságának növekedése egyre gyak</w:t>
      </w:r>
      <w:r>
        <w:rPr>
          <w:b/>
        </w:rPr>
        <w:t>rabban okoz problémát a város életében</w:t>
      </w:r>
      <w:r>
        <w:t>.</w:t>
      </w:r>
    </w:p>
    <w:p w:rsidR="00315841" w:rsidRDefault="007A23BB">
      <w:pPr>
        <w:pStyle w:val="Cmsor2"/>
        <w:rPr>
          <w:smallCaps w:val="0"/>
        </w:rPr>
      </w:pPr>
      <w:bookmarkStart w:id="5" w:name="_2et92p0" w:colFirst="0" w:colLast="0"/>
      <w:bookmarkEnd w:id="5"/>
      <w:r>
        <w:t>1.3 A Huszárlaktanyát övező városrész bemutatása</w:t>
      </w:r>
    </w:p>
    <w:p w:rsidR="00315841" w:rsidRDefault="007A23BB">
      <w:pPr>
        <w:spacing w:before="240"/>
        <w:jc w:val="both"/>
      </w:pPr>
      <w:r>
        <w:t xml:space="preserve">Szombathely város Integrált Településfejlesztési Stratégiájának beosztása alapján a Huszárlaktanya területe az északi városközpont északkeleti határán található, ugyanakkor meg kell jegyezni, hogy </w:t>
      </w:r>
      <w:r>
        <w:rPr>
          <w:b/>
        </w:rPr>
        <w:t>funkcionálisan, illetve közlekedésföldrajzi szempontból szo</w:t>
      </w:r>
      <w:r>
        <w:rPr>
          <w:b/>
        </w:rPr>
        <w:t>rosan kapcsolódik a környezetében található városrészek lakóterületeihez,</w:t>
      </w:r>
      <w:r>
        <w:t xml:space="preserve"> beleértve az északra fekvő Stromfeld- és Minerva lakótelepet, az Éhen Gyula kertvárost, valamint a Kámon–Herény városrész délkeleti sarkát. Az érintett városrészek lakosságszámát az </w:t>
      </w:r>
      <w:r>
        <w:t>alábbi táblázat tartalmazza:</w:t>
      </w:r>
    </w:p>
    <w:tbl>
      <w:tblPr>
        <w:tblStyle w:val="a"/>
        <w:tblW w:w="6090" w:type="dxa"/>
        <w:jc w:val="center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3363"/>
        <w:gridCol w:w="2727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tcW w:w="3364" w:type="dxa"/>
            <w:vAlign w:val="center"/>
          </w:tcPr>
          <w:p w:rsidR="00315841" w:rsidRDefault="007A23BB">
            <w:pPr>
              <w:jc w:val="center"/>
            </w:pPr>
            <w:r>
              <w:t>Városrész</w:t>
            </w:r>
          </w:p>
        </w:tc>
        <w:tc>
          <w:tcPr>
            <w:tcW w:w="2727" w:type="dxa"/>
            <w:vAlign w:val="center"/>
          </w:tcPr>
          <w:p w:rsidR="00315841" w:rsidRDefault="007A23BB">
            <w:pPr>
              <w:jc w:val="center"/>
            </w:pPr>
            <w:r>
              <w:t>Lakónépesség száma [fő]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0"/>
          <w:jc w:val="center"/>
        </w:trPr>
        <w:tc>
          <w:tcPr>
            <w:tcW w:w="3364" w:type="dxa"/>
            <w:vAlign w:val="center"/>
          </w:tcPr>
          <w:p w:rsidR="00315841" w:rsidRDefault="007A23BB">
            <w:pPr>
              <w:spacing w:after="100"/>
              <w:rPr>
                <w:color w:val="000000"/>
              </w:rPr>
            </w:pPr>
            <w:r>
              <w:rPr>
                <w:color w:val="000000"/>
              </w:rPr>
              <w:t xml:space="preserve">Északi városközpont </w:t>
            </w:r>
          </w:p>
        </w:tc>
        <w:tc>
          <w:tcPr>
            <w:tcW w:w="2727" w:type="dxa"/>
            <w:vAlign w:val="center"/>
          </w:tcPr>
          <w:p w:rsidR="00315841" w:rsidRDefault="007A23BB">
            <w:pPr>
              <w:spacing w:after="100"/>
              <w:ind w:right="318"/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7 597 </w:t>
            </w:r>
          </w:p>
        </w:tc>
      </w:tr>
      <w:tr w:rsidR="00315841" w:rsidTr="00315841">
        <w:trPr>
          <w:trHeight w:val="380"/>
          <w:jc w:val="center"/>
        </w:trPr>
        <w:tc>
          <w:tcPr>
            <w:tcW w:w="3364" w:type="dxa"/>
            <w:vAlign w:val="center"/>
          </w:tcPr>
          <w:p w:rsidR="00315841" w:rsidRDefault="007A23BB">
            <w:pPr>
              <w:spacing w:after="100"/>
              <w:rPr>
                <w:color w:val="000000"/>
              </w:rPr>
            </w:pPr>
            <w:r>
              <w:rPr>
                <w:color w:val="000000"/>
              </w:rPr>
              <w:t xml:space="preserve">Éhen Gyula kertváros </w:t>
            </w:r>
          </w:p>
        </w:tc>
        <w:tc>
          <w:tcPr>
            <w:tcW w:w="2727" w:type="dxa"/>
            <w:vAlign w:val="center"/>
          </w:tcPr>
          <w:p w:rsidR="00315841" w:rsidRDefault="007A23BB">
            <w:pPr>
              <w:spacing w:after="100"/>
              <w:ind w:right="318"/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1 252 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0"/>
          <w:jc w:val="center"/>
        </w:trPr>
        <w:tc>
          <w:tcPr>
            <w:tcW w:w="3364" w:type="dxa"/>
            <w:vAlign w:val="center"/>
          </w:tcPr>
          <w:p w:rsidR="00315841" w:rsidRDefault="007A23BB">
            <w:pPr>
              <w:spacing w:after="100"/>
              <w:rPr>
                <w:color w:val="000000"/>
              </w:rPr>
            </w:pPr>
            <w:r>
              <w:rPr>
                <w:color w:val="000000"/>
              </w:rPr>
              <w:t xml:space="preserve">Minerva - Stromfeld lakótelep </w:t>
            </w:r>
          </w:p>
        </w:tc>
        <w:tc>
          <w:tcPr>
            <w:tcW w:w="2727" w:type="dxa"/>
            <w:vAlign w:val="center"/>
          </w:tcPr>
          <w:p w:rsidR="00315841" w:rsidRDefault="007A23BB">
            <w:pPr>
              <w:spacing w:after="100"/>
              <w:ind w:right="318"/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3 094 </w:t>
            </w:r>
          </w:p>
        </w:tc>
      </w:tr>
      <w:tr w:rsidR="00315841" w:rsidTr="00315841">
        <w:trPr>
          <w:trHeight w:val="380"/>
          <w:jc w:val="center"/>
        </w:trPr>
        <w:tc>
          <w:tcPr>
            <w:tcW w:w="3364" w:type="dxa"/>
            <w:vAlign w:val="center"/>
          </w:tcPr>
          <w:p w:rsidR="00315841" w:rsidRDefault="007A23BB">
            <w:pPr>
              <w:spacing w:after="100"/>
              <w:rPr>
                <w:color w:val="000000"/>
              </w:rPr>
            </w:pPr>
            <w:r>
              <w:rPr>
                <w:color w:val="000000"/>
              </w:rPr>
              <w:t xml:space="preserve">Kámon - Herény városrész </w:t>
            </w:r>
          </w:p>
        </w:tc>
        <w:tc>
          <w:tcPr>
            <w:tcW w:w="2727" w:type="dxa"/>
            <w:vAlign w:val="center"/>
          </w:tcPr>
          <w:p w:rsidR="00315841" w:rsidRDefault="007A23BB">
            <w:pPr>
              <w:spacing w:after="100"/>
              <w:ind w:right="318"/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4 980 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0"/>
          <w:jc w:val="center"/>
        </w:trPr>
        <w:tc>
          <w:tcPr>
            <w:tcW w:w="3364" w:type="dxa"/>
            <w:vAlign w:val="center"/>
          </w:tcPr>
          <w:p w:rsidR="00315841" w:rsidRDefault="007A23BB">
            <w:pPr>
              <w:spacing w:after="100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Összesen</w:t>
            </w:r>
          </w:p>
        </w:tc>
        <w:tc>
          <w:tcPr>
            <w:tcW w:w="2727" w:type="dxa"/>
            <w:vAlign w:val="center"/>
          </w:tcPr>
          <w:p w:rsidR="00315841" w:rsidRDefault="007A23BB">
            <w:pPr>
              <w:spacing w:after="100"/>
              <w:ind w:right="318"/>
              <w:jc w:val="right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16 923</w:t>
            </w:r>
          </w:p>
        </w:tc>
      </w:tr>
      <w:tr w:rsidR="00315841" w:rsidTr="00315841">
        <w:trPr>
          <w:trHeight w:val="380"/>
          <w:jc w:val="center"/>
        </w:trPr>
        <w:tc>
          <w:tcPr>
            <w:tcW w:w="3364" w:type="dxa"/>
            <w:vAlign w:val="center"/>
          </w:tcPr>
          <w:p w:rsidR="00315841" w:rsidRDefault="007A23BB">
            <w:pPr>
              <w:spacing w:after="100"/>
              <w:rPr>
                <w:color w:val="000000"/>
              </w:rPr>
            </w:pPr>
            <w:r>
              <w:rPr>
                <w:color w:val="000000"/>
              </w:rPr>
              <w:t>Szombathely összesen</w:t>
            </w:r>
          </w:p>
        </w:tc>
        <w:tc>
          <w:tcPr>
            <w:tcW w:w="2727" w:type="dxa"/>
            <w:vAlign w:val="center"/>
          </w:tcPr>
          <w:p w:rsidR="00315841" w:rsidRDefault="007A23BB">
            <w:pPr>
              <w:spacing w:after="100"/>
              <w:ind w:right="318"/>
              <w:jc w:val="right"/>
              <w:rPr>
                <w:color w:val="000000"/>
              </w:rPr>
            </w:pPr>
            <w:r>
              <w:rPr>
                <w:color w:val="000000"/>
              </w:rPr>
              <w:t>78 884</w:t>
            </w:r>
          </w:p>
        </w:tc>
      </w:tr>
    </w:tbl>
    <w:p w:rsidR="00315841" w:rsidRDefault="007A23BB">
      <w:pPr>
        <w:spacing w:before="240"/>
        <w:jc w:val="both"/>
      </w:pPr>
      <w:r>
        <w:rPr>
          <w:b/>
        </w:rPr>
        <w:lastRenderedPageBreak/>
        <w:t>A laktanya területének nyugati oldalán húzódik a város egyik fő be- és kivezető útja, a 11-es Huszár út, amelyen a frekventált időszakokban jelentős forgalom bonyolódik le</w:t>
      </w:r>
      <w:r>
        <w:t>, esetenként közlekedési torlódások kialakulásához vezetve. A túlterheltség oka, hogy</w:t>
      </w:r>
      <w:r>
        <w:t xml:space="preserve"> ezen az úton zajlik a Szombathely–Kőszeg agglomerációs tengely településeihez kapcsolódó – elsősorban ingázó – közúti forgalom jelentős hányada, miközben a parkolási lehetőségek hiányából kifolyólag az út két szélső sávja részben parkolóként funkcionál, e</w:t>
      </w:r>
      <w:r>
        <w:t>zzel jelentősen csökkentve az út áteresztő-képességét. További problémát jelent a kerékpárral közlekedők magas aránya, valamint ebből kifolyólag a balesetek magasabb száma, amely összefüggésbe hozható a párhuzamos közlekedést akadályozó, szélső sávban való</w:t>
      </w:r>
      <w:r>
        <w:t xml:space="preserve"> parkolással. </w:t>
      </w:r>
      <w:r>
        <w:rPr>
          <w:b/>
        </w:rPr>
        <w:t>A terület keleti oldalán a Lovas utca, valamint a szintén</w:t>
      </w:r>
      <w:r>
        <w:t xml:space="preserve"> </w:t>
      </w:r>
      <w:r>
        <w:rPr>
          <w:b/>
        </w:rPr>
        <w:t>be- és kivezető útnak tekinthető Söptei út található,</w:t>
      </w:r>
      <w:r>
        <w:t xml:space="preserve"> azonban a Huszár úthoz viszonyítva itt alacsonyabb forgalom bonyolódik le.</w:t>
      </w:r>
    </w:p>
    <w:p w:rsidR="00315841" w:rsidRDefault="007A23BB">
      <w:pPr>
        <w:spacing w:before="240"/>
        <w:jc w:val="both"/>
      </w:pPr>
      <w:r>
        <w:rPr>
          <w:b/>
          <w:noProof/>
        </w:rPr>
        <w:drawing>
          <wp:inline distT="0" distB="0" distL="0" distR="0">
            <wp:extent cx="5753100" cy="5997606"/>
            <wp:effectExtent l="0" t="0" r="0" b="0"/>
            <wp:docPr id="11" name="image39.png" descr="D:\URBACT MAPS – Military Assets as Public Spaces\201709 - Akcióterv\Város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 descr="D:\URBACT MAPS – Military Assets as Public Spaces\201709 - Akcióterv\Város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9976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pPr>
        <w:jc w:val="center"/>
        <w:rPr>
          <w:i/>
        </w:rPr>
      </w:pPr>
      <w:r>
        <w:rPr>
          <w:i/>
        </w:rPr>
        <w:t>1. térkép: Szombathely városrészeinek áttekintése, valamint a Huszárlaktanya közvetlen vonzáskörzete (pirossal jelölve a legforgalmasabb közutak; saját szerkesztés)</w:t>
      </w:r>
    </w:p>
    <w:p w:rsidR="00315841" w:rsidRDefault="007A23BB">
      <w:pPr>
        <w:spacing w:before="240"/>
        <w:jc w:val="both"/>
        <w:rPr>
          <w:b/>
        </w:rPr>
      </w:pPr>
      <w:r>
        <w:rPr>
          <w:b/>
        </w:rPr>
        <w:t xml:space="preserve">A Huszárlaktanya területe </w:t>
      </w:r>
      <w:r>
        <w:t xml:space="preserve">– az egyes, balesetveszélyes épületek jelenléte miatt – </w:t>
      </w:r>
      <w:r>
        <w:rPr>
          <w:b/>
        </w:rPr>
        <w:t>jelenleg</w:t>
      </w:r>
      <w:r>
        <w:t xml:space="preserve"> </w:t>
      </w:r>
      <w:r>
        <w:rPr>
          <w:b/>
        </w:rPr>
        <w:t>fizikailag is le van zárva, amely megnehezíti a két közlekedési folyosó közötti átjárhatóságot. A belső elérhetőségi problémából kifolyólag esetenként közel egy kilométeres kerülőutat kell tenniük a területen áthaladni szándékozóknak.</w:t>
      </w:r>
    </w:p>
    <w:p w:rsidR="00315841" w:rsidRDefault="007A23BB">
      <w:pPr>
        <w:spacing w:before="240"/>
        <w:jc w:val="both"/>
      </w:pPr>
      <w:r>
        <w:t>Ha a Huszárlaktanya á</w:t>
      </w:r>
      <w:r>
        <w:t xml:space="preserve">ltal közvetlenül érintett városrészeket tekintjük, a korábbiakban elmondottaknak megfelelően elsősorban a lakófunkció dominál, azonban ezzel együtt </w:t>
      </w:r>
      <w:r>
        <w:rPr>
          <w:b/>
        </w:rPr>
        <w:t xml:space="preserve">erősen funkcióhiányosnak tekinthető a térség. </w:t>
      </w:r>
      <w:r>
        <w:t>Természetesen egy ilyen városrészben nem is kell, hogy cél leg</w:t>
      </w:r>
      <w:r>
        <w:t xml:space="preserve">yen a központi funkciók fölösleges megtelepítése, azonban </w:t>
      </w:r>
      <w:r>
        <w:rPr>
          <w:b/>
        </w:rPr>
        <w:t>a helyi igények kielégítésére törekedni kell. Ez elsősorban a zöld-, rekreációs célú területek hiányára vonatkozik.</w:t>
      </w:r>
      <w:r>
        <w:t xml:space="preserve"> Miközben </w:t>
      </w:r>
      <w:r>
        <w:rPr>
          <w:b/>
        </w:rPr>
        <w:t>a Huszárlaktanya területe kellő mennyiségű és minőségű zöldterületet lenne képes biztosítani</w:t>
      </w:r>
      <w:r>
        <w:t>, az ott lakók számára jelenleg hozzáférhetetlen, így szabadidős kikapcsolódás céljából sokszor a város távolabbi helyszíneit kénytelenek igénybe venni, a legtöbb e</w:t>
      </w:r>
      <w:r>
        <w:t>setben közúti közlekedéssel megközelítve azt.</w:t>
      </w:r>
    </w:p>
    <w:p w:rsidR="00315841" w:rsidRDefault="007A23BB">
      <w:pPr>
        <w:pStyle w:val="Cmsor2"/>
        <w:rPr>
          <w:smallCaps w:val="0"/>
        </w:rPr>
      </w:pPr>
      <w:bookmarkStart w:id="6" w:name="_tyjcwt" w:colFirst="0" w:colLast="0"/>
      <w:bookmarkEnd w:id="6"/>
      <w:r>
        <w:t>1.4 A Huszárlaktanya területének bemutatása</w:t>
      </w:r>
    </w:p>
    <w:p w:rsidR="00315841" w:rsidRDefault="007A23BB">
      <w:pPr>
        <w:pStyle w:val="Cmsor3"/>
        <w:spacing w:before="240"/>
      </w:pPr>
      <w:r>
        <w:t>Története</w:t>
      </w:r>
    </w:p>
    <w:p w:rsidR="00315841" w:rsidRDefault="007A23BB">
      <w:pPr>
        <w:spacing w:before="240"/>
        <w:jc w:val="both"/>
        <w:rPr>
          <w:b/>
        </w:rPr>
      </w:pPr>
      <w:r>
        <w:t>Bár a jelenkori hasznosítási elképzelések szempontjából nem meghatározó, az épületek állapotának és a terület szerkezetének megértéséhez érdemes röviden átt</w:t>
      </w:r>
      <w:r>
        <w:t xml:space="preserve">ekinteni a Huszárlaktanya területének történelmét. A Császári és Királyi 11. Huszárezrednek otthont adó épületegyüttest 1889. október 22-én adták át, </w:t>
      </w:r>
      <w:r>
        <w:rPr>
          <w:b/>
        </w:rPr>
        <w:t>akkoriban az egyik legnagyobb ilyen jellegű komplexum volt Magyarországon</w:t>
      </w:r>
      <w:r>
        <w:t>. Parancsnoki épületén kívül háro</w:t>
      </w:r>
      <w:r>
        <w:t xml:space="preserve">m tiszti lakóépület, hat legénységi és további húsz kiszolgáló épület – többek között istálló, raktár és kórház – állt a területén. </w:t>
      </w:r>
      <w:r>
        <w:rPr>
          <w:b/>
        </w:rPr>
        <w:t>A második világháború idején több épületét is bombatalálat érte, majd 1945-től kezdve szovjet csapatok állomásoztak a terüle</w:t>
      </w:r>
      <w:r>
        <w:rPr>
          <w:b/>
        </w:rPr>
        <w:t>tén.</w:t>
      </w:r>
      <w:r>
        <w:t xml:space="preserve"> Az 1945 és 1990 közötti időszakban az épületek állapota a folyamatos szakszerűtlen használat, valamint a karbantartás hiánya miatt jelentősen leromlott. </w:t>
      </w:r>
      <w:r>
        <w:rPr>
          <w:b/>
        </w:rPr>
        <w:t>A csapatok kivonulása óta a komplexum nagy része – az Apáczai Csere János Alapítvány által felújít</w:t>
      </w:r>
      <w:r>
        <w:rPr>
          <w:b/>
        </w:rPr>
        <w:t>ott törzsépületen kívül – üresen és kihasználatlanul áll. A dualizmus idején felépült lovassági laktanyából mára csak néhány épület maradt meg, így a törzsépület, a két tiszti, az altiszti, valamint a hat legénységi épület mellett mindössze egy istálló, az</w:t>
      </w:r>
      <w:r>
        <w:rPr>
          <w:b/>
        </w:rPr>
        <w:t xml:space="preserve"> egykori markotányos épület, mosókonyha, pótraktár és börtön épülete.</w:t>
      </w:r>
    </w:p>
    <w:p w:rsidR="00315841" w:rsidRDefault="007A23BB">
      <w:pPr>
        <w:spacing w:before="240"/>
        <w:jc w:val="both"/>
        <w:rPr>
          <w:b/>
        </w:rPr>
      </w:pPr>
      <w:r>
        <w:t xml:space="preserve">A hatályos rendezési terv, valamint a korábbi funkcionális felosztás alapján </w:t>
      </w:r>
      <w:r>
        <w:rPr>
          <w:b/>
        </w:rPr>
        <w:t>a terület két részre osztható:</w:t>
      </w:r>
    </w:p>
    <w:p w:rsidR="00315841" w:rsidRDefault="007A23BB">
      <w:pPr>
        <w:pStyle w:val="Cmsor3"/>
        <w:rPr>
          <w:smallCaps w:val="0"/>
        </w:rPr>
      </w:pPr>
      <w:r>
        <w:t>„A” terület</w:t>
      </w:r>
    </w:p>
    <w:p w:rsidR="00315841" w:rsidRDefault="007A23BB">
      <w:pPr>
        <w:spacing w:before="240"/>
        <w:jc w:val="both"/>
      </w:pPr>
      <w:r>
        <w:t>Az úgynevezett „A” terület a délnyugati oldalon található, közel t</w:t>
      </w:r>
      <w:r>
        <w:t xml:space="preserve">íz hektárt foglal magában. A „B” területhez viszonyítva </w:t>
      </w:r>
      <w:r>
        <w:rPr>
          <w:b/>
        </w:rPr>
        <w:t>jobb állapotban van, igaz ez a rajta található tíz épületre, valamint a zöldterületekre is</w:t>
      </w:r>
      <w:r>
        <w:t>. Itt található a parancsnoki épület, amely felújítása óta folyamatosan használatban van. A többi épület a szo</w:t>
      </w:r>
      <w:r>
        <w:t xml:space="preserve">vjetek távozása óta használaton kívül van, azonban még </w:t>
      </w:r>
      <w:r>
        <w:rPr>
          <w:b/>
        </w:rPr>
        <w:t>felújíthatók, a tetőszerkezet javításával a további állapotromlás megelőzhető</w:t>
      </w:r>
      <w:r>
        <w:t>. A zöldterületek alapszintű gondozásáról a város gondoskodik (SZOVA Szombathelyi Vagyonhasznosító és Városgazdálkodási Zrt.</w:t>
      </w:r>
      <w:r>
        <w:t xml:space="preserve">), azonban </w:t>
      </w:r>
      <w:r>
        <w:rPr>
          <w:b/>
        </w:rPr>
        <w:t>a „B” területhez közeli részeken már megjelentek gyorsan terjeszkedő, invazív növényfajok</w:t>
      </w:r>
      <w:r>
        <w:t>, mint például az akác, valamint az ecetfa. A terület főbb adatai: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240" w:after="0"/>
        <w:contextualSpacing/>
        <w:jc w:val="both"/>
      </w:pPr>
      <w:r>
        <w:rPr>
          <w:color w:val="000000"/>
        </w:rPr>
        <w:t>területe: 9,4 ha;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teljes beépített terület: 8 253 m</w:t>
      </w:r>
      <w:r>
        <w:rPr>
          <w:color w:val="000000"/>
          <w:vertAlign w:val="superscript"/>
        </w:rPr>
        <w:t>2</w:t>
      </w:r>
      <w:r>
        <w:rPr>
          <w:color w:val="000000"/>
        </w:rPr>
        <w:t>;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beépítési arány (a meglévő épületek</w:t>
      </w:r>
      <w:r>
        <w:rPr>
          <w:color w:val="000000"/>
        </w:rPr>
        <w:t>kel): 8,8%;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rendezési terv szerinti besorolás: településközpont vegyes terület;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beépítési mód: szabadon álló;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beépíthetőségi arány: 40%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0"/>
        <w:contextualSpacing/>
        <w:jc w:val="both"/>
      </w:pPr>
      <w:r>
        <w:rPr>
          <w:color w:val="000000"/>
        </w:rPr>
        <w:t>max. magasság: 12 m.</w:t>
      </w:r>
    </w:p>
    <w:p w:rsidR="00315841" w:rsidRDefault="007A23BB">
      <w:pPr>
        <w:pStyle w:val="Cmsor3"/>
        <w:rPr>
          <w:smallCaps w:val="0"/>
        </w:rPr>
      </w:pPr>
      <w:r>
        <w:t>„B” terület</w:t>
      </w:r>
    </w:p>
    <w:p w:rsidR="00315841" w:rsidRDefault="007A23BB">
      <w:pPr>
        <w:spacing w:before="240"/>
        <w:jc w:val="both"/>
      </w:pPr>
      <w:r>
        <w:rPr>
          <w:b/>
        </w:rPr>
        <w:t>A „B” terület állapota összességében rosszabb. A rajta található három épület nem</w:t>
      </w:r>
      <w:r>
        <w:t xml:space="preserve"> – vagy csak aránytalan mértékű többletforrás igénybevételével – </w:t>
      </w:r>
      <w:r>
        <w:rPr>
          <w:b/>
        </w:rPr>
        <w:t>menthető meg</w:t>
      </w:r>
      <w:r>
        <w:t>. A zöldterületek nagy részén javarészt invazív fajokból álló, gyorsan terjeszkedő bozótos, erdős foltok alakultak ki. Az alapszintű karbantartását – hulladék összegyűjtése, kiseb</w:t>
      </w:r>
      <w:r>
        <w:t>b tisztítások – ezen a területen is a SZOVA végzi. A terület főbb adatai: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240" w:after="0"/>
        <w:contextualSpacing/>
      </w:pPr>
      <w:r>
        <w:rPr>
          <w:color w:val="000000"/>
        </w:rPr>
        <w:t>területe: 11,9 ha;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teljes beépített terület: 6 021 m</w:t>
      </w:r>
      <w:r>
        <w:rPr>
          <w:color w:val="000000"/>
          <w:vertAlign w:val="superscript"/>
        </w:rPr>
        <w:t>2</w:t>
      </w:r>
      <w:r>
        <w:rPr>
          <w:color w:val="000000"/>
        </w:rPr>
        <w:t>;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beépítési arány (a meglévő épületekkel): 5,07%;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 xml:space="preserve">Mikszáth utca vonalától délre: kisvárosias lakóterület, szabadon álló beépítés </w:t>
      </w:r>
      <w:r>
        <w:rPr>
          <w:color w:val="000000"/>
        </w:rPr>
        <w:t>(max. magasság: 12,5 m, 40%, beépítettség, 4 000 m</w:t>
      </w:r>
      <w:r>
        <w:rPr>
          <w:color w:val="000000"/>
          <w:vertAlign w:val="superscript"/>
        </w:rPr>
        <w:t>2</w:t>
      </w:r>
      <w:r>
        <w:rPr>
          <w:color w:val="000000"/>
        </w:rPr>
        <w:t xml:space="preserve"> lehetséges építési terület);</w:t>
      </w:r>
    </w:p>
    <w:p w:rsidR="00315841" w:rsidRDefault="007A23B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before="0"/>
        <w:contextualSpacing/>
        <w:jc w:val="both"/>
      </w:pPr>
      <w:r>
        <w:rPr>
          <w:color w:val="000000"/>
        </w:rPr>
        <w:t>Mikszáth utca vonalától északra: kertvárosias lakóterület, szabadon álló beépítés (max. magasság: 5 m, 30%, beépítettség, 900 m</w:t>
      </w:r>
      <w:r>
        <w:rPr>
          <w:color w:val="000000"/>
          <w:vertAlign w:val="superscript"/>
        </w:rPr>
        <w:t>2</w:t>
      </w:r>
      <w:r>
        <w:rPr>
          <w:color w:val="000000"/>
        </w:rPr>
        <w:t xml:space="preserve"> lehetséges építési terület).</w:t>
      </w:r>
    </w:p>
    <w:p w:rsidR="00315841" w:rsidRDefault="007A23BB">
      <w:pPr>
        <w:pStyle w:val="Cmsor3"/>
        <w:rPr>
          <w:smallCaps w:val="0"/>
        </w:rPr>
      </w:pPr>
      <w:r>
        <w:t>Az épületek területe</w:t>
      </w:r>
    </w:p>
    <w:p w:rsidR="00315841" w:rsidRDefault="007A23BB">
      <w:pPr>
        <w:spacing w:before="240"/>
      </w:pPr>
      <w:r>
        <w:t>A Huszárlaktanya épületeinek területét az alábbi táblázatban foglaltuk össze (m2):</w:t>
      </w:r>
    </w:p>
    <w:tbl>
      <w:tblPr>
        <w:tblStyle w:val="a0"/>
        <w:tblW w:w="9134" w:type="dxa"/>
        <w:jc w:val="center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92"/>
        <w:gridCol w:w="1654"/>
        <w:gridCol w:w="1622"/>
        <w:gridCol w:w="1622"/>
        <w:gridCol w:w="1622"/>
        <w:gridCol w:w="1622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</w:pPr>
            <w:r>
              <w:t>Használat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jc w:val="center"/>
            </w:pPr>
            <w:r>
              <w:t>Épület neve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center"/>
            </w:pPr>
            <w:r>
              <w:t>Alagsor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center"/>
            </w:pPr>
            <w:r>
              <w:t>Földszint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center"/>
            </w:pPr>
            <w:r>
              <w:t>Első emelet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center"/>
            </w:pPr>
            <w:r>
              <w:t xml:space="preserve">Teljes </w:t>
            </w:r>
          </w:p>
          <w:p w:rsidR="00315841" w:rsidRDefault="007A23BB">
            <w:pPr>
              <w:jc w:val="center"/>
            </w:pPr>
            <w:r>
              <w:t>alapterület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Használatban use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1. Parancsnoki épület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151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729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729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1 609</w:t>
            </w:r>
          </w:p>
        </w:tc>
      </w:tr>
      <w:tr w:rsidR="00315841" w:rsidTr="00315841">
        <w:trPr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Haszn. kívül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2. Főtiszti épület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895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895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1 790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Haszn. kívül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3. Tiszti épület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106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928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860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1 894</w:t>
            </w:r>
          </w:p>
        </w:tc>
      </w:tr>
      <w:tr w:rsidR="00315841" w:rsidTr="00315841">
        <w:trPr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Haszn. kívül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4. Altiszti épület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164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418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418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1 000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Haszn. kívül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5. Legénységi épület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884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884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1 788</w:t>
            </w:r>
          </w:p>
        </w:tc>
      </w:tr>
      <w:tr w:rsidR="00315841" w:rsidTr="00315841">
        <w:trPr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Haszn. kívül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6. Legénységi épület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892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892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1 804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Haszn. kívül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7. Legénységi épület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893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893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1 806</w:t>
            </w:r>
          </w:p>
        </w:tc>
      </w:tr>
      <w:tr w:rsidR="00315841" w:rsidTr="00315841">
        <w:trPr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Haszn. kívül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8. Legénységi épület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895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895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1 810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Haszn. kívül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9. Legénységi épület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792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792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1 604</w:t>
            </w:r>
          </w:p>
        </w:tc>
      </w:tr>
      <w:tr w:rsidR="00315841" w:rsidTr="00315841">
        <w:trPr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Haszn. kívül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10. Legénységi épület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897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897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1 814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Haszn. kívül</w:t>
            </w:r>
          </w:p>
        </w:tc>
        <w:tc>
          <w:tcPr>
            <w:tcW w:w="1654" w:type="dxa"/>
            <w:vAlign w:val="center"/>
          </w:tcPr>
          <w:p w:rsidR="00315841" w:rsidRDefault="007A23BB">
            <w:pPr>
              <w:rPr>
                <w:color w:val="000000"/>
              </w:rPr>
            </w:pPr>
            <w:r>
              <w:rPr>
                <w:color w:val="000000"/>
              </w:rPr>
              <w:t>11. Istálló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899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899</w:t>
            </w:r>
          </w:p>
        </w:tc>
      </w:tr>
      <w:tr w:rsidR="00315841" w:rsidTr="00315841">
        <w:trPr>
          <w:trHeight w:val="680"/>
          <w:jc w:val="center"/>
        </w:trPr>
        <w:tc>
          <w:tcPr>
            <w:tcW w:w="992" w:type="dxa"/>
            <w:vAlign w:val="center"/>
          </w:tcPr>
          <w:p w:rsidR="00315841" w:rsidRDefault="007A23B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Összesen</w:t>
            </w:r>
          </w:p>
        </w:tc>
        <w:tc>
          <w:tcPr>
            <w:tcW w:w="1654" w:type="dxa"/>
            <w:vAlign w:val="center"/>
          </w:tcPr>
          <w:p w:rsidR="00315841" w:rsidRDefault="00315841">
            <w:pPr>
              <w:rPr>
                <w:color w:val="000000"/>
              </w:rPr>
            </w:pPr>
          </w:p>
        </w:tc>
        <w:tc>
          <w:tcPr>
            <w:tcW w:w="1622" w:type="dxa"/>
            <w:vAlign w:val="center"/>
          </w:tcPr>
          <w:p w:rsidR="00315841" w:rsidRDefault="007A23BB">
            <w:pPr>
              <w:spacing w:after="100" w:line="276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541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spacing w:after="100" w:line="276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9 122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spacing w:after="100" w:line="276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8 155</w:t>
            </w:r>
          </w:p>
        </w:tc>
        <w:tc>
          <w:tcPr>
            <w:tcW w:w="1622" w:type="dxa"/>
            <w:vAlign w:val="center"/>
          </w:tcPr>
          <w:p w:rsidR="00315841" w:rsidRDefault="007A23BB">
            <w:pPr>
              <w:spacing w:after="100" w:line="276" w:lineRule="auto"/>
              <w:jc w:val="right"/>
              <w:rPr>
                <w:color w:val="000000"/>
              </w:rPr>
            </w:pPr>
            <w:r>
              <w:rPr>
                <w:color w:val="000000"/>
              </w:rPr>
              <w:t>17 818</w:t>
            </w:r>
          </w:p>
        </w:tc>
      </w:tr>
    </w:tbl>
    <w:p w:rsidR="00315841" w:rsidRDefault="007A23BB">
      <w:pPr>
        <w:pStyle w:val="Cmsor3"/>
        <w:spacing w:before="240" w:after="240"/>
        <w:rPr>
          <w:smallCaps w:val="0"/>
        </w:rPr>
      </w:pPr>
      <w:r>
        <w:t>Talajszennyeződés, kármentesítés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Lőszermentesítést a magyar Honvédség és Honvédelmi Minisztérium végzett a ‘90-es években, ezekről dokumentumok nem állnak a Város rendelkezésére. Bár 1992-ben végeztek talajtisztítást, talajlevegőztetést, a talaj illetve talajvíz szennyezettség tekintetébe</w:t>
      </w:r>
      <w:r>
        <w:rPr>
          <w:color w:val="000000"/>
        </w:rPr>
        <w:t xml:space="preserve">n sem beszélhetünk a probléma teljes megoldásáról, </w:t>
      </w:r>
      <w:r>
        <w:rPr>
          <w:b/>
          <w:color w:val="000000"/>
        </w:rPr>
        <w:t>a 2005-ben végeztetett kutatófúrások tanúsága szerint a korábbi kármentesítési tevékenység ellenére a szénhidrogén szennyezés továbbra sem szűnt meg</w:t>
      </w:r>
      <w:r>
        <w:rPr>
          <w:color w:val="000000"/>
        </w:rPr>
        <w:t>, az „A” és ”B” terület nagy részén határérték alatti, az</w:t>
      </w:r>
      <w:r>
        <w:rPr>
          <w:color w:val="000000"/>
        </w:rPr>
        <w:t xml:space="preserve"> egykori akkumulátortöltő és vegyianyag tároló területein határérték feletti szennyeződést regisztráltak. Az akkori fúrások adatai az egész terület szempontjából releváns következtetések levonására nem alkalmasak – ahhoz nagyobb szabású részletes kutatás l</w:t>
      </w:r>
      <w:r>
        <w:rPr>
          <w:color w:val="000000"/>
        </w:rPr>
        <w:t xml:space="preserve">enne szükséges –, azonban felhívják a figyelmet arra, hogy a terület hasznosítása során erre a problémára – főként a négy lehatárolt zónát érintően – figyelemmel kell lenni. </w:t>
      </w:r>
    </w:p>
    <w:p w:rsidR="00315841" w:rsidRDefault="007A23BB">
      <w:pPr>
        <w:pStyle w:val="Cmsor3"/>
        <w:spacing w:before="240" w:after="240"/>
        <w:rPr>
          <w:smallCaps w:val="0"/>
        </w:rPr>
      </w:pPr>
      <w:r>
        <w:t>Átjárhatóság</w:t>
      </w:r>
    </w:p>
    <w:p w:rsidR="00315841" w:rsidRDefault="007A23BB">
      <w:pPr>
        <w:spacing w:before="240"/>
        <w:jc w:val="both"/>
      </w:pPr>
      <w:r>
        <w:t xml:space="preserve">A terület jelenleg lakosság elől </w:t>
      </w:r>
      <w:r>
        <w:rPr>
          <w:b/>
        </w:rPr>
        <w:t>jelenleg le van zárva</w:t>
      </w:r>
      <w:r>
        <w:t>, amely – mint</w:t>
      </w:r>
      <w:r>
        <w:t xml:space="preserve"> az már említésre került – közlekedési szempontból is problémát jelent. Részben ebből kifolyólag a Huszárlaktanya fizikailag és mentális szempontból is „fehér foltként” jelenik meg a városi szövetben, gyakorlatilag egy funkció nélküli, ám </w:t>
      </w:r>
      <w:r>
        <w:rPr>
          <w:b/>
        </w:rPr>
        <w:t>remek adottságokk</w:t>
      </w:r>
      <w:r>
        <w:rPr>
          <w:b/>
        </w:rPr>
        <w:t>al rendelkező, nagy kiterjedésű terület egy olyan városrészben, ahol mind közösségi, mind rekreációs célú területekre nagy szükség lenne</w:t>
      </w:r>
      <w:r>
        <w:t>. Jelenleg a parancsnoki épület kapuján kívül a Huszár út irányából három – általában zárva lévő – vaskapun lehetne megk</w:t>
      </w:r>
      <w:r>
        <w:t xml:space="preserve">özelíteni a területet, míg a Lovas utca irányából öt helyen található bejárat. Érdemes azonban megjegyezni, hogy </w:t>
      </w:r>
      <w:r>
        <w:rPr>
          <w:b/>
        </w:rPr>
        <w:t>míg a Huszár út felőli oldalon szép, városképileg meghatározó, jobb állapotú kerítés található, addig a Lovas utca irányából leromlott állapotú</w:t>
      </w:r>
      <w:r>
        <w:rPr>
          <w:b/>
        </w:rPr>
        <w:t>, városképet rontó betonkerítés áll. A kapuk jól kiépített beton- és aszfaltburkolattal ellátott belső úthálózatra nyílnak, amelyeket a terület revitalizálása során hasznosítani lehetne.</w:t>
      </w:r>
    </w:p>
    <w:p w:rsidR="00315841" w:rsidRDefault="007A23BB">
      <w:pPr>
        <w:rPr>
          <w:color w:val="0B5394"/>
          <w:sz w:val="26"/>
          <w:szCs w:val="26"/>
        </w:rPr>
      </w:pPr>
      <w:r>
        <w:br w:type="page"/>
      </w:r>
    </w:p>
    <w:p w:rsidR="00315841" w:rsidRDefault="007A23BB">
      <w:pPr>
        <w:pStyle w:val="Cmsor1"/>
        <w:spacing w:after="240"/>
        <w:rPr>
          <w:smallCaps w:val="0"/>
        </w:rPr>
      </w:pPr>
      <w:bookmarkStart w:id="7" w:name="_3dy6vkm" w:colFirst="0" w:colLast="0"/>
      <w:bookmarkEnd w:id="7"/>
      <w:r>
        <w:t>2. Fejezet / Célkitűzések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240"/>
        <w:jc w:val="both"/>
        <w:rPr>
          <w:color w:val="000000"/>
        </w:rPr>
      </w:pPr>
      <w:r>
        <w:rPr>
          <w:color w:val="000000"/>
        </w:rPr>
        <w:t>Megalakult a Helyi Támogató Csoport (HTCS</w:t>
      </w:r>
      <w:r>
        <w:rPr>
          <w:color w:val="000000"/>
        </w:rPr>
        <w:t>), amely a transznacionális URBACT MAPS hálózatainak közös megközelítésére alapozva végzi a munkáját. A HTCS számos műhelytalálkozót tartott 2016-ban és 2017-ben, amely hozzájárult a kihívások konszenzuson alapuló elemzéséhez, valamint a közös jövőkép és a</w:t>
      </w:r>
      <w:r>
        <w:rPr>
          <w:color w:val="000000"/>
        </w:rPr>
        <w:t>z IAT célkitűzéseinek kialakításához.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240"/>
        <w:jc w:val="both"/>
        <w:rPr>
          <w:color w:val="000000"/>
        </w:rPr>
      </w:pPr>
      <w:r>
        <w:rPr>
          <w:color w:val="000000"/>
        </w:rPr>
        <w:t xml:space="preserve">Az Akcióterv alapja az a közös vízió, hogy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240"/>
        <w:jc w:val="center"/>
        <w:rPr>
          <w:color w:val="000000"/>
        </w:rPr>
      </w:pPr>
      <w:r>
        <w:rPr>
          <w:b/>
          <w:color w:val="000000"/>
        </w:rPr>
        <w:t>a terület a város szerves részévé válik</w:t>
      </w:r>
      <w:r>
        <w:rPr>
          <w:color w:val="000000"/>
        </w:rPr>
        <w:t>, és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240"/>
        <w:jc w:val="center"/>
        <w:rPr>
          <w:color w:val="000000"/>
        </w:rPr>
      </w:pPr>
      <w:r>
        <w:rPr>
          <w:b/>
          <w:color w:val="000000"/>
        </w:rPr>
        <w:t>épületei, terei hasznosításán keresztül hozzájárul Szombathely fenntartható fejlődéséhez</w:t>
      </w:r>
      <w:r>
        <w:rPr>
          <w:color w:val="000000"/>
        </w:rPr>
        <w:t>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240"/>
        <w:jc w:val="center"/>
        <w:rPr>
          <w:color w:val="000000"/>
        </w:rPr>
      </w:pPr>
      <w:r>
        <w:rPr>
          <w:color w:val="000000"/>
        </w:rPr>
        <w:t xml:space="preserve">A cél egy olyan, </w:t>
      </w:r>
      <w:r>
        <w:rPr>
          <w:b/>
          <w:color w:val="000000"/>
        </w:rPr>
        <w:t>alulról építkező lakossági részvételen alapuló folyamat elindítása, mely által a terület egy új zöld városi alközponttá alakul át</w:t>
      </w:r>
      <w:r>
        <w:rPr>
          <w:color w:val="000000"/>
        </w:rPr>
        <w:t xml:space="preserve"> az alábbi szempontok mentén:</w:t>
      </w:r>
    </w:p>
    <w:tbl>
      <w:tblPr>
        <w:tblStyle w:val="a1"/>
        <w:tblW w:w="9586" w:type="dxa"/>
        <w:jc w:val="center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A0" w:firstRow="1" w:lastRow="0" w:firstColumn="1" w:lastColumn="0" w:noHBand="0" w:noVBand="1"/>
      </w:tblPr>
      <w:tblGrid>
        <w:gridCol w:w="3544"/>
        <w:gridCol w:w="3021"/>
        <w:gridCol w:w="3021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hanging="720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Zárt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spacing w:line="276" w:lineRule="auto"/>
              <w:ind w:left="983" w:hanging="98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hidden="0" allowOverlap="1">
                      <wp:simplePos x="0" y="0"/>
                      <wp:positionH relativeFrom="margin">
                        <wp:posOffset>635000</wp:posOffset>
                      </wp:positionH>
                      <wp:positionV relativeFrom="paragraph">
                        <wp:posOffset>88900</wp:posOffset>
                      </wp:positionV>
                      <wp:extent cx="561975" cy="25400"/>
                      <wp:effectExtent l="0" t="0" r="0" b="0"/>
                      <wp:wrapNone/>
                      <wp:docPr id="4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5065013" y="3780000"/>
                                <a:ext cx="5619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rnd" cmpd="sng">
                                <a:solidFill>
                                  <a:schemeClr val="accent1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EE53BD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Egyenes összekötő nyíllal 4" o:spid="_x0000_s1026" type="#_x0000_t32" style="position:absolute;margin-left:50pt;margin-top:7pt;width:44.25pt;height:2pt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" strokecolor="#4f81bd [3204]" strokeweight="1.5pt">
                      <v:stroke startarrowwidth="narrow" startarrowlength="short" endarrow="block" endcap="round"/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hanging="7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Nyitott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hanging="720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Elavult, használhatatlan és veszélyes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spacing w:line="276" w:lineRule="auto"/>
              <w:ind w:left="983" w:hanging="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hidden="0" allowOverlap="1">
                      <wp:simplePos x="0" y="0"/>
                      <wp:positionH relativeFrom="margin">
                        <wp:posOffset>635000</wp:posOffset>
                      </wp:positionH>
                      <wp:positionV relativeFrom="paragraph">
                        <wp:posOffset>88900</wp:posOffset>
                      </wp:positionV>
                      <wp:extent cx="561975" cy="25400"/>
                      <wp:effectExtent l="0" t="0" r="0" b="0"/>
                      <wp:wrapNone/>
                      <wp:docPr id="5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5065013" y="3780000"/>
                                <a:ext cx="5619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rnd" cmpd="sng">
                                <a:solidFill>
                                  <a:schemeClr val="accent1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5AA3B15" id="Egyenes összekötő nyíllal 5" o:spid="_x0000_s1026" type="#_x0000_t32" style="position:absolute;margin-left:50pt;margin-top:7pt;width:44.25pt;height:2pt;z-index:251660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" strokecolor="#4f81bd [3204]" strokeweight="1.5pt">
                      <v:stroke startarrowwidth="narrow" startarrowlength="short" endarrow="block" endcap="round"/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hanging="7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Megújuló és hasznos</w:t>
            </w:r>
          </w:p>
        </w:tc>
      </w:tr>
      <w:tr w:rsidR="00315841" w:rsidTr="00315841">
        <w:trPr>
          <w:trHeight w:val="56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hanging="720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 xml:space="preserve">Jelentés nélküli, “fehér folt” 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spacing w:line="276" w:lineRule="auto"/>
              <w:ind w:left="983" w:hanging="98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hidden="0" allowOverlap="1">
                      <wp:simplePos x="0" y="0"/>
                      <wp:positionH relativeFrom="margin">
                        <wp:posOffset>635000</wp:posOffset>
                      </wp:positionH>
                      <wp:positionV relativeFrom="paragraph">
                        <wp:posOffset>76200</wp:posOffset>
                      </wp:positionV>
                      <wp:extent cx="561975" cy="25400"/>
                      <wp:effectExtent l="0" t="0" r="0" b="0"/>
                      <wp:wrapNone/>
                      <wp:docPr id="1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5065013" y="3780000"/>
                                <a:ext cx="5619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rnd" cmpd="sng">
                                <a:solidFill>
                                  <a:schemeClr val="accent1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2471962" id="Egyenes összekötő nyíllal 1" o:spid="_x0000_s1026" type="#_x0000_t32" style="position:absolute;margin-left:50pt;margin-top:6pt;width:44.25pt;height:2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" strokecolor="#4f81bd [3204]" strokeweight="1.5pt">
                      <v:stroke startarrowwidth="narrow" startarrowlength="short" endarrow="block" endcap="round"/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hanging="7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Szimbolikus jelentőségű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hanging="720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Fegyverek, falak, tégla és beton felületek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spacing w:line="276" w:lineRule="auto"/>
              <w:ind w:left="983" w:hanging="9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hidden="0" allowOverlap="1">
                      <wp:simplePos x="0" y="0"/>
                      <wp:positionH relativeFrom="margin">
                        <wp:posOffset>660400</wp:posOffset>
                      </wp:positionH>
                      <wp:positionV relativeFrom="paragraph">
                        <wp:posOffset>127000</wp:posOffset>
                      </wp:positionV>
                      <wp:extent cx="561975" cy="25400"/>
                      <wp:effectExtent l="0" t="0" r="0" b="0"/>
                      <wp:wrapNone/>
                      <wp:docPr id="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5065013" y="3780000"/>
                                <a:ext cx="5619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rnd" cmpd="sng">
                                <a:solidFill>
                                  <a:schemeClr val="accent1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5909E3" id="Egyenes összekötő nyíllal 3" o:spid="_x0000_s1026" type="#_x0000_t32" style="position:absolute;margin-left:52pt;margin-top:10pt;width:44.25pt;height:2pt;z-index:2516623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" strokecolor="#4f81bd [3204]" strokeweight="1.5pt">
                      <v:stroke startarrowwidth="narrow" startarrowlength="short" endarrow="block" endcap="round"/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hanging="7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Élő zöld felületek, közösségi terek, kultúra, művészet</w:t>
            </w:r>
          </w:p>
        </w:tc>
      </w:tr>
    </w:tbl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360" w:after="360"/>
        <w:jc w:val="both"/>
        <w:rPr>
          <w:color w:val="000000"/>
        </w:rPr>
      </w:pPr>
      <w:r>
        <w:rPr>
          <w:color w:val="000000"/>
        </w:rPr>
        <w:t xml:space="preserve">A laktanyaterület és az épületegyüttes vonatkozásában a </w:t>
      </w:r>
      <w:r>
        <w:rPr>
          <w:b/>
          <w:color w:val="000000"/>
        </w:rPr>
        <w:t>HTCS több ülésén műhelymunka keretében foglalkozott a részletesebb probléma- és célelemzéssel</w:t>
      </w:r>
      <w:r>
        <w:rPr>
          <w:color w:val="000000"/>
        </w:rPr>
        <w:t xml:space="preserve">. Az alábbi cél-hierarchia került meghatározásra: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334221" cy="3087673"/>
            <wp:effectExtent l="0" t="0" r="0" b="0"/>
            <wp:docPr id="10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9"/>
                    <a:srcRect l="10583" t="9134" r="11445" b="10592"/>
                    <a:stretch>
                      <a:fillRect/>
                    </a:stretch>
                  </pic:blipFill>
                  <pic:spPr>
                    <a:xfrm>
                      <a:off x="0" y="0"/>
                      <a:ext cx="5334221" cy="30876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color w:val="000000"/>
        </w:rPr>
      </w:pPr>
      <w:r>
        <w:rPr>
          <w:color w:val="000000"/>
        </w:rPr>
        <w:t>A Laktanyaterület teljes és magas minőségű hasznosításának átfogó célja tehát az alábbi két fő célra bontható:</w:t>
      </w:r>
    </w:p>
    <w:p w:rsidR="00315841" w:rsidRDefault="007A23B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b/>
          <w:color w:val="000000"/>
        </w:rPr>
        <w:t>A terület szerves részévé válik a városnak és a közösségnek</w:t>
      </w:r>
      <w:r>
        <w:rPr>
          <w:color w:val="000000"/>
        </w:rPr>
        <w:t xml:space="preserve"> – elemei, azaz az épületek és a köztük levő tér hozzájárul a város fenntartható fejlődéséhez. Egyúttal a lakosság bevonásával és új funkciók telepítésével (lakóterület, szolgáltatások, kulturális és egyéb új funkciók) </w:t>
      </w:r>
      <w:r>
        <w:rPr>
          <w:b/>
          <w:color w:val="000000"/>
        </w:rPr>
        <w:t>a terület egy új városrészi és városi</w:t>
      </w:r>
      <w:r>
        <w:rPr>
          <w:b/>
          <w:color w:val="000000"/>
        </w:rPr>
        <w:t xml:space="preserve"> központtá válik</w:t>
      </w:r>
      <w:r>
        <w:rPr>
          <w:color w:val="000000"/>
        </w:rPr>
        <w:t>.</w:t>
      </w:r>
    </w:p>
    <w:p w:rsidR="00315841" w:rsidRDefault="007A23B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b/>
          <w:color w:val="000000"/>
        </w:rPr>
        <w:t>Előnyös versenyhelyzet megteremtése</w:t>
      </w:r>
      <w:r>
        <w:rPr>
          <w:color w:val="000000"/>
        </w:rPr>
        <w:t xml:space="preserve"> a terület számára: az akcióterv által nem befolyásolható külső tényezők (kihasználatlan városi ingatlanok száma, fejlesztési források rendelkezésre állása) mellett a </w:t>
      </w:r>
      <w:r>
        <w:rPr>
          <w:b/>
          <w:color w:val="000000"/>
        </w:rPr>
        <w:t>terület és a rajta található épülete</w:t>
      </w:r>
      <w:r>
        <w:rPr>
          <w:b/>
          <w:color w:val="000000"/>
        </w:rPr>
        <w:t>k fizikai és környezeti állapotának javítása</w:t>
      </w:r>
      <w:r>
        <w:rPr>
          <w:color w:val="000000"/>
        </w:rPr>
        <w:t xml:space="preserve">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 xml:space="preserve">A HTCS javaslata, hogy – habár a teljes terület egy szerves egységet képez – a 2164/8. és 2164/11. helyrajzi számú </w:t>
      </w:r>
      <w:r>
        <w:rPr>
          <w:b/>
          <w:color w:val="000000"/>
        </w:rPr>
        <w:t>„A” terület</w:t>
      </w:r>
      <w:r>
        <w:rPr>
          <w:color w:val="000000"/>
        </w:rPr>
        <w:t xml:space="preserve">, valamint 2164/13. helyrajzi számú </w:t>
      </w:r>
      <w:r>
        <w:rPr>
          <w:b/>
          <w:color w:val="000000"/>
        </w:rPr>
        <w:t>„B” terület</w:t>
      </w:r>
      <w:r>
        <w:rPr>
          <w:color w:val="000000"/>
        </w:rPr>
        <w:t xml:space="preserve"> eltérő módon, de </w:t>
      </w:r>
      <w:r>
        <w:rPr>
          <w:b/>
          <w:color w:val="000000"/>
        </w:rPr>
        <w:t>azonos célrendszerben</w:t>
      </w:r>
      <w:r>
        <w:rPr>
          <w:color w:val="000000"/>
        </w:rPr>
        <w:t xml:space="preserve"> kezelendő. 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Az „</w:t>
      </w:r>
      <w:r>
        <w:rPr>
          <w:b/>
          <w:color w:val="000000"/>
        </w:rPr>
        <w:t>A” terület épületállománya és nyitott terei elsősorban a jelenleg valódi alközponttal nem rendelkező városrész kulturális- oktatási és közfunkcióinak</w:t>
      </w:r>
      <w:r>
        <w:rPr>
          <w:color w:val="000000"/>
        </w:rPr>
        <w:t xml:space="preserve"> erősítésére alkalmasak, míg a „</w:t>
      </w:r>
      <w:r>
        <w:rPr>
          <w:b/>
          <w:color w:val="000000"/>
        </w:rPr>
        <w:t>B” terület esetében a lakófunkció me</w:t>
      </w:r>
      <w:r>
        <w:rPr>
          <w:b/>
          <w:color w:val="000000"/>
        </w:rPr>
        <w:t xml:space="preserve">gtelepítése, illetve a minőségi zöldterületek jelenleg alacsony arányának növelése </w:t>
      </w:r>
      <w:r>
        <w:rPr>
          <w:color w:val="000000"/>
        </w:rPr>
        <w:t xml:space="preserve">jelentene olyan hasznosítást, amely a jelenlegi városrészi környezetben szükségesnek tekinthető. A hátsó, </w:t>
      </w:r>
      <w:r>
        <w:rPr>
          <w:b/>
          <w:color w:val="000000"/>
        </w:rPr>
        <w:t>„B” terület</w:t>
      </w:r>
      <w:r>
        <w:rPr>
          <w:color w:val="000000"/>
        </w:rPr>
        <w:t xml:space="preserve"> </w:t>
      </w:r>
      <w:r>
        <w:rPr>
          <w:b/>
          <w:color w:val="000000"/>
        </w:rPr>
        <w:t>ingatlan telekalakítás során kisebb egységekre osztható</w:t>
      </w:r>
      <w:r>
        <w:rPr>
          <w:color w:val="000000"/>
        </w:rPr>
        <w:t xml:space="preserve">. Az így létrejött kisebb </w:t>
      </w:r>
      <w:r>
        <w:rPr>
          <w:b/>
          <w:color w:val="000000"/>
        </w:rPr>
        <w:t>ingatlanok eladása, és azokon új épületek létrehozása is jelentősen könnyebbé</w:t>
      </w:r>
      <w:r>
        <w:rPr>
          <w:color w:val="000000"/>
        </w:rPr>
        <w:t xml:space="preserve"> válik. </w:t>
      </w:r>
    </w:p>
    <w:p w:rsidR="00315841" w:rsidRDefault="007A23BB">
      <w:pPr>
        <w:spacing w:before="240"/>
        <w:jc w:val="both"/>
      </w:pPr>
      <w:r>
        <w:t>A Huszárlaktanya területének méreteiből, épületállományának jelenlegi állagából kifolyólag jelentős forrásigénnyel jár annak tisztántartása, áll</w:t>
      </w:r>
      <w:r>
        <w:t xml:space="preserve">agmegóvása, ideiglenes, illetve hosszú távú hasznosítása. Pályázati források bevonása esetén is korlátozottak a lehetőségek, ezért a pénzügyi lehetőségek bővítése, valamint a terület értékeinek megőrzése érdekében a </w:t>
      </w:r>
      <w:r>
        <w:rPr>
          <w:b/>
        </w:rPr>
        <w:t>HTCS javasolja a „B” területen értékesít</w:t>
      </w:r>
      <w:r>
        <w:rPr>
          <w:b/>
        </w:rPr>
        <w:t>ett ingatlanok után befolyt összeget az „A” terület épületállományának állagmegóvására, illetve hasznosítására fordítani.</w:t>
      </w:r>
    </w:p>
    <w:p w:rsidR="00315841" w:rsidRDefault="007A23BB">
      <w:pPr>
        <w:jc w:val="center"/>
      </w:pPr>
      <w:r>
        <w:rPr>
          <w:noProof/>
        </w:rPr>
        <w:drawing>
          <wp:inline distT="0" distB="0" distL="0" distR="0">
            <wp:extent cx="3729637" cy="2601270"/>
            <wp:effectExtent l="0" t="0" r="0" b="0"/>
            <wp:docPr id="13" name="image41.jpg" descr="C:\Users\beszter\AppData\Local\Microsoft\Windows\Temporary Internet Files\Content.Word\Map are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 descr="C:\Users\beszter\AppData\Local\Microsoft\Windows\Temporary Internet Files\Content.Word\Map area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9637" cy="2601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/>
        <w:ind w:hanging="720"/>
        <w:jc w:val="center"/>
        <w:rPr>
          <w:i/>
          <w:color w:val="000000"/>
        </w:rPr>
      </w:pPr>
      <w:r>
        <w:rPr>
          <w:i/>
          <w:color w:val="000000"/>
        </w:rPr>
        <w:t>2. térkép: a Huszárlaktanya „A” és „B” területének elhelyezkedése</w:t>
      </w:r>
      <w:r>
        <w:rPr>
          <w:i/>
          <w:color w:val="000000"/>
        </w:rPr>
        <w:br/>
        <w:t>(forrás: saját szerkesztés)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color w:val="000000"/>
        </w:rPr>
      </w:pPr>
      <w:r>
        <w:rPr>
          <w:color w:val="000000"/>
        </w:rPr>
        <w:t>Annak érdekében, hogy a jelenlegi helyzethez képest tervezett változtatásokat azonosítani lehessen, a HTCS konkrét célkitűzéseket fogalmazott meg, azok lehetséges hatásaival együtt, amelyeket az alábbi táblázat foglal össze:</w:t>
      </w:r>
    </w:p>
    <w:tbl>
      <w:tblPr>
        <w:tblStyle w:val="a2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Konkrét célkitűzés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Hatások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A ha</w:t>
            </w:r>
            <w:r>
              <w:rPr>
                <w:b w:val="0"/>
                <w:color w:val="000000"/>
              </w:rPr>
              <w:t>tás területi szintje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 w:val="restart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Az örökségi terület (A) új, zöldövezeti városközponttá válik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Civil inkubátor új társadalmi csoportok és időleges használatot igénylő tevékenységekre ösztönzőleg hat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város tágabb környezete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helyi kulturális örökség és identitás erősítése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szint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kialakított városi kulturális központ helyi kulturális alkotótevékenység, események, együttműködések támogatása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szint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hely kreatív KKV-k, art-business együttműködések és a helyi termékfejlesztés központi helyszínévé válik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szint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terület a városrész nyitott, zöld központjává alakul át, és a városi rendezvények / a rekreáció kulcshelyszínévé válik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szint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 w:val="restart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B terület vonzó lakóövezetté válik</w:t>
            </w:r>
          </w:p>
        </w:tc>
        <w:tc>
          <w:tcPr>
            <w:tcW w:w="3021" w:type="dxa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Új, vonzó lakóövezet kerül kialakításra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Projektterület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Zöld rekreációs + sportlétesítmények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szint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közösségi kertek népszerűvé válnak a városrészben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Projektterület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Ösztönzőleg hat autómentes lakónegyedek kialakítására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Projektterület</w:t>
            </w:r>
          </w:p>
        </w:tc>
      </w:tr>
    </w:tbl>
    <w:p w:rsidR="00315841" w:rsidRDefault="007A23BB">
      <w:pPr>
        <w:spacing w:before="240"/>
      </w:pPr>
      <w:r>
        <w:t>A tervezett módosítások nyomon követése érdekében a következő eredmény- és output-indikátorok kerültek meghatározásra:</w:t>
      </w:r>
    </w:p>
    <w:tbl>
      <w:tblPr>
        <w:tblStyle w:val="a3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Konkrét célkitűzés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(Az elérni kívánt változás)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Eredményindikátor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(A változásokat mérő változó)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Output-indikátor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(Az IAT által elért outputokat jelző változó)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 w:val="restart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Az örökségi terület (A) új, zöldövezeti városközponttá válik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Az új városközponti funkciókat használó lakosok aránya / száma / Elégedettségi ráta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Közösségi célra újrahasznosított terület négyzetméterben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Helyi civil szervezetek és társadalmi csoportok aktivitási rátája 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Befogadott civil szervezetek / művészek / művészeti csoportok / kreatív KKV-k száma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Művészek és kreatív KKV-k közötti együttműködések, kulturális együttműködések száma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Irodák / coworking terek számára kialakított alapterület négyzetméterben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Események látogatottsága (közösség, kultúra)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Újrahasznosított / újra kialakított zöld közösségi terek mérete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terület kulturális öröksége iránti felkeltett figyelem (felmérés)</w:t>
            </w:r>
          </w:p>
        </w:tc>
        <w:tc>
          <w:tcPr>
            <w:tcW w:w="3021" w:type="dxa"/>
            <w:vMerge w:val="restart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Múzeumi kiállítótérként létrehozott alapterület négyzetméterben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A múzeum látogatóinak a száma </w:t>
            </w:r>
          </w:p>
        </w:tc>
        <w:tc>
          <w:tcPr>
            <w:tcW w:w="3021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Helyi termékeket árusító és vásárló lakosok száma / aránya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Árusítóhelyek száma a szabadtéri helyitermék-piacon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 w:val="restart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B terület vonzó lakóövezetté válik</w:t>
            </w:r>
          </w:p>
        </w:tc>
        <w:tc>
          <w:tcPr>
            <w:tcW w:w="3021" w:type="dxa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A területen lakó személyek száma (családok száma, korcsoportok) / 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Elégedettségi arány (felmérés)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Eladott telkek száma / aránya 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Lakhatási célra újrahasznosított terület mérete négyzetméterben / aránya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Új sport- és rekreációs helyszíneket használó városlakók száma / aránya /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Elégedettségi arány (felmérés)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Sport, rekreációs és közösségi célra újrahasznosított terület mérete négyzetméterben / aránya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közösségi kertészkedésbe bevont háztartások száma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Közösségi kertek számára kialakított terek területe négyzetméterben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021" w:type="dxa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Az aktív mobilitás (gyaloglás, kerékpározás) modális részaránya a projektterületen</w:t>
            </w:r>
          </w:p>
        </w:tc>
        <w:tc>
          <w:tcPr>
            <w:tcW w:w="3021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gyaloglás / kerékpározás céljára kialakított infrastruktúra hossza</w:t>
            </w:r>
          </w:p>
        </w:tc>
      </w:tr>
    </w:tbl>
    <w:p w:rsidR="00315841" w:rsidRDefault="007A23BB">
      <w:pPr>
        <w:pStyle w:val="Cmsor2"/>
        <w:spacing w:before="480"/>
        <w:rPr>
          <w:smallCaps w:val="0"/>
        </w:rPr>
      </w:pPr>
      <w:bookmarkStart w:id="8" w:name="_1t3h5sf" w:colFirst="0" w:colLast="0"/>
      <w:bookmarkEnd w:id="8"/>
      <w:r>
        <w:t>2.1 Épületek</w:t>
      </w:r>
    </w:p>
    <w:p w:rsidR="00315841" w:rsidRDefault="007A23BB">
      <w:pPr>
        <w:spacing w:before="240"/>
        <w:jc w:val="both"/>
      </w:pPr>
      <w:r>
        <w:rPr>
          <w:b/>
        </w:rPr>
        <w:t xml:space="preserve">Az „A” terület </w:t>
      </w:r>
      <w:r>
        <w:t>(10 laktanyaépület közel 14 000 m</w:t>
      </w:r>
      <w:r>
        <w:rPr>
          <w:vertAlign w:val="superscript"/>
        </w:rPr>
        <w:t>2</w:t>
      </w:r>
      <w:r>
        <w:t xml:space="preserve"> területtel) potenciális hasznosításához kapcsolódóan, összhangban a hatályos rendezési terv Helyi Építési Szabályzatával, amely “VT- településközpont vegyes terület”-ként sorolja be az “A” részt - elsősorban a </w:t>
      </w:r>
      <w:r>
        <w:rPr>
          <w:b/>
        </w:rPr>
        <w:t>kulturális-, civil és és egyéb közösségi funk</w:t>
      </w:r>
      <w:r>
        <w:rPr>
          <w:b/>
        </w:rPr>
        <w:t>ciókhoz kapcsolható tevékenységek és elképzelések</w:t>
      </w:r>
      <w:r>
        <w:t xml:space="preserve"> merülhetnek fel. Ez terület alkalmas arra, hogy a Huszárlaktanya kulturális örökségét, helytörténeti és építészeti jelentőségét bemutassa, tudatosítsa az ide látogatókban, és egyúttal új funkcióknak adjon h</w:t>
      </w:r>
      <w:r>
        <w:t xml:space="preserve">elyet. Az épületek ugyanakkor életveszélyes állapotúak, közművekkel el nem látottak. </w:t>
      </w:r>
      <w:r>
        <w:rPr>
          <w:b/>
        </w:rPr>
        <w:t>A tetőszerkezetek rossz állapota miatt állaguk folyamatosan romlik, ezek javítása önmagában rövid távon nagy összegű beruházást tesz szükségessé.</w:t>
      </w:r>
      <w:r>
        <w:t xml:space="preserve"> </w:t>
      </w:r>
    </w:p>
    <w:p w:rsidR="00315841" w:rsidRDefault="007A23BB">
      <w:pPr>
        <w:jc w:val="both"/>
      </w:pPr>
      <w:r>
        <w:t xml:space="preserve">A </w:t>
      </w:r>
      <w:r>
        <w:rPr>
          <w:b/>
        </w:rPr>
        <w:t xml:space="preserve">„B” területre </w:t>
      </w:r>
      <w:r>
        <w:t>(mintegy</w:t>
      </w:r>
      <w:r>
        <w:t xml:space="preserve"> 12 ha, 10 romos állapotú épülettel) vonatkozóan a </w:t>
      </w:r>
      <w:r>
        <w:rPr>
          <w:i/>
        </w:rPr>
        <w:t>7/2017. (III. 7.) MvM rendelet 16. §-a</w:t>
      </w:r>
      <w:r>
        <w:t xml:space="preserve"> az ingatlanon található épületek vonatkozásában – mivel azok a védelem alapját képező értékeiket helyreállíthatatlanul elvesztették – </w:t>
      </w:r>
      <w:r>
        <w:rPr>
          <w:b/>
        </w:rPr>
        <w:t>a műemléki védettség megszünteté</w:t>
      </w:r>
      <w:r>
        <w:rPr>
          <w:b/>
        </w:rPr>
        <w:t xml:space="preserve">séről rendelkezik, mindamellett maga a terület műemléki környezet maradt. </w:t>
      </w:r>
      <w:r>
        <w:t xml:space="preserve">Ez a változás jelentősen </w:t>
      </w:r>
      <w:r>
        <w:rPr>
          <w:b/>
        </w:rPr>
        <w:t>megkönnyíti a terület hasznosításának tervezését</w:t>
      </w:r>
      <w:r>
        <w:t>, hiszen ily módon a laktanya hátsó, Lovas utca felőli részén a romos állapotú épületek elbonthatókká váltak,</w:t>
      </w:r>
      <w:r>
        <w:t xml:space="preserve"> és az </w:t>
      </w:r>
      <w:r>
        <w:rPr>
          <w:b/>
        </w:rPr>
        <w:t>ingatlan telekalakítás során kisebb egységekre osztható</w:t>
      </w:r>
      <w:r>
        <w:t xml:space="preserve">. Az így létrejött kisebb </w:t>
      </w:r>
      <w:r>
        <w:rPr>
          <w:b/>
        </w:rPr>
        <w:t>ingatlanok eladása, és azokon új épületek létrehozása is jelentősen könnyebbé</w:t>
      </w:r>
      <w:r>
        <w:t xml:space="preserve"> vált, bár a műemléki környezet státusz miatt minden további bontási és építési tevékenység</w:t>
      </w:r>
      <w:r>
        <w:t xml:space="preserve">gel kapcsolatban a szakhatósággal egyeztetni szükséges. A HTCS javaslata, hogy a </w:t>
      </w:r>
      <w:r>
        <w:rPr>
          <w:b/>
        </w:rPr>
        <w:t>területen levő épületek egy részét lehetőség szerint meg kell óvni</w:t>
      </w:r>
      <w:r>
        <w:t xml:space="preserve">, hiszen a </w:t>
      </w:r>
      <w:r>
        <w:rPr>
          <w:b/>
        </w:rPr>
        <w:t>szovjet időszak történeti rétege elsősorban itt őrizhető illetve mutatható meg</w:t>
      </w:r>
      <w:r>
        <w:t>, továbbá megmenthet</w:t>
      </w:r>
      <w:r>
        <w:t>őek lehetnek a korábbi időszak értékes épületei is.</w:t>
      </w:r>
    </w:p>
    <w:p w:rsidR="00315841" w:rsidRDefault="007A23BB">
      <w:pPr>
        <w:jc w:val="both"/>
      </w:pPr>
      <w:r>
        <w:t xml:space="preserve">A további fejlesztések előkészítéséhez első lépésben </w:t>
      </w:r>
      <w:r>
        <w:rPr>
          <w:b/>
        </w:rPr>
        <w:t>szükséges a „B” terület romos állapotú épületei bontási illetve felújítási terveinek elkészítése</w:t>
      </w:r>
      <w:r>
        <w:t>, azok szakhatóságokhoz történő benyújtása. Az épületek</w:t>
      </w:r>
      <w:r>
        <w:t xml:space="preserve"> bontása, az értékesek felújítása a terület hasznosításának ütemében történhetne, elsődleges prioritása a terület átjárhatóságának megteremtése érdekében az észak-keleti sarokban elhelyezkedő 3 épület bontásának lenne. </w:t>
      </w:r>
    </w:p>
    <w:p w:rsidR="00315841" w:rsidRDefault="007A23BB">
      <w:pPr>
        <w:pStyle w:val="Cmsor2"/>
        <w:spacing w:after="240"/>
        <w:rPr>
          <w:smallCaps w:val="0"/>
        </w:rPr>
      </w:pPr>
      <w:bookmarkStart w:id="9" w:name="_4d34og8" w:colFirst="0" w:colLast="0"/>
      <w:bookmarkEnd w:id="9"/>
      <w:r>
        <w:t xml:space="preserve">2.2 Nyitott terek rendszere 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A Laktanyaterület elhelyezkedése és mérete lehetővé teszi új városi alközpontként való működését. Jelenlegi állapotában szigetszerűen elzárt, ugyanakkor számos nagyméretű bejárattal, és kiterjedt, eredetileg magas minőségű, de leromlott állapotú belső úthá</w:t>
      </w:r>
      <w:r>
        <w:rPr>
          <w:color w:val="000000"/>
        </w:rPr>
        <w:t xml:space="preserve">lózattal rendelkezik, melyek a terület megközelítésén túl átmenő forgalmat is szolgálhatnának, potenciálisan javítva a városrész elérhetőségi viszonyait.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 xml:space="preserve">Az Akcióterv víziójának megfelelően ugyanakkor fontos cél a gépjárműforgalom minimalizálása, a </w:t>
      </w:r>
      <w:r>
        <w:rPr>
          <w:b/>
          <w:color w:val="000000"/>
        </w:rPr>
        <w:t>fenntartható közlekedési módokat (gyaloglás, kerékpározás, tömegközlekedés) támogató infrastruktúra kialakítása</w:t>
      </w:r>
      <w:r>
        <w:rPr>
          <w:color w:val="000000"/>
        </w:rPr>
        <w:t xml:space="preserve">.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Az Akcióterv céljainak megfelelő nyitott terület létrehozásához szintén elengedhetetlen a területet körülvevő falak, kerítés fokozatos illetve</w:t>
      </w:r>
      <w:r>
        <w:rPr>
          <w:color w:val="000000"/>
        </w:rPr>
        <w:t xml:space="preserve"> részleges bontása illetve a műemlékvédelmi kereteken belül zöld határoló felületekkel való helyettesítése.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 xml:space="preserve">A HTCS ülésein kialakult konszenzus abban is, hogy a </w:t>
      </w:r>
      <w:r>
        <w:rPr>
          <w:b/>
          <w:color w:val="000000"/>
        </w:rPr>
        <w:t>„B” terület egy részét a telekfelosztás során meg kell hagyni nyitott zöldterületnek</w:t>
      </w:r>
      <w:r>
        <w:rPr>
          <w:color w:val="000000"/>
        </w:rPr>
        <w:t>, erősítve</w:t>
      </w:r>
      <w:r>
        <w:rPr>
          <w:color w:val="000000"/>
        </w:rPr>
        <w:t xml:space="preserve"> e terület zöld városrészi alközpont jellegét. A “B” terület </w:t>
      </w:r>
      <w:r>
        <w:rPr>
          <w:b/>
          <w:color w:val="000000"/>
        </w:rPr>
        <w:t>ingatlan telekalakítás során kisebb egységekre osztható</w:t>
      </w:r>
      <w:r>
        <w:rPr>
          <w:color w:val="000000"/>
        </w:rPr>
        <w:t xml:space="preserve">. </w:t>
      </w:r>
      <w:r>
        <w:rPr>
          <w:b/>
          <w:color w:val="000000"/>
        </w:rPr>
        <w:t>A városrészben a nyitott zöld közösségi terek – parkok, játszóterek, rendezvényhelyszínek, közösségi kertek stb. – aránya a város többi ré</w:t>
      </w:r>
      <w:r>
        <w:rPr>
          <w:b/>
          <w:color w:val="000000"/>
        </w:rPr>
        <w:t xml:space="preserve">széhez képest alacsony. Az A és B területen többhektárnyi, ezek kialakítására alkalmas tér található, </w:t>
      </w:r>
      <w:r>
        <w:rPr>
          <w:color w:val="000000"/>
        </w:rPr>
        <w:t>a B terület felosztásától függően</w:t>
      </w:r>
      <w:r>
        <w:rPr>
          <w:b/>
          <w:color w:val="000000"/>
        </w:rPr>
        <w:t xml:space="preserve"> összesen akár 10-15 hektár méretben.</w:t>
      </w:r>
      <w:r>
        <w:rPr>
          <w:color w:val="000000"/>
        </w:rPr>
        <w:t xml:space="preserve"> Ez rendkívüli fejlesztési potenciált jelent a terület városi funkciója tekintetében</w:t>
      </w:r>
      <w:r>
        <w:rPr>
          <w:color w:val="000000"/>
        </w:rPr>
        <w:t xml:space="preserve">, ennek megfelelően a HTCS javaslata, hogy az </w:t>
      </w:r>
      <w:r>
        <w:rPr>
          <w:b/>
          <w:color w:val="000000"/>
        </w:rPr>
        <w:t>A terület nyitott tereinek egészén</w:t>
      </w:r>
      <w:r>
        <w:rPr>
          <w:color w:val="000000"/>
        </w:rPr>
        <w:t xml:space="preserve">, a </w:t>
      </w:r>
      <w:r>
        <w:rPr>
          <w:b/>
          <w:color w:val="000000"/>
        </w:rPr>
        <w:t>B területen legalább annak 20 %-a mértékéig</w:t>
      </w:r>
      <w:r>
        <w:rPr>
          <w:color w:val="000000"/>
        </w:rPr>
        <w:t xml:space="preserve"> elsősorban a két terület érintkezésében) zöld közösségi illetve rekreációs terek kialakítása történjen meg.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bookmarkStart w:id="10" w:name="_2s8eyo1" w:colFirst="0" w:colLast="0"/>
      <w:bookmarkEnd w:id="10"/>
      <w:r>
        <w:rPr>
          <w:color w:val="000000"/>
        </w:rPr>
        <w:t>Ezzel összefüggésbe</w:t>
      </w:r>
      <w:r>
        <w:rPr>
          <w:color w:val="000000"/>
        </w:rPr>
        <w:t xml:space="preserve">n javasolt célok, hogy az </w:t>
      </w:r>
      <w:r>
        <w:rPr>
          <w:b/>
          <w:color w:val="000000"/>
        </w:rPr>
        <w:t xml:space="preserve">A területen új épületek létrehozását kerülni kell </w:t>
      </w:r>
      <w:r>
        <w:rPr>
          <w:color w:val="000000"/>
        </w:rPr>
        <w:t xml:space="preserve">(az csak különösen indokolt esetben, a műemléki szabályok betartása mellett legyen lehetséges) továbbá a </w:t>
      </w:r>
      <w:r>
        <w:rPr>
          <w:b/>
          <w:color w:val="000000"/>
        </w:rPr>
        <w:t>B terület telekfelosztása</w:t>
      </w:r>
      <w:r>
        <w:rPr>
          <w:color w:val="000000"/>
        </w:rPr>
        <w:t xml:space="preserve"> illetve részletes szabályozása során a </w:t>
      </w:r>
      <w:r>
        <w:rPr>
          <w:b/>
          <w:color w:val="000000"/>
        </w:rPr>
        <w:t>környező v</w:t>
      </w:r>
      <w:r>
        <w:rPr>
          <w:b/>
          <w:color w:val="000000"/>
        </w:rPr>
        <w:t xml:space="preserve">árosrésszel összhangban </w:t>
      </w:r>
      <w:r>
        <w:rPr>
          <w:color w:val="000000"/>
        </w:rPr>
        <w:t>levő szabályozási keretek (pl. építménymagasság) kerüljenek meghatározásra.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A HTCS javaslata, hogy a belső úthálózat és a Laktanyaterületen megvalósuló új lakó- és településközponti funkciókhoz illeszkedő parkolási igényeket kiszolg</w:t>
      </w:r>
      <w:r>
        <w:rPr>
          <w:color w:val="000000"/>
        </w:rPr>
        <w:t xml:space="preserve">áló parkolók kialakítása során az A területen illetve a B terület érintkező részén kialakítandó zöld közösségi terektől való megfelelő távolságra figyelemmel lenni. </w:t>
      </w:r>
    </w:p>
    <w:p w:rsidR="00315841" w:rsidRDefault="007A23BB">
      <w:pPr>
        <w:pStyle w:val="Cmsor2"/>
        <w:spacing w:before="240"/>
        <w:rPr>
          <w:smallCaps w:val="0"/>
        </w:rPr>
      </w:pPr>
      <w:bookmarkStart w:id="11" w:name="_17dp8vu" w:colFirst="0" w:colLast="0"/>
      <w:bookmarkEnd w:id="11"/>
      <w:r>
        <w:t>2.3 Lakosság</w:t>
      </w:r>
    </w:p>
    <w:p w:rsidR="00315841" w:rsidRDefault="007A23BB">
      <w:pPr>
        <w:spacing w:before="240"/>
        <w:jc w:val="both"/>
      </w:pPr>
      <w:r>
        <w:t xml:space="preserve">A nemzetközi tapasztalatok alapján a </w:t>
      </w:r>
      <w:r>
        <w:rPr>
          <w:b/>
        </w:rPr>
        <w:t>Huszárlaktanyáéhoz hasonló nagyméretű, e</w:t>
      </w:r>
      <w:r>
        <w:rPr>
          <w:b/>
        </w:rPr>
        <w:t>lhagyatott, elszigetelt területek esetében az újrahasznosítás első lépése annak – akár időleges – megnyitása lehet.</w:t>
      </w:r>
      <w:r>
        <w:t xml:space="preserve"> Azáltal, hogy a közösség újra elkezdi használni, „belakni” a teret vagy annak egy részét, a lakossági kötődés erősödik, és egyre többen kezd</w:t>
      </w:r>
      <w:r>
        <w:t xml:space="preserve">enek pozitívan gondolkodni a hasznosítás kérdéséről és a területről általában. Ezeket </w:t>
      </w:r>
      <w:r>
        <w:rPr>
          <w:b/>
        </w:rPr>
        <w:t xml:space="preserve">az időleges funkciókat úgy kell megvalósítani, hogy azok a hosszú távú hasznosítást ne gátolják. </w:t>
      </w:r>
    </w:p>
    <w:p w:rsidR="00315841" w:rsidRDefault="007A23BB">
      <w:pPr>
        <w:spacing w:before="240" w:after="0"/>
        <w:jc w:val="both"/>
        <w:rPr>
          <w:b/>
        </w:rPr>
      </w:pPr>
      <w:r>
        <w:t xml:space="preserve">Ehhez kapcsolódóan szinte minden HTCS ülésen felmerült a </w:t>
      </w:r>
      <w:r>
        <w:rPr>
          <w:b/>
        </w:rPr>
        <w:t>„fehér folt” ef</w:t>
      </w:r>
      <w:r>
        <w:rPr>
          <w:b/>
        </w:rPr>
        <w:t>fektus</w:t>
      </w:r>
      <w:r>
        <w:t xml:space="preserve"> problémaköre: a Huszárlaktanya fennállása idejének nagy részében a lakosságtól elzártan működött, ezáltal </w:t>
      </w:r>
      <w:r>
        <w:rPr>
          <w:b/>
        </w:rPr>
        <w:t xml:space="preserve">a helyi közösség mentális térképén még ma is egyfajta fehér foltként jelenik meg. Ahhoz, hogy a terület szerves része legyen Szombathelynek és </w:t>
      </w:r>
      <w:r>
        <w:rPr>
          <w:b/>
        </w:rPr>
        <w:t>lakosságának, szükséges</w:t>
      </w:r>
    </w:p>
    <w:p w:rsidR="00315841" w:rsidRDefault="007A23BB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60" w:hanging="357"/>
        <w:contextualSpacing/>
        <w:jc w:val="both"/>
        <w:rPr>
          <w:b/>
          <w:color w:val="000000"/>
        </w:rPr>
      </w:pPr>
      <w:r>
        <w:rPr>
          <w:b/>
          <w:color w:val="000000"/>
        </w:rPr>
        <w:t>a terület megnyitása, elzártságának feloldása és</w:t>
      </w:r>
    </w:p>
    <w:p w:rsidR="00315841" w:rsidRDefault="007A23BB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before="0"/>
        <w:contextualSpacing/>
        <w:jc w:val="both"/>
        <w:rPr>
          <w:b/>
          <w:color w:val="000000"/>
        </w:rPr>
      </w:pPr>
      <w:r>
        <w:rPr>
          <w:b/>
          <w:color w:val="000000"/>
        </w:rPr>
        <w:t>a város és különösen a környező városrész lakossága számára figyelemfelkető, bemutató és bevonó jellegű események akciók szervezése</w:t>
      </w:r>
    </w:p>
    <w:p w:rsidR="00315841" w:rsidRDefault="007A23BB">
      <w:pPr>
        <w:jc w:val="both"/>
      </w:pPr>
      <w:r>
        <w:t xml:space="preserve">Ez magában foglalhatja </w:t>
      </w:r>
    </w:p>
    <w:p w:rsidR="00315841" w:rsidRDefault="007A23BB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contextualSpacing/>
        <w:jc w:val="both"/>
      </w:pPr>
      <w:r>
        <w:rPr>
          <w:color w:val="000000"/>
        </w:rPr>
        <w:t xml:space="preserve">olyan </w:t>
      </w:r>
      <w:r>
        <w:rPr>
          <w:b/>
          <w:color w:val="000000"/>
        </w:rPr>
        <w:t>rendezvények szervezését és lebonyolítását</w:t>
      </w:r>
      <w:r>
        <w:rPr>
          <w:color w:val="000000"/>
        </w:rPr>
        <w:t xml:space="preserve">, amelyek a város illetve a környező városrész közösségét aktív módon vonják be a Huszárlaktanya megismerésébe, fejlesztésének ügyébe, például: </w:t>
      </w:r>
    </w:p>
    <w:p w:rsidR="00315841" w:rsidRDefault="007A23BB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 xml:space="preserve">Huszárlaktanya nyílt napok, séták </w:t>
      </w:r>
    </w:p>
    <w:p w:rsidR="00315841" w:rsidRDefault="007A23BB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Katonai hagyományőrző, történelmi rendezvények, illetve karneváli rendezvények</w:t>
      </w:r>
    </w:p>
    <w:p w:rsidR="00315841" w:rsidRDefault="007A23BB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Urbanisztikai Nyári Egyetem / építészhallgatók ötleteinek bemutatása rendezvény keretében</w:t>
      </w:r>
    </w:p>
    <w:p w:rsidR="00315841" w:rsidRDefault="007A23BB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Kerékpáros verseny</w:t>
      </w:r>
    </w:p>
    <w:p w:rsidR="00315841" w:rsidRDefault="007A23BB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360" w:after="0"/>
        <w:ind w:left="714" w:hanging="357"/>
        <w:jc w:val="both"/>
      </w:pPr>
      <w:r>
        <w:rPr>
          <w:color w:val="000000"/>
        </w:rPr>
        <w:t xml:space="preserve">a terület </w:t>
      </w:r>
      <w:r>
        <w:rPr>
          <w:b/>
          <w:color w:val="000000"/>
        </w:rPr>
        <w:t>fizikai megnyitását, ideiglenes (köztes) funkciójú használ</w:t>
      </w:r>
      <w:r>
        <w:rPr>
          <w:b/>
          <w:color w:val="000000"/>
        </w:rPr>
        <w:t>atát</w:t>
      </w:r>
      <w:r>
        <w:rPr>
          <w:color w:val="000000"/>
        </w:rPr>
        <w:t xml:space="preserve">, hiszen a Huszárlaktanya területének élettel való megtöltésében segíthetnek </w:t>
      </w:r>
      <w:r>
        <w:rPr>
          <w:b/>
          <w:color w:val="000000"/>
        </w:rPr>
        <w:t xml:space="preserve">azok a lakosságot bevonó </w:t>
      </w:r>
      <w:r>
        <w:rPr>
          <w:b/>
          <w:i/>
          <w:color w:val="000000"/>
        </w:rPr>
        <w:t>ideiglenes hasznosítási lehetőségek</w:t>
      </w:r>
      <w:r>
        <w:rPr>
          <w:color w:val="000000"/>
        </w:rPr>
        <w:t xml:space="preserve">, amelyek viszonylag </w:t>
      </w:r>
      <w:r>
        <w:rPr>
          <w:b/>
          <w:color w:val="000000"/>
        </w:rPr>
        <w:t>alacsony mértékű anyagi erőforrást igényelnek, ugyanakkor nem hátráltatják a hosszú távú poten</w:t>
      </w:r>
      <w:r>
        <w:rPr>
          <w:b/>
          <w:color w:val="000000"/>
        </w:rPr>
        <w:t>ciális fejlesztések jövőbeni megvalósítását</w:t>
      </w:r>
      <w:r>
        <w:rPr>
          <w:color w:val="000000"/>
        </w:rPr>
        <w:t xml:space="preserve">. A HTCS ülések során erre az alábbi ötletek, javaslatok merültek fel és kerültek megvitatásra:  </w:t>
      </w:r>
    </w:p>
    <w:p w:rsidR="00315841" w:rsidRDefault="007A23BB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Átvezető kerékpár/gyalogút a terület en keresztül;</w:t>
      </w:r>
    </w:p>
    <w:p w:rsidR="00315841" w:rsidRDefault="007A23BB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Meglevő betonozott felületek parkoló célú használata;</w:t>
      </w:r>
    </w:p>
    <w:p w:rsidR="00315841" w:rsidRDefault="007A23BB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Alkotótábo</w:t>
      </w:r>
      <w:r>
        <w:rPr>
          <w:color w:val="000000"/>
        </w:rPr>
        <w:t>r helyi / fiatal művészeknek;</w:t>
      </w:r>
    </w:p>
    <w:p w:rsidR="00315841" w:rsidRDefault="007A23BB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Ideiglenes színpadon, nagy tömeget vonzó (önkéntes) művészeti előadások, koncertek;</w:t>
      </w:r>
    </w:p>
    <w:p w:rsidR="00315841" w:rsidRDefault="007A23BB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/>
        <w:contextualSpacing/>
        <w:jc w:val="both"/>
      </w:pPr>
      <w:r>
        <w:rPr>
          <w:color w:val="000000"/>
        </w:rPr>
        <w:t>Installációk elkészítése helyi művészek, művészeti iskola bevonásával – kerítés- és ablakdeszkák elhelyezése;</w:t>
      </w:r>
    </w:p>
    <w:p w:rsidR="00315841" w:rsidRDefault="007A23BB">
      <w:pPr>
        <w:pStyle w:val="Cmsor2"/>
        <w:rPr>
          <w:smallCaps w:val="0"/>
        </w:rPr>
      </w:pPr>
      <w:bookmarkStart w:id="12" w:name="_3rdcrjn" w:colFirst="0" w:colLast="0"/>
      <w:bookmarkEnd w:id="12"/>
      <w:r>
        <w:t>2.4 Meglévő stratégiai eszközök</w:t>
      </w:r>
    </w:p>
    <w:p w:rsidR="00315841" w:rsidRDefault="007A23BB">
      <w:pPr>
        <w:jc w:val="both"/>
      </w:pPr>
      <w:r>
        <w:t>A 2014-2020-as időszakban a város számos európai uniós és hazai költségvetési finanszírozású forrásra támaszkodhat. Rendelkezésre állnak a Terület- és Településfejlesztési Operatív Program (TOP), a Gazdaságfejlesztési és Innovációs Operatív Program (GINOP)</w:t>
      </w:r>
      <w:r>
        <w:t>, az Integrált Közlekedésfejlesztési Operatív Program (IKOP) forrásai, valamint a hazai költségvetési finanszírozású Modern Városok Program és az Európa Kulturális Fővárosa pályázatra való felkészülést szolgáló források.</w:t>
      </w:r>
    </w:p>
    <w:p w:rsidR="00315841" w:rsidRDefault="007A23BB">
      <w:pPr>
        <w:jc w:val="both"/>
      </w:pPr>
      <w:r>
        <w:t>A TOP támogatási rendszere integrál</w:t>
      </w:r>
      <w:r>
        <w:t>t stratégiák és/vagy akciótervek kialakítását követeli meg, amelyek a támogatásra javasolt városmegújítási projekteket támasztják alá. A TOP 7. prioritási tengelye keretében CLLD-típusú közösségi szintű (a helyi közösségi, civil és magán szereplők által ki</w:t>
      </w:r>
      <w:r>
        <w:t>dolgozott és megvalósítandó) fejlesztési stratégiák finanszírozása érhető el, míg a P6 prioritási tengely integrált, több alapból finanszírozott projektcsomagok megvalósítását támogatja a megyei jogú városokban.</w:t>
      </w:r>
    </w:p>
    <w:p w:rsidR="00315841" w:rsidRDefault="007A23BB">
      <w:pPr>
        <w:pStyle w:val="Cmsor3"/>
        <w:spacing w:before="240" w:after="240"/>
        <w:rPr>
          <w:smallCaps w:val="0"/>
        </w:rPr>
      </w:pPr>
      <w:r>
        <w:t xml:space="preserve">CLLD 2014–2020: Helyi Közösségi Fejlesztési </w:t>
      </w:r>
      <w:r>
        <w:t>Stratégia</w:t>
      </w:r>
    </w:p>
    <w:p w:rsidR="00315841" w:rsidRDefault="007A23BB">
      <w:pPr>
        <w:jc w:val="both"/>
      </w:pPr>
      <w:r>
        <w:t>A CLLD-források hozzájárulhatnak Szombathely fő kihívásainak a leküzdéséhez, mint a helyi közösségek/civil szervezetek erősítéséhez, a helyi kulturális örökség tőkésítéséhez és ismertségének növeléséhez, a helyi identitás újrafogalmazásához, vala</w:t>
      </w:r>
      <w:r>
        <w:t>mint a fiatal generációk elvándorlásának a lassításához.</w:t>
      </w:r>
    </w:p>
    <w:p w:rsidR="00315841" w:rsidRDefault="007A23BB">
      <w:pPr>
        <w:jc w:val="both"/>
      </w:pPr>
      <w:r>
        <w:t xml:space="preserve">A helyi közösségfejlesztési források koordinálásáért felelős Savaria Jövőjéért Helyi Közösség 2016. május 25-én alakult konzorciumi formában, Szombathely Megyei Jogú Város Önkormányzata vezetésével, </w:t>
      </w:r>
      <w:r>
        <w:t>fő célja:</w:t>
      </w:r>
    </w:p>
    <w:p w:rsidR="00315841" w:rsidRDefault="007A23BB">
      <w:pPr>
        <w:jc w:val="center"/>
      </w:pPr>
      <w:r>
        <w:rPr>
          <w:b/>
          <w:i/>
        </w:rPr>
        <w:t>„Szombathely város közösségének és az azt kiszolgáló szellemi-fizikai környezetnek az összehangolt építése”</w:t>
      </w:r>
      <w:r>
        <w:t>.</w:t>
      </w:r>
    </w:p>
    <w:p w:rsidR="00315841" w:rsidRDefault="007A23BB">
      <w:pPr>
        <w:jc w:val="both"/>
      </w:pPr>
      <w:r>
        <w:t>A tagság összetételében reprezentálja a helyi társadalom sokféleségét és ebből kifolyólag alkalmas a fejlesztési források megfelelő koord</w:t>
      </w:r>
      <w:r>
        <w:t xml:space="preserve">inációjára. A munkaszervezeti funkciót a Savaria Városfejlesztési Nonprofit Kft. tölti be. </w:t>
      </w:r>
      <w:r>
        <w:rPr>
          <w:b/>
        </w:rPr>
        <w:t>A megvalósítandó stratégia célrendszere gyakorlatilag az összes tengelyen kapcsolódhat a Huszárlaktanya területének élettel való megtöltéséhez</w:t>
      </w:r>
      <w:r>
        <w:t>. A stratégia célrendsz</w:t>
      </w:r>
      <w:r>
        <w:t xml:space="preserve">ere, beavatkozási logikája a következő: </w:t>
      </w:r>
    </w:p>
    <w:p w:rsidR="00315841" w:rsidRDefault="007A23BB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426"/>
        <w:contextualSpacing/>
        <w:jc w:val="both"/>
        <w:rPr>
          <w:b/>
          <w:i/>
          <w:color w:val="000000"/>
        </w:rPr>
      </w:pPr>
      <w:r>
        <w:rPr>
          <w:b/>
          <w:i/>
          <w:color w:val="000000"/>
        </w:rPr>
        <w:t>Városhasználat (V): a kihasználatlan, részben nem megfelelő állapotú közterületek, közösségi terek közösségi célú megújítása, újra-birtokbavétele</w:t>
      </w:r>
    </w:p>
    <w:p w:rsidR="00315841" w:rsidRDefault="007A23BB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ind w:left="851"/>
        <w:contextualSpacing/>
        <w:jc w:val="both"/>
      </w:pPr>
      <w:r>
        <w:rPr>
          <w:color w:val="000000"/>
        </w:rPr>
        <w:t>V1. Külső terek, közösségi terek fenntartható, közösségi célú hasznosítása és újrahasznosítása</w:t>
      </w:r>
    </w:p>
    <w:p w:rsidR="00315841" w:rsidRDefault="007A23BB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851" w:hanging="357"/>
        <w:jc w:val="both"/>
      </w:pPr>
      <w:r>
        <w:rPr>
          <w:color w:val="000000"/>
        </w:rPr>
        <w:t>V2. Egészségtudatos és tömegsport-célú fejlesztések és tudatformálás</w:t>
      </w:r>
    </w:p>
    <w:p w:rsidR="00315841" w:rsidRDefault="007A23BB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ind w:left="426" w:hanging="357"/>
        <w:jc w:val="both"/>
        <w:rPr>
          <w:b/>
          <w:i/>
          <w:color w:val="000000"/>
        </w:rPr>
      </w:pPr>
      <w:r>
        <w:rPr>
          <w:b/>
          <w:i/>
          <w:color w:val="000000"/>
        </w:rPr>
        <w:t>Tudás-kultúra (T): A város kulturális értékeinek – örökség, művészeti és tudományos potenciá</w:t>
      </w:r>
      <w:r>
        <w:rPr>
          <w:b/>
          <w:i/>
          <w:color w:val="000000"/>
        </w:rPr>
        <w:t>l – vonzó, piacképes, 21. századi felmutatásának elősegítése</w:t>
      </w:r>
    </w:p>
    <w:p w:rsidR="00315841" w:rsidRDefault="007A23BB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ind w:left="851"/>
        <w:contextualSpacing/>
        <w:jc w:val="both"/>
      </w:pPr>
      <w:r>
        <w:rPr>
          <w:color w:val="000000"/>
        </w:rPr>
        <w:t>T1. Helyi kulturális értékekre alapozó és a helyi identitást erősítő közösségi alapú események, vonzerőfejlesztés</w:t>
      </w:r>
    </w:p>
    <w:p w:rsidR="00315841" w:rsidRDefault="007A23BB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851" w:hanging="357"/>
        <w:jc w:val="both"/>
      </w:pPr>
      <w:r>
        <w:rPr>
          <w:color w:val="000000"/>
        </w:rPr>
        <w:t>T2. Digitális készség-, közösség- és helyi közcélú szolgáltatásfejlesztés</w:t>
      </w:r>
    </w:p>
    <w:p w:rsidR="00315841" w:rsidRDefault="007A23BB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ind w:left="426"/>
        <w:contextualSpacing/>
        <w:jc w:val="both"/>
        <w:rPr>
          <w:b/>
          <w:i/>
          <w:color w:val="000000"/>
        </w:rPr>
      </w:pPr>
      <w:r>
        <w:rPr>
          <w:b/>
          <w:i/>
          <w:color w:val="000000"/>
        </w:rPr>
        <w:t>Közösségépítés (K), „A Segítés Városa”: szociális fejlesztés, a város közösségi kirekesztődés szempontjából legveszélyeztetettebb rétegeinek felemelése</w:t>
      </w:r>
    </w:p>
    <w:p w:rsidR="00315841" w:rsidRDefault="007A23BB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ind w:left="851"/>
        <w:contextualSpacing/>
        <w:jc w:val="both"/>
      </w:pPr>
      <w:r>
        <w:rPr>
          <w:color w:val="000000"/>
        </w:rPr>
        <w:t>K1. Ifjúság közösségi mobilizálása, helyi identitásának erősítése</w:t>
      </w:r>
    </w:p>
    <w:p w:rsidR="00315841" w:rsidRDefault="007A23BB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0"/>
        <w:ind w:left="851"/>
        <w:contextualSpacing/>
        <w:jc w:val="both"/>
      </w:pPr>
      <w:r>
        <w:rPr>
          <w:color w:val="000000"/>
        </w:rPr>
        <w:t>K2. Hátrányos helyzetű emberek elszige</w:t>
      </w:r>
      <w:r>
        <w:rPr>
          <w:color w:val="000000"/>
        </w:rPr>
        <w:t>telődésének megakadályozása, közösségi bevonása, képzése</w:t>
      </w:r>
    </w:p>
    <w:p w:rsidR="00315841" w:rsidRDefault="007A23BB">
      <w:pPr>
        <w:pStyle w:val="Cmsor3"/>
        <w:jc w:val="both"/>
        <w:rPr>
          <w:smallCaps w:val="0"/>
        </w:rPr>
      </w:pPr>
      <w:r>
        <w:t>Szombathely Megyei Jogú Város Településfejlesztési Koncepciója és Integrált Településfejlesztési Stratégiája (ITS)</w:t>
      </w:r>
    </w:p>
    <w:p w:rsidR="00315841" w:rsidRDefault="007A23BB">
      <w:pPr>
        <w:spacing w:before="240" w:after="120"/>
        <w:jc w:val="both"/>
      </w:pPr>
      <w:r>
        <w:t>Az ITS összességében három átfogó célt fogalmazott meg a 2014-2020 időszakra vonatko</w:t>
      </w:r>
      <w:r>
        <w:t>zóan, ezek a Széll Kálmán Terv (Virágzó Gazdaság), a Szent Márton Terv (Megújuló és Befogadó Társadalom), valamint az Éhen Gyula Terv (Vonzó Városi Környezet). Ezen prioritásokon belül a város fő kihívásai a beavatkozási területeken keresztül célozhatók me</w:t>
      </w:r>
      <w:r>
        <w:t>g, és legtöbbjük potenciálisan kapcsolódhat a Huszárlaktanya felújításával kapcsolatos helyi kihívásokhoz és célkitűzésekhez is. A legfontosabb pontokat félkövér kiemeléssel jelöltük:</w:t>
      </w:r>
    </w:p>
    <w:tbl>
      <w:tblPr>
        <w:tblStyle w:val="a4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A0" w:firstRow="1" w:lastRow="0" w:firstColumn="1" w:lastColumn="0" w:noHBand="0" w:noVBand="1"/>
      </w:tblPr>
      <w:tblGrid>
        <w:gridCol w:w="4531"/>
        <w:gridCol w:w="4531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Kihívások / ITS beavatkozási területek</w:t>
            </w:r>
          </w:p>
        </w:tc>
        <w:tc>
          <w:tcPr>
            <w:tcW w:w="4531" w:type="dxa"/>
            <w:vAlign w:val="center"/>
          </w:tcPr>
          <w:p w:rsidR="00315841" w:rsidRDefault="007A23BB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Potenciális kapcsolódás a kihívásokhoz / célkitűzésekhez a Huszárlaktanya területén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center"/>
            </w:pPr>
            <w:r>
              <w:t>Egészséggazdaság és kreatív ipar fejlesztése</w:t>
            </w:r>
          </w:p>
        </w:tc>
        <w:tc>
          <w:tcPr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Szombathelyen jelentős számban vannak kreatív, többnyire kisméretű vállalkozások, amelyek egymástól külön működnek, rossz minő</w:t>
            </w:r>
            <w:r>
              <w:t>ségű munkahelyeken. A coworking terek, a közös használatú eszközök és szolgáltatások idetelepítése jelenthetné az örökségi épületek új szerepét.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center"/>
            </w:pPr>
            <w:r>
              <w:t>Fenntartható turizmusfejlesztés;</w:t>
            </w:r>
          </w:p>
        </w:tc>
        <w:tc>
          <w:tcPr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 város jelentős tömegközlekedés hálózattal rendelkezik és kerékpárosbarát te</w:t>
            </w:r>
            <w:r>
              <w:t>lepülésnek számít. A Huszárlaktanya területe - a vasútállomáshoz való közelsége miatt – autómentes, zöld rekreációs térnek adhatna otthont, amely szabadtéri rendezvények megtartására is alkalmas, valamint az Osztrák-Magyar Monarchia helyi örökségéről szóló</w:t>
            </w:r>
            <w:r>
              <w:t xml:space="preserve"> kiállítások is bemutatásra kerülhetnek az örökségi épületek egyikében.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center"/>
            </w:pPr>
            <w:r>
              <w:t>Minőségi közszolgáltatásokhoz való hozzáférés biztosítása;</w:t>
            </w:r>
          </w:p>
        </w:tc>
        <w:tc>
          <w:tcPr>
            <w:tcW w:w="4531" w:type="dxa"/>
            <w:vAlign w:val="center"/>
          </w:tcPr>
          <w:p w:rsidR="00315841" w:rsidRDefault="00315841">
            <w:pPr>
              <w:spacing w:before="24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center"/>
            </w:pPr>
            <w:r>
              <w:t>Közösségvezérelt, CLLD-típusú fejlesztések megvalósítása</w:t>
            </w:r>
          </w:p>
        </w:tc>
        <w:tc>
          <w:tcPr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Az örökségi épületek inkubátor- és workshop-tereket fogadhatnak be a városi civil szervezetek és önkéntes csoportok, valamint tevékenységeik számára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76" w:lineRule="auto"/>
              <w:ind w:left="22" w:hanging="720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A kompakt város kialakulásának előmozdítása a belváros és a városközpont komplex rehabilitációjával és fej</w:t>
            </w:r>
            <w:r>
              <w:rPr>
                <w:b w:val="0"/>
                <w:color w:val="000000"/>
              </w:rPr>
              <w:t>lesztésével, az építészeti örökség integrált védelmével, a Szent Márton Év helyszíneinek és létesítményeinek kialakításával, rehabilitációjával, valamint a Szent Márton zarándokút és létesítményei kiépítésével;</w:t>
            </w:r>
          </w:p>
        </w:tc>
        <w:tc>
          <w:tcPr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 Huszárlaktanya területe a városközpont mell</w:t>
            </w:r>
            <w:r>
              <w:t>ett található, egy olyan városrészben, amelyben kevés közösségi tér és zöld rekreációs terület található. Ezek a laktanya területén kialakíthatóak.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:rsidR="00315841" w:rsidRDefault="007A23BB">
            <w:pPr>
              <w:spacing w:after="120" w:line="276" w:lineRule="auto"/>
              <w:jc w:val="center"/>
            </w:pPr>
            <w:r>
              <w:t>Az önkormányzati tulajdonú barnamezős városrehabilitációs területeken a közszféra és a magánszféra által végrehajtásra kerülő gazdaságfejlesztő és munkahelyteremtő beruházások. A nem önkormányzati tulajdonban lévő, barna mezős, szlömösödő illetve alulhaszn</w:t>
            </w:r>
            <w:r>
              <w:t>osított városi területek rehabilitációjának elősegítése;</w:t>
            </w:r>
          </w:p>
        </w:tc>
        <w:tc>
          <w:tcPr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 Huszárlaktanya területe a város legnagyobb barnamezős területe, ahol a magánbefektetők bevonásának lehetősége jelentős (B terület).</w:t>
            </w:r>
          </w:p>
          <w:p w:rsidR="00315841" w:rsidRDefault="007A23BB">
            <w:pPr>
              <w:spacing w:before="24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Az örökségi épület coworking- és helyi KKV-knak szánt irodák kial</w:t>
            </w:r>
            <w:r>
              <w:t>akítására lehet alkalmas.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:rsidR="00315841" w:rsidRDefault="007A23BB">
            <w:pPr>
              <w:spacing w:after="120"/>
              <w:jc w:val="center"/>
            </w:pPr>
            <w:r>
              <w:t>Lakótelepek komplex rehabilitációja</w:t>
            </w:r>
          </w:p>
        </w:tc>
        <w:tc>
          <w:tcPr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 terület magas lakóövezet-fejlesztési potenciállal rendelkezik, amely magánbefektetők segítségével valósítható meg.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center"/>
            </w:pPr>
            <w:r>
              <w:t>Kertvárosi városrészek komplex fejlesztése</w:t>
            </w:r>
          </w:p>
        </w:tc>
        <w:tc>
          <w:tcPr>
            <w:tcW w:w="4531" w:type="dxa"/>
            <w:vAlign w:val="center"/>
          </w:tcPr>
          <w:p w:rsidR="00315841" w:rsidRDefault="007A23BB">
            <w:pPr>
              <w:spacing w:before="24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 Huszárlaktanya területe a váro</w:t>
            </w:r>
            <w:r>
              <w:t>sközpont mellett található, egy olyan városrészben, amelyben kevés közösségi tér és zöld rekreációs terület található. A Huszárlaktanya területe jelenleg zárva van az átmenő forgalom elől, amely megakadályozza a közeli kertvárosi városrészek megközelíthető</w:t>
            </w:r>
            <w:r>
              <w:t>ségét. Az IAT által javasolt intézkedésekkel mindjét kihívás kezelhető.</w:t>
            </w:r>
          </w:p>
        </w:tc>
      </w:tr>
    </w:tbl>
    <w:p w:rsidR="00315841" w:rsidRDefault="007A23BB">
      <w:pPr>
        <w:rPr>
          <w:smallCaps/>
          <w:color w:val="073762"/>
        </w:rPr>
      </w:pPr>
      <w:bookmarkStart w:id="13" w:name="_26in1rg" w:colFirst="0" w:colLast="0"/>
      <w:bookmarkEnd w:id="13"/>
      <w:r>
        <w:br w:type="page"/>
      </w:r>
    </w:p>
    <w:p w:rsidR="00315841" w:rsidRDefault="007A23BB">
      <w:pPr>
        <w:pStyle w:val="Cmsor3"/>
        <w:jc w:val="both"/>
        <w:rPr>
          <w:smallCaps w:val="0"/>
        </w:rPr>
      </w:pPr>
      <w:r>
        <w:t xml:space="preserve">Szombathely Intermodális Közösségi Közlekedési Csomópont létesítése – Részletes Megvalósíthatósági Tanulmány (2015) </w:t>
      </w:r>
    </w:p>
    <w:p w:rsidR="00315841" w:rsidRDefault="007A23BB">
      <w:pPr>
        <w:spacing w:before="240" w:after="0"/>
        <w:jc w:val="both"/>
      </w:pPr>
      <w:r>
        <w:t>Szombathely városában a vasútállomás, valamint a buszpályaudvar több mint másfél kilométerre található egymástól, ami a közlekedési módok közötti átjárhatóságot rendkívül megnehezíti. Éppen ezért régóta tervezik egy intermodális közlekedési csomópont kiala</w:t>
      </w:r>
      <w:r>
        <w:t xml:space="preserve">kítását a vasútállomáshoz kapcsolva. </w:t>
      </w:r>
      <w:r>
        <w:rPr>
          <w:b/>
        </w:rPr>
        <w:t>A tervezett beruházás helyszíne gyalog is csupán tíz percre található a Huszárlaktanya területétől, amelyből kifolyólag – funkcionális szempontból – a lokális szerepkörön túl is szükséges gondolkozni</w:t>
      </w:r>
      <w:r>
        <w:t>. Az IMCS megvalósít</w:t>
      </w:r>
      <w:r>
        <w:t>ása érdekében elkészült részletes megvalósíthatósági tanulmányban a fejlesztések teljes egészében IKOP forrás bevonásával kerültek megtervezésre. A cél egy olyan intermodális csomópont (vasút, helyi- és helyközi, illetve távolsági közösségi közlekedés, P+R</w:t>
      </w:r>
      <w:r>
        <w:t>, B+R és K+R funkciók) kialakítása Szombathely városában, amely integráltan képes segíteni a különböző közlekedési módok közötti egyszerű, gyors átszállást. Az intermodális csomópont esetében betervezésre került egy új gyalogos és kerékpáros aluljáró létes</w:t>
      </w:r>
      <w:r>
        <w:t>ítése is, mely a közlekedési kapcsolatok javítását és a közösségi közlekedéshez való hatékonyabb hozzáférést (multimodális csomóponti szerephez) segíti elő.</w:t>
      </w:r>
    </w:p>
    <w:p w:rsidR="00315841" w:rsidRDefault="007A23BB">
      <w:r>
        <w:br w:type="page"/>
      </w:r>
    </w:p>
    <w:p w:rsidR="00315841" w:rsidRDefault="007A23BB">
      <w:pPr>
        <w:pStyle w:val="Cmsor1"/>
        <w:rPr>
          <w:smallCaps w:val="0"/>
        </w:rPr>
      </w:pPr>
      <w:bookmarkStart w:id="14" w:name="_lnxbz9" w:colFirst="0" w:colLast="0"/>
      <w:bookmarkEnd w:id="14"/>
      <w:r>
        <w:t>3. Fejezet / Érintettek és résztvevők (Stakeholderek)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360"/>
        <w:jc w:val="both"/>
        <w:rPr>
          <w:color w:val="000000"/>
        </w:rPr>
      </w:pPr>
      <w:r>
        <w:rPr>
          <w:b/>
          <w:color w:val="000000"/>
        </w:rPr>
        <w:t>A HTCS nyitott módon alakult meg, és működé</w:t>
      </w:r>
      <w:r>
        <w:rPr>
          <w:b/>
          <w:color w:val="000000"/>
        </w:rPr>
        <w:t>se során nagy hangsúlyt helyezett a terület és a projekt céljai iránti érdeklődés felkeltésére, újabb tagok folyamatos bevonására</w:t>
      </w:r>
      <w:r>
        <w:rPr>
          <w:color w:val="000000"/>
        </w:rPr>
        <w:t>. Ennek céljából közösségi médiafelületet működtetett és működtet, rendszeresen üléseket és kisebb rendezvényeket szervez. A HT</w:t>
      </w:r>
      <w:r>
        <w:rPr>
          <w:color w:val="000000"/>
        </w:rPr>
        <w:t xml:space="preserve">CS tagjai a köz- a magán- és a civil szféra, lakosság képviselőiből állnak, és jól reprezentálják az érintetteket és az akcióterv megvalósításában potenciálisan résztvevő szervezeteket. </w:t>
      </w:r>
    </w:p>
    <w:tbl>
      <w:tblPr>
        <w:tblStyle w:val="a5"/>
        <w:tblW w:w="8931" w:type="dxa"/>
        <w:jc w:val="center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2825"/>
        <w:gridCol w:w="1817"/>
        <w:gridCol w:w="1867"/>
        <w:gridCol w:w="1184"/>
        <w:gridCol w:w="1238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40"/>
          <w:jc w:val="center"/>
        </w:trPr>
        <w:tc>
          <w:tcPr>
            <w:tcW w:w="282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HTCS Tagok</w:t>
            </w:r>
          </w:p>
        </w:tc>
        <w:tc>
          <w:tcPr>
            <w:tcW w:w="18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Tagok száma</w:t>
            </w:r>
          </w:p>
        </w:tc>
        <w:tc>
          <w:tcPr>
            <w:tcW w:w="186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Regionális/térségi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szereplő</w:t>
            </w:r>
          </w:p>
        </w:tc>
        <w:tc>
          <w:tcPr>
            <w:tcW w:w="118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Városi szereplő</w:t>
            </w:r>
          </w:p>
        </w:tc>
        <w:tc>
          <w:tcPr>
            <w:tcW w:w="123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Vá</w:t>
            </w:r>
            <w:r>
              <w:rPr>
                <w:b w:val="0"/>
                <w:color w:val="000000"/>
              </w:rPr>
              <w:t>rosrészi szereplő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0"/>
          <w:jc w:val="center"/>
        </w:trPr>
        <w:tc>
          <w:tcPr>
            <w:tcW w:w="282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Helyi önkormányzat és intézményei</w:t>
            </w:r>
          </w:p>
        </w:tc>
        <w:tc>
          <w:tcPr>
            <w:tcW w:w="18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186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18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123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</w:tr>
      <w:tr w:rsidR="00315841" w:rsidTr="00315841">
        <w:trPr>
          <w:trHeight w:val="620"/>
          <w:jc w:val="center"/>
        </w:trPr>
        <w:tc>
          <w:tcPr>
            <w:tcW w:w="282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Állami szerv, iskola, egyetem</w:t>
            </w:r>
          </w:p>
        </w:tc>
        <w:tc>
          <w:tcPr>
            <w:tcW w:w="18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186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184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</w:p>
        </w:tc>
        <w:tc>
          <w:tcPr>
            <w:tcW w:w="123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00"/>
          <w:jc w:val="center"/>
        </w:trPr>
        <w:tc>
          <w:tcPr>
            <w:tcW w:w="282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Civil, nem kormányzati szervezet, hagyományőrző csoport, stb. </w:t>
            </w:r>
          </w:p>
        </w:tc>
        <w:tc>
          <w:tcPr>
            <w:tcW w:w="18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186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18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23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 w:rsidR="00315841" w:rsidTr="00315841">
        <w:trPr>
          <w:trHeight w:val="760"/>
          <w:jc w:val="center"/>
        </w:trPr>
        <w:tc>
          <w:tcPr>
            <w:tcW w:w="282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Üzleti szféra szervezetei, kkv-k, helyi vállalkozók az alábbi tevékenységi körökkel:</w:t>
            </w:r>
          </w:p>
          <w:p w:rsidR="00315841" w:rsidRDefault="007A23BB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</w:pPr>
            <w:r>
              <w:rPr>
                <w:color w:val="000000"/>
              </w:rPr>
              <w:t>építészeti tervezés</w:t>
            </w:r>
          </w:p>
          <w:p w:rsidR="00315841" w:rsidRDefault="007A23BB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</w:pPr>
            <w:r>
              <w:rPr>
                <w:color w:val="000000"/>
              </w:rPr>
              <w:t>ingatlanfejlesztés, építési kivitelezés,</w:t>
            </w:r>
          </w:p>
          <w:p w:rsidR="00315841" w:rsidRDefault="007A23BB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</w:pPr>
            <w:r>
              <w:rPr>
                <w:color w:val="000000"/>
              </w:rPr>
              <w:t>rendezvényszervezés és</w:t>
            </w:r>
          </w:p>
          <w:p w:rsidR="00315841" w:rsidRDefault="007A23BB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</w:pPr>
            <w:r>
              <w:rPr>
                <w:color w:val="000000"/>
              </w:rPr>
              <w:t>területfejlesztés</w:t>
            </w:r>
          </w:p>
        </w:tc>
        <w:tc>
          <w:tcPr>
            <w:tcW w:w="18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867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</w:p>
        </w:tc>
        <w:tc>
          <w:tcPr>
            <w:tcW w:w="1184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</w:p>
        </w:tc>
        <w:tc>
          <w:tcPr>
            <w:tcW w:w="123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0"/>
          <w:jc w:val="center"/>
        </w:trPr>
        <w:tc>
          <w:tcPr>
            <w:tcW w:w="282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Szakmai szervezetek, kamarák</w:t>
            </w:r>
          </w:p>
        </w:tc>
        <w:tc>
          <w:tcPr>
            <w:tcW w:w="18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186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18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1238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</w:p>
        </w:tc>
      </w:tr>
      <w:tr w:rsidR="00315841" w:rsidTr="00315841">
        <w:trPr>
          <w:trHeight w:val="820"/>
          <w:jc w:val="center"/>
        </w:trPr>
        <w:tc>
          <w:tcPr>
            <w:tcW w:w="282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Érdeklődő lakosság képviselői </w:t>
            </w:r>
          </w:p>
        </w:tc>
        <w:tc>
          <w:tcPr>
            <w:tcW w:w="18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1867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</w:p>
        </w:tc>
        <w:tc>
          <w:tcPr>
            <w:tcW w:w="118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23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  <w:jc w:val="center"/>
        </w:trPr>
        <w:tc>
          <w:tcPr>
            <w:tcW w:w="282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Összesen</w:t>
            </w:r>
          </w:p>
        </w:tc>
        <w:tc>
          <w:tcPr>
            <w:tcW w:w="1817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  <w:highlight w:val="red"/>
              </w:rPr>
            </w:pPr>
          </w:p>
        </w:tc>
        <w:tc>
          <w:tcPr>
            <w:tcW w:w="1867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  <w:highlight w:val="red"/>
              </w:rPr>
            </w:pPr>
          </w:p>
        </w:tc>
        <w:tc>
          <w:tcPr>
            <w:tcW w:w="1184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  <w:highlight w:val="red"/>
              </w:rPr>
            </w:pPr>
          </w:p>
        </w:tc>
        <w:tc>
          <w:tcPr>
            <w:tcW w:w="1238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  <w:highlight w:val="red"/>
              </w:rPr>
            </w:pPr>
          </w:p>
        </w:tc>
      </w:tr>
    </w:tbl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 xml:space="preserve">Tekintettel arra, hogy az Akcióterv által potenciálisan érintett szervezetek mindegyike nem vesz részt a HTCS munkájában, a csoport tagjainak részvételével tartott műhelymunka során </w:t>
      </w:r>
      <w:r>
        <w:rPr>
          <w:b/>
          <w:color w:val="000000"/>
        </w:rPr>
        <w:t>elkészült egy partnertérkép is</w:t>
      </w:r>
      <w:r>
        <w:rPr>
          <w:color w:val="000000"/>
        </w:rPr>
        <w:t>, melyben az alábbi térségi, városi és város</w:t>
      </w:r>
      <w:r>
        <w:rPr>
          <w:color w:val="000000"/>
        </w:rPr>
        <w:t xml:space="preserve">részi szinten működő kulcsszereplőket azonosítottuk: </w:t>
      </w:r>
    </w:p>
    <w:p w:rsidR="00315841" w:rsidRDefault="007A23BB">
      <w:r>
        <w:br w:type="page"/>
      </w:r>
    </w:p>
    <w:p w:rsidR="00315841" w:rsidRDefault="007A23BB">
      <w:pPr>
        <w:pStyle w:val="Cmsor2"/>
        <w:spacing w:before="240" w:after="240"/>
        <w:rPr>
          <w:smallCaps w:val="0"/>
        </w:rPr>
      </w:pPr>
      <w:bookmarkStart w:id="15" w:name="_35nkun2" w:colFirst="0" w:colLast="0"/>
      <w:bookmarkEnd w:id="15"/>
      <w:r>
        <w:t xml:space="preserve">3.1 Regionális/térségi szinten </w:t>
      </w:r>
    </w:p>
    <w:tbl>
      <w:tblPr>
        <w:tblStyle w:val="a6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A0" w:firstRow="1" w:lastRow="0" w:firstColumn="1" w:lastColumn="0" w:noHBand="0" w:noVBand="1"/>
      </w:tblPr>
      <w:tblGrid>
        <w:gridCol w:w="3045"/>
        <w:gridCol w:w="3047"/>
        <w:gridCol w:w="2970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45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Szereplő</w:t>
            </w:r>
          </w:p>
        </w:tc>
        <w:tc>
          <w:tcPr>
            <w:tcW w:w="3047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Érintettsége</w:t>
            </w:r>
          </w:p>
        </w:tc>
        <w:tc>
          <w:tcPr>
            <w:tcW w:w="2970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Potenciális szerepe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45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Savaria Megyei Hatókörű Városi Múzeum</w:t>
            </w:r>
          </w:p>
        </w:tc>
        <w:tc>
          <w:tcPr>
            <w:tcW w:w="3047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Régészeti, néprajzi, történeti és természettudományi gyűjtemények gondozója, kiállítója</w:t>
            </w:r>
          </w:p>
        </w:tc>
        <w:tc>
          <w:tcPr>
            <w:tcW w:w="2970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Laktanya- és kapcsolódó várostörténet, kulturális örökség megőrzése, bemutatása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4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Vas Megyei Kormányhivatal Örökségvédelmi Hivatala</w:t>
            </w:r>
          </w:p>
        </w:tc>
        <w:tc>
          <w:tcPr>
            <w:tcW w:w="304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Műemlékvédelmi hatóság</w:t>
            </w:r>
          </w:p>
        </w:tc>
        <w:tc>
          <w:tcPr>
            <w:tcW w:w="297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Hatósági szerep műemléki kérdésekben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4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Vas Megyei Mérnöki Kamara, Vas Megyei Építész Kamara</w:t>
            </w:r>
          </w:p>
        </w:tc>
        <w:tc>
          <w:tcPr>
            <w:tcW w:w="304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Szakmai érintettség (építészet, mélyépítés, környezetvédelem)</w:t>
            </w:r>
          </w:p>
        </w:tc>
        <w:tc>
          <w:tcPr>
            <w:tcW w:w="297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Konzultáció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4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Vas Megyei Kereskedelmi és Iparkamara,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Vas Megye és Szombathely Város Regionális Vállalkozásfejlesztési Alapítványa,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Regionális Innovációs Ügynökség</w:t>
            </w:r>
          </w:p>
        </w:tc>
        <w:tc>
          <w:tcPr>
            <w:tcW w:w="304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Gazdaságfejlesztés, kkv fejleszt</w:t>
            </w:r>
            <w:r>
              <w:rPr>
                <w:color w:val="000000"/>
              </w:rPr>
              <w:t>és</w:t>
            </w:r>
          </w:p>
        </w:tc>
        <w:tc>
          <w:tcPr>
            <w:tcW w:w="297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Inkubációs tevékenységek megvalósítása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4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Vas Megyéért Egyesület,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Szülőföld Egyesület,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Vas Megyei TIT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Vasi Civil Centrum</w:t>
            </w:r>
          </w:p>
        </w:tc>
        <w:tc>
          <w:tcPr>
            <w:tcW w:w="304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térség, a megye fejlesztéséért dolgozó civil szervezetek</w:t>
            </w:r>
          </w:p>
        </w:tc>
        <w:tc>
          <w:tcPr>
            <w:tcW w:w="297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Akciók tervezése és megvalósítása a saját szervezeti céljaik mentén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45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Pannon Helyi Termék Nonprofit Kft.</w:t>
            </w:r>
          </w:p>
        </w:tc>
        <w:tc>
          <w:tcPr>
            <w:tcW w:w="304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color w:val="000000"/>
              </w:rPr>
              <w:t>Térségi helyi termelők segítése</w:t>
            </w:r>
          </w:p>
        </w:tc>
        <w:tc>
          <w:tcPr>
            <w:tcW w:w="297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Termelői piac, bevásárló közösség, közösségi kert szervezése</w:t>
            </w:r>
          </w:p>
        </w:tc>
      </w:tr>
    </w:tbl>
    <w:p w:rsidR="00315841" w:rsidRDefault="007A23BB">
      <w:pPr>
        <w:pStyle w:val="Cmsor2"/>
        <w:spacing w:before="240" w:after="240"/>
        <w:rPr>
          <w:smallCaps w:val="0"/>
        </w:rPr>
      </w:pPr>
      <w:bookmarkStart w:id="16" w:name="_1ksv4uv" w:colFirst="0" w:colLast="0"/>
      <w:bookmarkEnd w:id="16"/>
      <w:r>
        <w:t>3.2 Városi szinten</w:t>
      </w:r>
    </w:p>
    <w:tbl>
      <w:tblPr>
        <w:tblStyle w:val="a7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A0" w:firstRow="1" w:lastRow="0" w:firstColumn="1" w:lastColumn="0" w:noHBand="0" w:noVBand="1"/>
      </w:tblPr>
      <w:tblGrid>
        <w:gridCol w:w="3019"/>
        <w:gridCol w:w="3017"/>
        <w:gridCol w:w="3026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Szereplő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Érintettsége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Potenciális szerepe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Szombathely MJV Önkormányzata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Tulajdonos önkormányzat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Hasznosítás fő felelőse, potenciális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beruházó, fenntartó, ill. finanszírozó/forrásszerző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SZOVA Zrt.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Terület kezelése, karbantartása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Közösségi használatú zárt/nyitott terek kezelője, fejlesztője, karbantartója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Szombathelyi Városfejlesztési Kft.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fejlesztési projektek fejlesztése, megvalósítása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Önkormányzati projektekben: projektfejlesztés, pályázatírás, projekt menedzsment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AGORA Szombathelyi Kulturális Központ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Önkormányzat összevont kulturális intézménye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Kulturális események szervezése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Vá</w:t>
            </w:r>
            <w:r>
              <w:rPr>
                <w:b w:val="0"/>
                <w:color w:val="000000"/>
              </w:rPr>
              <w:t>rosi iskolák, gimnáziumok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Helyi oktatási intézmények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Helyi történelmi és kulturális örökség megőrzése, bemutatása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hyperlink r:id="rId11">
              <w:r>
                <w:rPr>
                  <w:b w:val="0"/>
                  <w:color w:val="000000"/>
                </w:rPr>
                <w:t xml:space="preserve">Szombathelyi Művészeti Szakgimnázium </w:t>
              </w:r>
            </w:hyperlink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Művészetoktatás kulcsszereplője a városban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Közös műterem, alkotótábor, egyéb művészeti akciók szervezése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Herman Ottó Környezetvédelmi és Mezőgazdasági Szakképző Iskola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Kertészeti szakiskola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Zöld közösségi terek kialakítása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ELTE Savaria Egyetemi Központ</w:t>
            </w:r>
          </w:p>
        </w:tc>
        <w:tc>
          <w:tcPr>
            <w:tcW w:w="3017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felsőoktatás kulcsszereplője</w:t>
            </w:r>
          </w:p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Oktató és kutatóhelyek, egyetemi közösségi terek kialakítása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Szombathelyi Civil Kerekasztal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civil szervezeteket koordináló szervezet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Civil tevékenységek, akciók segítése illetve civil inkubáció</w:t>
            </w:r>
          </w:p>
        </w:tc>
      </w:tr>
      <w:tr w:rsidR="00315841" w:rsidTr="00315841">
        <w:trPr>
          <w:trHeight w:val="8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Rumi Rajki Egyesület, Szombathelyi Szépítő Egyesület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Városvédő, lokálpatrióta egyesület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Helyi történelmi és kulturális örökség megőrzése, bemutatása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Városi képzőművészeti egyesületek (Savaria Tendency Art Group, Westwerk, stb.)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kulturális élet fontos szereplői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Közös műtermek, alkotótábor, egyéb művészeti akciók szervezése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Zenei és táncegyüttesek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kulturális élet fontos szereplői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Közös próbatermek kialakítása, működtetése, bemutatók, előadások szervezése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Üzleti szféra szervezetei, kkv-k, helyi vállalkozók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Magánszektor képviselői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Lakás és üzleti célú ingatlanfejlesztés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Co-working iroda működtetése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Vásárterület fejlesztése, működtetése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9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Szombathelyi Televízió és Rádió Nonprofit Kft. + városi nyomtatott és elektronkus médiumok</w:t>
            </w:r>
          </w:p>
        </w:tc>
        <w:tc>
          <w:tcPr>
            <w:tcW w:w="3017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Városi közvélemény és identitás formálói</w:t>
            </w:r>
          </w:p>
        </w:tc>
        <w:tc>
          <w:tcPr>
            <w:tcW w:w="3026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Helyi szereplők, kiemelten a lakosság tájékoztatása, bevonásának támogatása</w:t>
            </w:r>
          </w:p>
        </w:tc>
      </w:tr>
    </w:tbl>
    <w:p w:rsidR="00315841" w:rsidRDefault="007A23BB">
      <w:pPr>
        <w:rPr>
          <w:smallCaps/>
        </w:rPr>
      </w:pPr>
      <w:bookmarkStart w:id="17" w:name="_44sinio" w:colFirst="0" w:colLast="0"/>
      <w:bookmarkEnd w:id="17"/>
      <w:r>
        <w:br w:type="page"/>
      </w:r>
    </w:p>
    <w:p w:rsidR="00315841" w:rsidRDefault="007A23BB">
      <w:pPr>
        <w:pStyle w:val="Cmsor2"/>
        <w:spacing w:before="360" w:after="240"/>
        <w:rPr>
          <w:smallCaps w:val="0"/>
        </w:rPr>
      </w:pPr>
      <w:r>
        <w:t>3.3 A Huszárlaktanya területének közvetlen környezetét képező városrész szintjén</w:t>
      </w:r>
    </w:p>
    <w:tbl>
      <w:tblPr>
        <w:tblStyle w:val="a8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A0" w:firstRow="1" w:lastRow="0" w:firstColumn="1" w:lastColumn="0" w:noHBand="0" w:noVBand="1"/>
      </w:tblPr>
      <w:tblGrid>
        <w:gridCol w:w="3030"/>
        <w:gridCol w:w="3018"/>
        <w:gridCol w:w="3014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0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Szereplő</w:t>
            </w:r>
          </w:p>
        </w:tc>
        <w:tc>
          <w:tcPr>
            <w:tcW w:w="3018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Érintettség</w:t>
            </w:r>
          </w:p>
        </w:tc>
        <w:tc>
          <w:tcPr>
            <w:tcW w:w="3014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Potenciális szerepe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0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Apáczai Csere János Alapítvány</w:t>
            </w:r>
          </w:p>
          <w:p w:rsidR="00315841" w:rsidRDefault="00315841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</w:p>
        </w:tc>
        <w:tc>
          <w:tcPr>
            <w:tcW w:w="3018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Főtiszti épület kezelője, fő célja a laktanyaterület kulturális és oktatási célú hasznosítása</w:t>
            </w:r>
          </w:p>
        </w:tc>
        <w:tc>
          <w:tcPr>
            <w:tcW w:w="3014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Az „A” terület Főtiszti ill. további épületeinek fejlesztője, üzemeltetője céljainak megfelelő funkciókkal</w:t>
            </w:r>
          </w:p>
        </w:tc>
      </w:tr>
      <w:tr w:rsidR="00315841" w:rsidTr="00315841">
        <w:trPr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Apáczai Waldorf Iskola</w:t>
            </w:r>
          </w:p>
        </w:tc>
        <w:tc>
          <w:tcPr>
            <w:tcW w:w="301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Főtiszti épület felső szintjének és a kapcsolódó parkrésznek a használója</w:t>
            </w:r>
          </w:p>
        </w:tc>
        <w:tc>
          <w:tcPr>
            <w:tcW w:w="301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Az „A” terület egy további épületének fejlesztője és használója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Szülőföld Egyesület / Őrvidék Ház</w:t>
            </w:r>
          </w:p>
        </w:tc>
        <w:tc>
          <w:tcPr>
            <w:tcW w:w="301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Főtiszti épületben működő, az Őrvidék térségi kulturális öröksége- és értékei megő</w:t>
            </w:r>
            <w:r>
              <w:rPr>
                <w:color w:val="000000"/>
              </w:rPr>
              <w:t>rzéséért dolgozó civil szervezet</w:t>
            </w:r>
          </w:p>
        </w:tc>
        <w:tc>
          <w:tcPr>
            <w:tcW w:w="301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Az „A” terület egy további épületének fejlesztője és használója céljainak megfelelő funkciókkal – kulturális tevékenységek, civil inkubáció nemzetiségi és kulturális egyesületeknek, csoportoknak</w:t>
            </w:r>
          </w:p>
        </w:tc>
      </w:tr>
      <w:tr w:rsidR="00315841" w:rsidTr="00315841">
        <w:trPr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i/>
                <w:color w:val="000000"/>
                <w:highlight w:val="yellow"/>
              </w:rPr>
            </w:pPr>
            <w:r>
              <w:rPr>
                <w:b w:val="0"/>
                <w:color w:val="000000"/>
              </w:rPr>
              <w:t xml:space="preserve">11-es Huszár Hagyományőrző </w:t>
            </w:r>
            <w:r>
              <w:rPr>
                <w:b w:val="0"/>
                <w:color w:val="000000"/>
              </w:rPr>
              <w:t>Egyesület</w:t>
            </w:r>
          </w:p>
        </w:tc>
        <w:tc>
          <w:tcPr>
            <w:tcW w:w="301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Helyi hagyományőrző egyesület a huszár hagyományok megőrzésére és újrafelélesztésére.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Az A terület szabadtéri részeinek jelenlegi használója, rendszeres rendezvényeik céljára.</w:t>
            </w:r>
          </w:p>
        </w:tc>
        <w:tc>
          <w:tcPr>
            <w:tcW w:w="301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huszár hagyományok megőrzésére és továbbadására alkalmas terület pot</w:t>
            </w:r>
            <w:r>
              <w:rPr>
                <w:color w:val="000000"/>
              </w:rPr>
              <w:t>enciális fejlesztője és használója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Neumann János Általános Iskola és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Donászi Magda Óvoda</w:t>
            </w:r>
          </w:p>
        </w:tc>
        <w:tc>
          <w:tcPr>
            <w:tcW w:w="301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A terület szomszédságában működő oktatási intézmény</w:t>
            </w:r>
          </w:p>
        </w:tc>
        <w:tc>
          <w:tcPr>
            <w:tcW w:w="301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Zöld közösségi tér fejlesztése és fenntartása a térben kapcsolódó parkrészben</w:t>
            </w:r>
          </w:p>
        </w:tc>
      </w:tr>
      <w:tr w:rsidR="00315841" w:rsidTr="00315841">
        <w:trPr>
          <w:trHeight w:val="7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0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  <w:r>
              <w:rPr>
                <w:b w:val="0"/>
                <w:color w:val="000000"/>
              </w:rPr>
              <w:t>A városrész lakossága</w:t>
            </w:r>
          </w:p>
        </w:tc>
        <w:tc>
          <w:tcPr>
            <w:tcW w:w="3018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Településközponti (kulturális, kereskedelmi, szolgáltató, közösségi) funkciók elsődleges használói</w:t>
            </w:r>
          </w:p>
        </w:tc>
        <w:tc>
          <w:tcPr>
            <w:tcW w:w="301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Közösségi terek közös tervezése, részben fejlesztése, fenntartása (pl. közösségi kertek esetén)</w:t>
            </w:r>
          </w:p>
        </w:tc>
      </w:tr>
    </w:tbl>
    <w:p w:rsidR="00315841" w:rsidRDefault="007A23BB">
      <w:pPr>
        <w:pStyle w:val="Cmsor2"/>
        <w:spacing w:before="240" w:after="240"/>
        <w:rPr>
          <w:smallCaps w:val="0"/>
        </w:rPr>
      </w:pPr>
      <w:bookmarkStart w:id="18" w:name="_2jxsxqh" w:colFirst="0" w:colLast="0"/>
      <w:bookmarkEnd w:id="18"/>
      <w:r>
        <w:t>3.4 Az érintettek bevonásának módszerei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 xml:space="preserve">A Laktanya terület és épületeinek fejlesztésére létrehozott </w:t>
      </w:r>
      <w:r>
        <w:rPr>
          <w:b/>
          <w:color w:val="000000"/>
        </w:rPr>
        <w:t>Helyi Támogató Csoport</w:t>
      </w:r>
      <w:r>
        <w:rPr>
          <w:color w:val="000000"/>
        </w:rPr>
        <w:t xml:space="preserve"> megalakulása és működése nyitott volt és nyitott minden érdeklődő és tenni akaró érintett szervezet illetve személy bekapcsolódására. A HTCS működése során az alábbi kapcsol</w:t>
      </w:r>
      <w:r>
        <w:rPr>
          <w:color w:val="000000"/>
        </w:rPr>
        <w:t>ódó tevékenységeket határozta meg és végzi:</w:t>
      </w:r>
    </w:p>
    <w:p w:rsidR="00315841" w:rsidRDefault="007A23BB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</w:pPr>
      <w:r>
        <w:rPr>
          <w:b/>
          <w:color w:val="000000"/>
        </w:rPr>
        <w:t>Tagok és érdeklődők címlistájának összeállítása</w:t>
      </w:r>
      <w:r>
        <w:rPr>
          <w:color w:val="000000"/>
        </w:rPr>
        <w:t xml:space="preserve"> és használata a HTCS ülések és egyéb események szervezése során</w:t>
      </w:r>
    </w:p>
    <w:p w:rsidR="00315841" w:rsidRDefault="007A23BB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714" w:hanging="357"/>
        <w:jc w:val="both"/>
      </w:pPr>
      <w:r>
        <w:rPr>
          <w:b/>
          <w:color w:val="000000"/>
        </w:rPr>
        <w:t>Közösségi média felület létrehozása és működtetése</w:t>
      </w:r>
      <w:r>
        <w:rPr>
          <w:color w:val="000000"/>
        </w:rPr>
        <w:t>: A publikált tartalmak elsősorban a laktanyaterület és az itt állomásozó csapatok történetéről, a HTCS munkájáról, az URBACT MAPS projekt más partnervárosaiban folyó munkáról, eseményekről és innovatív vagy jó- gyakorlatnak minősülő városfejlesztési példá</w:t>
      </w:r>
      <w:r>
        <w:rPr>
          <w:color w:val="000000"/>
        </w:rPr>
        <w:t xml:space="preserve">król szólnak. A csoportot 300 személy követi, a publikált tartalmak 100-1000 felhasználót érnek el, témájuktól függően. Cím: </w:t>
      </w:r>
      <w:hyperlink r:id="rId12">
        <w:r>
          <w:rPr>
            <w:i/>
            <w:color w:val="0000FF"/>
            <w:u w:val="single"/>
          </w:rPr>
          <w:t>https://www.facebook.com/huszarlaktanya.ujratoltve/</w:t>
        </w:r>
      </w:hyperlink>
      <w:r>
        <w:rPr>
          <w:color w:val="000000"/>
        </w:rPr>
        <w:t>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1560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524085" cy="2273031"/>
            <wp:effectExtent l="0" t="0" r="0" b="0"/>
            <wp:docPr id="12" name="image40.jpg" descr="C:\Users\beszter\AppData\Local\Microsoft\Windows\Temporary Internet Files\Content.Word\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 descr="C:\Users\beszter\AppData\Local\Microsoft\Windows\Temporary Internet Files\Content.Word\01.jpg"/>
                    <pic:cNvPicPr preferRelativeResize="0"/>
                  </pic:nvPicPr>
                  <pic:blipFill>
                    <a:blip r:embed="rId13"/>
                    <a:srcRect t="6703"/>
                    <a:stretch>
                      <a:fillRect/>
                    </a:stretch>
                  </pic:blipFill>
                  <pic:spPr>
                    <a:xfrm>
                      <a:off x="0" y="0"/>
                      <a:ext cx="4524085" cy="22730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color w:val="000000"/>
        </w:rPr>
        <w:t xml:space="preserve"> </w:t>
      </w:r>
    </w:p>
    <w:p w:rsidR="00315841" w:rsidRDefault="007A23BB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b/>
          <w:color w:val="000000"/>
        </w:rPr>
        <w:t>Nyíl</w:t>
      </w:r>
      <w:r>
        <w:rPr>
          <w:b/>
          <w:color w:val="000000"/>
        </w:rPr>
        <w:t>t napok, Laktanya séták szervezése és lebonyolítása:</w:t>
      </w:r>
      <w:r>
        <w:rPr>
          <w:color w:val="000000"/>
        </w:rPr>
        <w:t xml:space="preserve"> 2017 őszéig összesen 4 alkalommal 15-45 fő érdeklődő és a területtel foglalkozó építészek, történészek és egyéb szakemberek vezetésével zajló, előzetesen a helyi médiában széles körben meghirdetett séták</w:t>
      </w:r>
      <w:r>
        <w:rPr>
          <w:color w:val="000000"/>
        </w:rPr>
        <w:t>on bárki részt vehet és meghallgathatja a laktanya százhuszonöt éves történetének legérdekesebb eseményeit, vezetett séta során bejárhatja a park lezárt részeit továbbá lehetőség van hozzászólni a terület fejlesztésével kapcsolatos elképzelésekhez és a HTC</w:t>
      </w:r>
      <w:r>
        <w:rPr>
          <w:color w:val="000000"/>
        </w:rPr>
        <w:t xml:space="preserve">S-hez való csatlakozásra is.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1701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079167" cy="3006003"/>
            <wp:effectExtent l="0" t="0" r="0" b="0"/>
            <wp:docPr id="15" name="image43.jpg" descr="C:\Users\beszter\AppData\Local\Microsoft\Windows\Temporary Internet Files\Content.Word\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 descr="C:\Users\beszter\AppData\Local\Microsoft\Windows\Temporary Internet Files\Content.Word\02.jpg"/>
                    <pic:cNvPicPr preferRelativeResize="0"/>
                  </pic:nvPicPr>
                  <pic:blipFill>
                    <a:blip r:embed="rId14"/>
                    <a:srcRect l="13853" t="9590" r="2569" b="8289"/>
                    <a:stretch>
                      <a:fillRect/>
                    </a:stretch>
                  </pic:blipFill>
                  <pic:spPr>
                    <a:xfrm>
                      <a:off x="0" y="0"/>
                      <a:ext cx="4079167" cy="30060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b/>
          <w:color w:val="000000"/>
        </w:rPr>
        <w:t xml:space="preserve">A projekt illetve a HTCS megjelenése a helyi médiában: </w:t>
      </w:r>
      <w:r>
        <w:rPr>
          <w:color w:val="000000"/>
        </w:rPr>
        <w:t>rövid tájékoztató videók, beszélgetések beszámolók a városi TV-n illetve rádiókon keresztül és az írott sajtóban, hírportálokon.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1701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154802" cy="2451011"/>
            <wp:effectExtent l="0" t="0" r="0" b="0"/>
            <wp:docPr id="14" name="image42.jpg" descr="C:\Users\beszter\AppData\Local\Microsoft\Windows\Temporary Internet Files\Content.Word\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 descr="C:\Users\beszter\AppData\Local\Microsoft\Windows\Temporary Internet Files\Content.Word\03.jpg"/>
                    <pic:cNvPicPr preferRelativeResize="0"/>
                  </pic:nvPicPr>
                  <pic:blipFill>
                    <a:blip r:embed="rId15"/>
                    <a:srcRect l="181" t="9089" r="5754" b="-1332"/>
                    <a:stretch>
                      <a:fillRect/>
                    </a:stretch>
                  </pic:blipFill>
                  <pic:spPr>
                    <a:xfrm>
                      <a:off x="0" y="0"/>
                      <a:ext cx="4154802" cy="24510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b/>
          <w:color w:val="000000"/>
        </w:rPr>
        <w:t>A Laktanyaterület hasznosítására vonatkozó kérdőív összeállítása és népszerűsítése a fenti csatornákon keresztül</w:t>
      </w:r>
      <w:r>
        <w:rPr>
          <w:color w:val="000000"/>
        </w:rPr>
        <w:t xml:space="preserve">.  A kérdőívet több mint 160 érdeklődő töltötte ki, így </w:t>
      </w:r>
      <w:r>
        <w:rPr>
          <w:b/>
          <w:color w:val="000000"/>
        </w:rPr>
        <w:t>hatékony eszköz az igények, ötletek és a HTCS keretében folyó munkával kapcsolatos vissz</w:t>
      </w:r>
      <w:r>
        <w:rPr>
          <w:b/>
          <w:color w:val="000000"/>
        </w:rPr>
        <w:t>acsatolás összegyűjtésére</w:t>
      </w:r>
      <w:r>
        <w:rPr>
          <w:color w:val="000000"/>
        </w:rPr>
        <w:t xml:space="preserve">.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ind w:left="1701"/>
        <w:jc w:val="both"/>
        <w:rPr>
          <w:color w:val="FF0000"/>
        </w:rPr>
      </w:pPr>
      <w:r>
        <w:rPr>
          <w:noProof/>
          <w:color w:val="000000"/>
        </w:rPr>
        <w:drawing>
          <wp:inline distT="0" distB="0" distL="0" distR="0">
            <wp:extent cx="4026877" cy="1911719"/>
            <wp:effectExtent l="0" t="0" r="0" b="0"/>
            <wp:docPr id="17" name="image45.jpg" descr="C:\Users\beszter\AppData\Local\Microsoft\Windows\Temporary Internet Files\Content.Word\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 descr="C:\Users\beszter\AppData\Local\Microsoft\Windows\Temporary Internet Files\Content.Word\04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6877" cy="19117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A hivatkozott kérdőív kitöltői nem reprezentálják a város teljes lakosságát, azonban bizonyos területeken kijelenthető, hogy tükrözik a lakosság nagy részének véleményét. Ezt bizonyítja, hogy a leginkább támogatott elképzelések esetében a kérdőív nyilvános</w:t>
      </w:r>
      <w:r>
        <w:rPr>
          <w:color w:val="000000"/>
        </w:rPr>
        <w:t xml:space="preserve">ságra hozatala óta nem történt arányaiban számottevő változás. A következő diagramon az alábbi kérdésre adott válaszok összesítése található: </w:t>
      </w:r>
      <w:r>
        <w:rPr>
          <w:i/>
          <w:color w:val="000000"/>
        </w:rPr>
        <w:t xml:space="preserve">„A Huszárlaktanya területének, épületeinek hosszú távú hasznosítására, fejlesztésére az alábbi ötletek merültek fel. Kérjük pontozza 1-5 ponttal (1: nem fontos – 5.), hogy melyik hasznosítási célt mennyire tartja kívánatosnak.” </w:t>
      </w:r>
      <w:r>
        <w:rPr>
          <w:color w:val="000000"/>
        </w:rPr>
        <w:t xml:space="preserve"> Az eredmények alapján jól m</w:t>
      </w:r>
      <w:r>
        <w:rPr>
          <w:color w:val="000000"/>
        </w:rPr>
        <w:t>egfigyelhető az általános vélekedés: a többség által támogatott tevékenységek esetében a diagram meredeksége pozitív, minél „meredekebb”, annál egyértelműbb a támogatottság. Ennek természetesen a fordítottja igaz a kevésbé preferált ötletek esetében. A lak</w:t>
      </w:r>
      <w:r>
        <w:rPr>
          <w:color w:val="000000"/>
        </w:rPr>
        <w:t>osság számára összességében kevésbé fontos, ám de nem is egyértelműen elutasítandó tevékenységek esetén harang alakú görbe figyelhető meg, míg a „szélsőséges” témáknál „U” alakú: utóbbi a lakóházakra vonatkozó elképzelésnél jellemző, ennek oka, hogy a legt</w:t>
      </w:r>
      <w:r>
        <w:rPr>
          <w:color w:val="000000"/>
        </w:rPr>
        <w:t>öbb esetben „A” területhez kapcsolódóan gondoltak lakófunkció kialakítására, félve a műemléki védettségű épületek lebontásától.</w:t>
      </w:r>
    </w:p>
    <w:p w:rsidR="00315841" w:rsidRDefault="00315841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</w:p>
    <w:p w:rsidR="00315841" w:rsidRDefault="007A23B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0" w:after="0"/>
        <w:rPr>
          <w:color w:val="000000"/>
        </w:rPr>
        <w:sectPr w:rsidR="00315841">
          <w:headerReference w:type="first" r:id="rId17"/>
          <w:footerReference w:type="first" r:id="rId18"/>
          <w:pgSz w:w="11906" w:h="16838"/>
          <w:pgMar w:top="1417" w:right="1417" w:bottom="1417" w:left="1417" w:header="708" w:footer="708" w:gutter="0"/>
          <w:pgNumType w:start="1"/>
          <w:cols w:space="708"/>
          <w:titlePg/>
        </w:sectPr>
      </w:pPr>
      <w:r>
        <w:br w:type="page"/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8858250" cy="5222875"/>
            <wp:effectExtent l="0" t="0" r="0" b="0"/>
            <wp:docPr id="16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222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0" w:after="0"/>
        <w:rPr>
          <w:color w:val="000000"/>
        </w:rPr>
        <w:sectPr w:rsidR="00315841">
          <w:type w:val="continuous"/>
          <w:pgSz w:w="11906" w:h="16838"/>
          <w:pgMar w:top="1417" w:right="1417" w:bottom="1417" w:left="1417" w:header="708" w:footer="708" w:gutter="0"/>
          <w:cols w:space="708"/>
        </w:sectPr>
      </w:pPr>
      <w:r>
        <w:br w:type="page"/>
      </w:r>
    </w:p>
    <w:p w:rsidR="00315841" w:rsidRDefault="007A23BB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</w:pPr>
      <w:r>
        <w:rPr>
          <w:color w:val="000000"/>
        </w:rPr>
        <w:t xml:space="preserve">Az HTCS (URBACT Helyi Csoport) a találkozóit az Integrált Akcióterv közös kidolgozására használta fel. 2017 végéig nyolc tervezési találkozóra került sor, a következő témák mentén: </w:t>
      </w:r>
    </w:p>
    <w:p w:rsidR="00315841" w:rsidRDefault="007A23BB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ind w:left="1434" w:hanging="357"/>
        <w:jc w:val="both"/>
      </w:pPr>
      <w:r>
        <w:rPr>
          <w:color w:val="000000"/>
        </w:rPr>
        <w:t>Ideiglenes használatot jelentő potenciális tevékenységek tervezése</w:t>
      </w:r>
    </w:p>
    <w:p w:rsidR="00315841" w:rsidRDefault="007A23BB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ind w:left="1434" w:hanging="357"/>
        <w:jc w:val="both"/>
      </w:pPr>
      <w:r>
        <w:rPr>
          <w:color w:val="000000"/>
        </w:rPr>
        <w:t>Hálózat</w:t>
      </w:r>
      <w:r>
        <w:rPr>
          <w:color w:val="000000"/>
        </w:rPr>
        <w:t>-feltérképezés, az HTCS és az IAT partnerségi térképének elkészítése</w:t>
      </w:r>
    </w:p>
    <w:tbl>
      <w:tblPr>
        <w:tblStyle w:val="a9"/>
        <w:tblW w:w="7638" w:type="dxa"/>
        <w:tblInd w:w="1434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959"/>
        <w:gridCol w:w="3679"/>
      </w:tblGrid>
      <w:tr w:rsidR="00315841">
        <w:tc>
          <w:tcPr>
            <w:tcW w:w="3959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jc w:val="both"/>
              <w:rPr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0" distB="0" distL="0" distR="0">
                  <wp:extent cx="2672597" cy="1496322"/>
                  <wp:effectExtent l="0" t="0" r="0" b="0"/>
                  <wp:docPr id="20" name="image48.jpg" descr="20160927_1529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jpg" descr="20160927_152939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597" cy="14963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9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jc w:val="both"/>
              <w:rPr>
                <w:color w:val="00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509383" cy="2480223"/>
                  <wp:effectExtent l="485420" t="-485419" r="485420" b="-485419"/>
                  <wp:docPr id="18" name="image46.jpg" descr="WP_20160927_00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jpg" descr="WP_20160927_004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09383" cy="24802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5841" w:rsidRDefault="007A23BB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ind w:left="1434" w:hanging="357"/>
        <w:jc w:val="both"/>
      </w:pPr>
      <w:r>
        <w:rPr>
          <w:color w:val="000000"/>
        </w:rPr>
        <w:t>Porblémafa és célfa felállítása</w:t>
      </w:r>
    </w:p>
    <w:tbl>
      <w:tblPr>
        <w:tblStyle w:val="aa"/>
        <w:tblW w:w="7638" w:type="dxa"/>
        <w:tblInd w:w="1434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315"/>
        <w:gridCol w:w="4323"/>
      </w:tblGrid>
      <w:tr w:rsidR="00315841">
        <w:tc>
          <w:tcPr>
            <w:tcW w:w="3315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jc w:val="both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2470529" cy="1466686"/>
                  <wp:effectExtent l="0" t="0" r="0" b="0"/>
                  <wp:docPr id="19" name="image47.jpg" descr="C:\Users\polgar.tibor\Downloads\20161124_1630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jpg" descr="C:\Users\polgar.tibor\Downloads\20161124_163055.jpg"/>
                          <pic:cNvPicPr preferRelativeResize="0"/>
                        </pic:nvPicPr>
                        <pic:blipFill>
                          <a:blip r:embed="rId22"/>
                          <a:srcRect t="8908" r="13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529" cy="14666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3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jc w:val="both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3259047" cy="1463092"/>
                  <wp:effectExtent l="0" t="0" r="0" b="0"/>
                  <wp:docPr id="21" name="image49.jpg" descr="C:\Users\polgar.tibor\Downloads\20161124_1619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jpg" descr="C:\Users\polgar.tibor\Downloads\20161124_161908.jpg"/>
                          <pic:cNvPicPr preferRelativeResize="0"/>
                        </pic:nvPicPr>
                        <pic:blipFill>
                          <a:blip r:embed="rId23"/>
                          <a:srcRect b="20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047" cy="14630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5841" w:rsidRDefault="007A23BB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ind w:left="1434" w:hanging="357"/>
        <w:jc w:val="both"/>
      </w:pPr>
      <w:r>
        <w:rPr>
          <w:color w:val="000000"/>
        </w:rPr>
        <w:t>Akciók megtervezése az OPERA módszer segítségével</w:t>
      </w:r>
    </w:p>
    <w:tbl>
      <w:tblPr>
        <w:tblStyle w:val="ab"/>
        <w:tblW w:w="7638" w:type="dxa"/>
        <w:tblInd w:w="1434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095"/>
        <w:gridCol w:w="3543"/>
      </w:tblGrid>
      <w:tr w:rsidR="00315841">
        <w:tc>
          <w:tcPr>
            <w:tcW w:w="4095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jc w:val="both"/>
              <w:rPr>
                <w:color w:val="000000"/>
              </w:rPr>
            </w:pPr>
            <w:r>
              <w:rPr>
                <w:rFonts w:ascii="Verdana" w:eastAsia="Verdana" w:hAnsi="Verdana" w:cs="Verdana"/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66150" cy="1434826"/>
                  <wp:effectExtent l="0" t="0" r="0" b="0"/>
                  <wp:docPr id="22" name="image50.jpg" descr="C:\Users\beszter\Downloads\IMG_087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jpg" descr="C:\Users\beszter\Downloads\IMG_0877.JPG"/>
                          <pic:cNvPicPr preferRelativeResize="0"/>
                        </pic:nvPicPr>
                        <pic:blipFill>
                          <a:blip r:embed="rId24"/>
                          <a:srcRect l="3910" r="2255" b="127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150" cy="14348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jc w:val="both"/>
              <w:rPr>
                <w:color w:val="000000"/>
              </w:rPr>
            </w:pPr>
            <w:r>
              <w:rPr>
                <w:rFonts w:ascii="Verdana" w:eastAsia="Verdana" w:hAnsi="Verdana" w:cs="Verdana"/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426993" cy="1202968"/>
                  <wp:effectExtent l="-112012" t="112012" r="-112012" b="112012"/>
                  <wp:docPr id="23" name="image51.jpg" descr="C:\Users\beszter\Downloads\IMG_087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 descr="C:\Users\beszter\Downloads\IMG_0879.JPG"/>
                          <pic:cNvPicPr preferRelativeResize="0"/>
                        </pic:nvPicPr>
                        <pic:blipFill>
                          <a:blip r:embed="rId25"/>
                          <a:srcRect l="1277" t="21366" r="10123" b="-2136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26993" cy="12029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5841" w:rsidRDefault="007A23BB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jc w:val="both"/>
      </w:pPr>
      <w:r>
        <w:rPr>
          <w:color w:val="000000"/>
        </w:rPr>
        <w:t xml:space="preserve">A tervezett, hosszú távú funkciók potenciális térbeli elhelyezése (ez állandó témává vált az ezt követő találkozókon): </w:t>
      </w:r>
    </w:p>
    <w:tbl>
      <w:tblPr>
        <w:tblStyle w:val="ac"/>
        <w:tblW w:w="7638" w:type="dxa"/>
        <w:tblInd w:w="1434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857"/>
        <w:gridCol w:w="3781"/>
      </w:tblGrid>
      <w:tr w:rsidR="00315841">
        <w:tc>
          <w:tcPr>
            <w:tcW w:w="3857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jc w:val="both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2044190" cy="1421962"/>
                  <wp:effectExtent l="0" t="0" r="0" b="0"/>
                  <wp:docPr id="24" name="image52.jpg" descr="C:\Users\polgar.tibor\Downloads\IMG_11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jpg" descr="C:\Users\polgar.tibor\Downloads\IMG_1101.JPG"/>
                          <pic:cNvPicPr preferRelativeResize="0"/>
                        </pic:nvPicPr>
                        <pic:blipFill>
                          <a:blip r:embed="rId26"/>
                          <a:srcRect b="68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190" cy="14219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jc w:val="both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1965292" cy="1423836"/>
                  <wp:effectExtent l="0" t="0" r="0" b="0"/>
                  <wp:docPr id="25" name="image53.jpg" descr="C:\Users\polgar.tibor\Downloads\IMG_109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jpg" descr="C:\Users\polgar.tibor\Downloads\IMG_1098.JPG"/>
                          <pic:cNvPicPr preferRelativeResize="0"/>
                        </pic:nvPicPr>
                        <pic:blipFill>
                          <a:blip r:embed="rId27"/>
                          <a:srcRect l="8147" t="109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292" cy="14238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5841" w:rsidRDefault="007A23BB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jc w:val="both"/>
      </w:pPr>
      <w:r>
        <w:rPr>
          <w:color w:val="000000"/>
        </w:rPr>
        <w:t xml:space="preserve">A tervezett akciók potenciális szervezeti és irányítási keretei </w:t>
      </w:r>
    </w:p>
    <w:p w:rsidR="00315841" w:rsidRDefault="007A23BB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</w:pPr>
      <w:r>
        <w:rPr>
          <w:color w:val="000000"/>
        </w:rPr>
        <w:t xml:space="preserve">A helyi felmérés eredményeinek kiértékelése – visszacsatolás az IAT jövőképét, célkitűzéseit és lépéseit illetően </w:t>
      </w:r>
    </w:p>
    <w:p w:rsidR="00315841" w:rsidRDefault="007A23BB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</w:pPr>
      <w:r>
        <w:rPr>
          <w:color w:val="000000"/>
        </w:rPr>
        <w:t xml:space="preserve">Akciók ütemezése, a forrásfelhasználás alapelvei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Fenti folyamatokat</w:t>
      </w:r>
      <w:r>
        <w:rPr>
          <w:b/>
          <w:color w:val="000000"/>
        </w:rPr>
        <w:t xml:space="preserve"> </w:t>
      </w:r>
      <w:r>
        <w:rPr>
          <w:color w:val="000000"/>
        </w:rPr>
        <w:t xml:space="preserve">javasolt az akciótervezési szakasz után fenntartani, mint </w:t>
      </w:r>
    </w:p>
    <w:p w:rsidR="00315841" w:rsidRDefault="007A23BB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egyrészt az egyes akciók, fejlesztések konkrét részletes tervezését és megvalósítását,</w:t>
      </w:r>
    </w:p>
    <w:p w:rsidR="00315841" w:rsidRDefault="007A23BB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 xml:space="preserve"> másrészt az akcióterv létrejövő eredményeinek monitoringját és értékekését segítő eszközöket.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color w:val="000000"/>
        </w:rPr>
      </w:pPr>
      <w:r>
        <w:rPr>
          <w:color w:val="000000"/>
        </w:rPr>
        <w:t xml:space="preserve">Szombathely MJV Önkormányzata, mint a terület tulajdonosa, az URBACT MAPS projekt gesztora és egyúttal a HTCS alapító tagja gondoskodik arról, hogy </w:t>
      </w:r>
      <w:r>
        <w:rPr>
          <w:b/>
          <w:color w:val="000000"/>
        </w:rPr>
        <w:t>az Akcióterv kidolgozása és a városban folyó egyéb, potenciálisan kapcsolódó tervezési folyamatok összhangba</w:t>
      </w:r>
      <w:r>
        <w:rPr>
          <w:b/>
          <w:color w:val="000000"/>
        </w:rPr>
        <w:t>n legyenek és erősítsék egymást</w:t>
      </w:r>
      <w:r>
        <w:rPr>
          <w:color w:val="000000"/>
        </w:rPr>
        <w:t>. Erre példák</w:t>
      </w:r>
    </w:p>
    <w:p w:rsidR="00315841" w:rsidRDefault="007A23B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 xml:space="preserve">a más forrásból támogatott Helyi Közösségfejlesztési Stratégiában kulcsprojektként tervezett civil inkubátorház az egyik laktanyaépületben, </w:t>
      </w:r>
    </w:p>
    <w:p w:rsidR="00315841" w:rsidRDefault="007A23B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 xml:space="preserve">a Huszárlaktanya területével kapcsolatos, jelen Akciótervben szereplő </w:t>
      </w:r>
      <w:r>
        <w:rPr>
          <w:color w:val="000000"/>
        </w:rPr>
        <w:t>elképzelések beépítése a Város 2023-as “Európa Kulturális Fővárosa” pályázatába,</w:t>
      </w:r>
    </w:p>
    <w:p w:rsidR="00315841" w:rsidRDefault="007A23B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az Akciótervben lefektetett tervezett funkciók figyelembevétele a készülő területrendezési és közlekedésfejlesztési tervekben.</w:t>
      </w:r>
    </w:p>
    <w:p w:rsidR="00315841" w:rsidRDefault="007A23BB">
      <w:r>
        <w:br w:type="page"/>
      </w:r>
    </w:p>
    <w:p w:rsidR="00315841" w:rsidRDefault="007A23BB">
      <w:pPr>
        <w:pStyle w:val="Cmsor1"/>
      </w:pPr>
      <w:bookmarkStart w:id="19" w:name="_z337ya" w:colFirst="0" w:colLast="0"/>
      <w:bookmarkEnd w:id="19"/>
      <w:r>
        <w:t>4. Fejezet / Akciók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A moduláris revitalizációs</w:t>
      </w:r>
      <w:r>
        <w:rPr>
          <w:color w:val="000000"/>
        </w:rPr>
        <w:t xml:space="preserve"> akciótervezés korábban a komáromi Monostori Erőd esetében alkalmazott módszer, mellyel a nagy területet lefedő, több szempontból védett és kiemelt ingatlankomplexum újrahasznosítási programját elkészítették. A modulok alkalmazását (többek között) a nagy i</w:t>
      </w:r>
      <w:r>
        <w:rPr>
          <w:color w:val="000000"/>
        </w:rPr>
        <w:t xml:space="preserve">ngatlanméret, a magas költségigény, a tervezési időtáv és a szükséges források rendelkezésre állásának bizonytalan várható időpontja tette szükségessé.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b/>
          <w:color w:val="000000"/>
        </w:rPr>
        <w:t>Minden projekt/akció önálló, de egymással szorosan összefüggő fejlesztési-beruházási egység</w:t>
      </w:r>
      <w:r>
        <w:rPr>
          <w:color w:val="000000"/>
        </w:rPr>
        <w:t>ként – proje</w:t>
      </w:r>
      <w:r>
        <w:rPr>
          <w:color w:val="000000"/>
        </w:rPr>
        <w:t xml:space="preserve">ktmodulként – is meghatározható és kezelhető (alapvetően: „hasznosítási program, építészeti tervek, költség-vetés, elkülöníthető források, projektfelelős, ütemezés” jellemzőkkel). </w:t>
      </w:r>
      <w:r>
        <w:rPr>
          <w:b/>
          <w:color w:val="000000"/>
        </w:rPr>
        <w:t>A javasolt akciók megvalósítása időben és térben így rugalmasabban ütemezhet</w:t>
      </w:r>
      <w:r>
        <w:rPr>
          <w:b/>
          <w:color w:val="000000"/>
        </w:rPr>
        <w:t>ő, szakaszolható.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240"/>
        <w:jc w:val="both"/>
        <w:rPr>
          <w:b/>
          <w:color w:val="000000"/>
        </w:rPr>
      </w:pPr>
      <w:r>
        <w:rPr>
          <w:b/>
          <w:color w:val="000000"/>
        </w:rPr>
        <w:t xml:space="preserve">Funkciók térbeli  elhelyezésének szempontjai, a HTCS műhelymunkája alapján: </w:t>
      </w:r>
    </w:p>
    <w:tbl>
      <w:tblPr>
        <w:tblStyle w:val="ad"/>
        <w:tblW w:w="8926" w:type="dxa"/>
        <w:jc w:val="center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1669"/>
        <w:gridCol w:w="2721"/>
        <w:gridCol w:w="2268"/>
        <w:gridCol w:w="2268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  <w:jc w:val="center"/>
        </w:trPr>
        <w:tc>
          <w:tcPr>
            <w:tcW w:w="1669" w:type="dxa"/>
            <w:vAlign w:val="center"/>
          </w:tcPr>
          <w:p w:rsidR="00315841" w:rsidRDefault="00315841">
            <w:pPr>
              <w:spacing w:line="276" w:lineRule="auto"/>
              <w:jc w:val="center"/>
            </w:pPr>
          </w:p>
        </w:tc>
        <w:tc>
          <w:tcPr>
            <w:tcW w:w="2721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A terület</w:t>
            </w:r>
          </w:p>
        </w:tc>
        <w:tc>
          <w:tcPr>
            <w:tcW w:w="2268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B terület</w:t>
            </w:r>
          </w:p>
        </w:tc>
        <w:tc>
          <w:tcPr>
            <w:tcW w:w="2268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rPr>
                <w:b w:val="0"/>
              </w:rPr>
              <w:t>H</w:t>
            </w:r>
            <w:r>
              <w:t>asználathoz szükséges intézkedések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0"/>
          <w:jc w:val="center"/>
        </w:trPr>
        <w:tc>
          <w:tcPr>
            <w:tcW w:w="1669" w:type="dxa"/>
            <w:vAlign w:val="center"/>
          </w:tcPr>
          <w:p w:rsidR="00315841" w:rsidRDefault="00315841">
            <w:pPr>
              <w:spacing w:line="276" w:lineRule="auto"/>
              <w:jc w:val="center"/>
            </w:pPr>
          </w:p>
        </w:tc>
        <w:tc>
          <w:tcPr>
            <w:tcW w:w="2721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rPr>
                <w:b/>
              </w:rPr>
              <w:t>Állapot</w:t>
            </w:r>
          </w:p>
        </w:tc>
        <w:tc>
          <w:tcPr>
            <w:tcW w:w="2268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rPr>
                <w:b/>
              </w:rPr>
              <w:t>Állapot</w:t>
            </w:r>
          </w:p>
        </w:tc>
        <w:tc>
          <w:tcPr>
            <w:tcW w:w="2268" w:type="dxa"/>
            <w:vAlign w:val="center"/>
          </w:tcPr>
          <w:p w:rsidR="00315841" w:rsidRDefault="00315841">
            <w:pPr>
              <w:spacing w:line="276" w:lineRule="auto"/>
              <w:jc w:val="center"/>
            </w:pPr>
          </w:p>
        </w:tc>
      </w:tr>
      <w:tr w:rsidR="00315841" w:rsidTr="00315841">
        <w:trPr>
          <w:trHeight w:val="1480"/>
          <w:jc w:val="center"/>
        </w:trPr>
        <w:tc>
          <w:tcPr>
            <w:tcW w:w="1669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rPr>
                <w:b/>
              </w:rPr>
              <w:t>Nyílt terek: zöldterületek</w:t>
            </w:r>
          </w:p>
        </w:tc>
        <w:tc>
          <w:tcPr>
            <w:tcW w:w="2721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műemléki védettség</w:t>
            </w:r>
          </w:p>
          <w:p w:rsidR="00315841" w:rsidRDefault="007A23BB">
            <w:pPr>
              <w:spacing w:line="276" w:lineRule="auto"/>
              <w:jc w:val="center"/>
            </w:pPr>
            <w:r>
              <w:t xml:space="preserve"> részben szennyezett,</w:t>
            </w:r>
          </w:p>
          <w:p w:rsidR="00315841" w:rsidRDefault="007A23BB">
            <w:pPr>
              <w:spacing w:line="276" w:lineRule="auto"/>
              <w:jc w:val="center"/>
            </w:pPr>
            <w:r>
              <w:t>közművek hiánya</w:t>
            </w:r>
          </w:p>
        </w:tc>
        <w:tc>
          <w:tcPr>
            <w:tcW w:w="2268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műemléki környezet</w:t>
            </w:r>
          </w:p>
          <w:p w:rsidR="00315841" w:rsidRDefault="007A23BB">
            <w:pPr>
              <w:spacing w:line="276" w:lineRule="auto"/>
              <w:jc w:val="center"/>
            </w:pPr>
            <w:r>
              <w:t>részben szennyezett,</w:t>
            </w:r>
          </w:p>
          <w:p w:rsidR="00315841" w:rsidRDefault="007A23BB">
            <w:pPr>
              <w:spacing w:line="276" w:lineRule="auto"/>
              <w:jc w:val="center"/>
            </w:pPr>
            <w:r>
              <w:t>közművek hiánya</w:t>
            </w:r>
          </w:p>
        </w:tc>
        <w:tc>
          <w:tcPr>
            <w:tcW w:w="2268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további tisztítás</w:t>
            </w:r>
          </w:p>
          <w:p w:rsidR="00315841" w:rsidRDefault="007A23BB">
            <w:pPr>
              <w:spacing w:line="276" w:lineRule="auto"/>
              <w:jc w:val="center"/>
            </w:pPr>
            <w:r>
              <w:t>épületek lezárása</w:t>
            </w:r>
          </w:p>
          <w:p w:rsidR="00315841" w:rsidRDefault="007A23BB">
            <w:pPr>
              <w:spacing w:line="276" w:lineRule="auto"/>
              <w:jc w:val="center"/>
            </w:pPr>
            <w:r>
              <w:t>közműellátás biztosítása</w:t>
            </w:r>
          </w:p>
          <w:p w:rsidR="00315841" w:rsidRDefault="007A23BB">
            <w:pPr>
              <w:spacing w:line="276" w:lineRule="auto"/>
              <w:jc w:val="center"/>
            </w:pPr>
            <w:r>
              <w:t>rendszeres használathoz:</w:t>
            </w:r>
          </w:p>
          <w:p w:rsidR="00315841" w:rsidRDefault="007A23BB">
            <w:pPr>
              <w:spacing w:line="276" w:lineRule="auto"/>
              <w:jc w:val="center"/>
            </w:pPr>
            <w:r>
              <w:t>tereprendezés, parkosítás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20"/>
          <w:jc w:val="center"/>
        </w:trPr>
        <w:tc>
          <w:tcPr>
            <w:tcW w:w="1669" w:type="dxa"/>
            <w:vAlign w:val="center"/>
          </w:tcPr>
          <w:p w:rsidR="00315841" w:rsidRDefault="007A23BB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Nyílt terek:</w:t>
            </w:r>
          </w:p>
          <w:p w:rsidR="00315841" w:rsidRDefault="007A23BB">
            <w:pPr>
              <w:spacing w:line="276" w:lineRule="auto"/>
              <w:jc w:val="center"/>
            </w:pPr>
            <w:r>
              <w:rPr>
                <w:b/>
              </w:rPr>
              <w:t>út/szilárdburkolat</w:t>
            </w:r>
          </w:p>
        </w:tc>
        <w:tc>
          <w:tcPr>
            <w:tcW w:w="2721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javításra szorul,</w:t>
            </w:r>
          </w:p>
          <w:p w:rsidR="00315841" w:rsidRDefault="007A23BB">
            <w:pPr>
              <w:spacing w:line="276" w:lineRule="auto"/>
              <w:jc w:val="center"/>
            </w:pPr>
            <w:r>
              <w:t>kivilágítás hiánya</w:t>
            </w:r>
          </w:p>
        </w:tc>
        <w:tc>
          <w:tcPr>
            <w:tcW w:w="2268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Javításra szorul / bontandó</w:t>
            </w:r>
          </w:p>
          <w:p w:rsidR="00315841" w:rsidRDefault="007A23BB">
            <w:pPr>
              <w:spacing w:line="276" w:lineRule="auto"/>
              <w:jc w:val="center"/>
            </w:pPr>
            <w:r>
              <w:t>kivilágítás hiánya</w:t>
            </w:r>
          </w:p>
        </w:tc>
        <w:tc>
          <w:tcPr>
            <w:tcW w:w="2268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Megnyitandó szakaszok javítása, elkerítése</w:t>
            </w:r>
          </w:p>
        </w:tc>
      </w:tr>
      <w:tr w:rsidR="00315841" w:rsidTr="00315841">
        <w:trPr>
          <w:trHeight w:val="1580"/>
          <w:jc w:val="center"/>
        </w:trPr>
        <w:tc>
          <w:tcPr>
            <w:tcW w:w="1669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rPr>
                <w:b/>
              </w:rPr>
              <w:t>Fedett terek/épületek</w:t>
            </w:r>
          </w:p>
        </w:tc>
        <w:tc>
          <w:tcPr>
            <w:tcW w:w="2721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műemléki védettség</w:t>
            </w:r>
          </w:p>
          <w:p w:rsidR="00315841" w:rsidRDefault="007A23BB">
            <w:pPr>
              <w:spacing w:line="276" w:lineRule="auto"/>
              <w:jc w:val="center"/>
            </w:pPr>
            <w:r>
              <w:t>veszélyes,</w:t>
            </w:r>
          </w:p>
          <w:p w:rsidR="00315841" w:rsidRDefault="007A23BB">
            <w:pPr>
              <w:spacing w:line="276" w:lineRule="auto"/>
              <w:jc w:val="center"/>
            </w:pPr>
            <w:r>
              <w:t>közművek hiánya</w:t>
            </w:r>
          </w:p>
        </w:tc>
        <w:tc>
          <w:tcPr>
            <w:tcW w:w="2268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műemléki környezet</w:t>
            </w:r>
          </w:p>
          <w:p w:rsidR="00315841" w:rsidRDefault="007A23BB">
            <w:pPr>
              <w:spacing w:line="276" w:lineRule="auto"/>
              <w:jc w:val="center"/>
            </w:pPr>
            <w:r>
              <w:t>bontandó</w:t>
            </w:r>
          </w:p>
          <w:p w:rsidR="00315841" w:rsidRDefault="007A23BB">
            <w:pPr>
              <w:spacing w:line="276" w:lineRule="auto"/>
              <w:jc w:val="center"/>
            </w:pPr>
            <w:r>
              <w:t>új építés</w:t>
            </w:r>
          </w:p>
        </w:tc>
        <w:tc>
          <w:tcPr>
            <w:tcW w:w="2268" w:type="dxa"/>
            <w:vAlign w:val="center"/>
          </w:tcPr>
          <w:p w:rsidR="00315841" w:rsidRDefault="007A23BB">
            <w:pPr>
              <w:spacing w:line="276" w:lineRule="auto"/>
              <w:jc w:val="center"/>
            </w:pPr>
            <w:r>
              <w:t>Állagmegóvás (A), cserepezés (A), bontás (B),</w:t>
            </w:r>
          </w:p>
          <w:p w:rsidR="00315841" w:rsidRDefault="007A23BB">
            <w:pPr>
              <w:spacing w:line="276" w:lineRule="auto"/>
              <w:jc w:val="center"/>
            </w:pPr>
            <w:r>
              <w:t>Rendszeres használathoz: felújítás (A)</w:t>
            </w:r>
          </w:p>
        </w:tc>
      </w:tr>
    </w:tbl>
    <w:p w:rsidR="00315841" w:rsidRDefault="007A23BB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b/>
          <w:color w:val="000000"/>
        </w:rPr>
      </w:pPr>
      <w:r>
        <w:rPr>
          <w:b/>
          <w:color w:val="000000"/>
        </w:rPr>
        <w:t>A tervezett akciók áttekintése a területfelosztásnak megfelelően:</w:t>
      </w:r>
    </w:p>
    <w:tbl>
      <w:tblPr>
        <w:tblStyle w:val="ae"/>
        <w:tblW w:w="9048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A0" w:firstRow="1" w:lastRow="0" w:firstColumn="1" w:lastColumn="0" w:noHBand="0" w:noVBand="1"/>
      </w:tblPr>
      <w:tblGrid>
        <w:gridCol w:w="1576"/>
        <w:gridCol w:w="3380"/>
        <w:gridCol w:w="4092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Align w:val="center"/>
          </w:tcPr>
          <w:p w:rsidR="00315841" w:rsidRDefault="007A23BB">
            <w:pPr>
              <w:keepNext/>
              <w:spacing w:before="120" w:after="120" w:line="276" w:lineRule="auto"/>
              <w:jc w:val="center"/>
            </w:pPr>
            <w:r>
              <w:t>Modul</w:t>
            </w:r>
          </w:p>
        </w:tc>
        <w:tc>
          <w:tcPr>
            <w:tcW w:w="3380" w:type="dxa"/>
            <w:vAlign w:val="center"/>
          </w:tcPr>
          <w:p w:rsidR="00315841" w:rsidRDefault="007A23BB">
            <w:pPr>
              <w:keepNext/>
              <w:spacing w:before="120" w:after="12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</w:rPr>
              <w:t>Projekt</w:t>
            </w:r>
          </w:p>
        </w:tc>
        <w:tc>
          <w:tcPr>
            <w:tcW w:w="4092" w:type="dxa"/>
            <w:vAlign w:val="center"/>
          </w:tcPr>
          <w:p w:rsidR="00315841" w:rsidRDefault="007A23BB">
            <w:pPr>
              <w:keepNext/>
              <w:spacing w:before="120" w:after="120"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</w:rPr>
              <w:t>Akció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 w:val="restart"/>
            <w:vAlign w:val="center"/>
          </w:tcPr>
          <w:p w:rsidR="00315841" w:rsidRDefault="007A23BB">
            <w:pPr>
              <w:keepNext/>
              <w:spacing w:before="120" w:after="120" w:line="276" w:lineRule="auto"/>
              <w:jc w:val="center"/>
            </w:pPr>
            <w:r>
              <w:t xml:space="preserve">“A” terület </w:t>
            </w:r>
          </w:p>
        </w:tc>
        <w:tc>
          <w:tcPr>
            <w:tcW w:w="3380" w:type="dxa"/>
            <w:vMerge w:val="restart"/>
            <w:vAlign w:val="center"/>
          </w:tcPr>
          <w:p w:rsidR="00315841" w:rsidRDefault="007A23BB">
            <w:pPr>
              <w:keepNext/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4.1 9 db rossz állapotú műemlék épület megújítása</w:t>
            </w:r>
          </w:p>
        </w:tc>
        <w:tc>
          <w:tcPr>
            <w:tcW w:w="4092" w:type="dxa"/>
            <w:vAlign w:val="center"/>
          </w:tcPr>
          <w:p w:rsidR="00315841" w:rsidRDefault="007A23BB">
            <w:pPr>
              <w:keepNext/>
              <w:spacing w:before="120" w:after="120"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4.1.1 Az „A” területtel és az azon elhelyezkedő műemléki épületekkel kapcsolatos felmérési és tervezési tevékenység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</w:pPr>
          </w:p>
        </w:tc>
        <w:tc>
          <w:tcPr>
            <w:tcW w:w="338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4092" w:type="dxa"/>
            <w:vAlign w:val="center"/>
          </w:tcPr>
          <w:p w:rsidR="00315841" w:rsidRDefault="007A23BB">
            <w:pPr>
              <w:keepNext/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4.1.2 A Huszárlaktanya történetét bemutató történeti kiállítás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</w:pPr>
          </w:p>
        </w:tc>
        <w:tc>
          <w:tcPr>
            <w:tcW w:w="338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092" w:type="dxa"/>
          </w:tcPr>
          <w:p w:rsidR="00315841" w:rsidRDefault="007A23BB">
            <w:pPr>
              <w:spacing w:before="120" w:after="12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4.1.3 Civil inkubátor helyi civil és önkéntes szervezetek számára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</w:rPr>
            </w:pPr>
          </w:p>
        </w:tc>
        <w:tc>
          <w:tcPr>
            <w:tcW w:w="338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4092" w:type="dxa"/>
          </w:tcPr>
          <w:p w:rsidR="00315841" w:rsidRDefault="007A23BB">
            <w:pP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4.1.4 Inkubátor / co-working irodák kreatív szektorban működő vállalkozásoknak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</w:pPr>
          </w:p>
        </w:tc>
        <w:tc>
          <w:tcPr>
            <w:tcW w:w="338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092" w:type="dxa"/>
          </w:tcPr>
          <w:p w:rsidR="00315841" w:rsidRDefault="007A23BB">
            <w:pPr>
              <w:spacing w:before="120" w:after="12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4.1.5 Waldorf Iskola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</w:pPr>
          </w:p>
        </w:tc>
        <w:tc>
          <w:tcPr>
            <w:tcW w:w="338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4092" w:type="dxa"/>
          </w:tcPr>
          <w:p w:rsidR="00315841" w:rsidRDefault="007A23BB">
            <w:pPr>
              <w:spacing w:before="120" w:after="12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4.1.6 Közösségi műtermek / galéria városi és várostérségi képzőművészek számára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</w:pPr>
          </w:p>
        </w:tc>
        <w:tc>
          <w:tcPr>
            <w:tcW w:w="338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092" w:type="dxa"/>
          </w:tcPr>
          <w:p w:rsidR="00315841" w:rsidRDefault="007A23BB">
            <w:pPr>
              <w:spacing w:before="120" w:after="12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4.1.7 Próbatermek: előadó művészet, zene, tánc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</w:pPr>
          </w:p>
        </w:tc>
        <w:tc>
          <w:tcPr>
            <w:tcW w:w="338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4092" w:type="dxa"/>
          </w:tcPr>
          <w:p w:rsidR="00315841" w:rsidRDefault="007A23BB">
            <w:pPr>
              <w:spacing w:before="120" w:after="12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4.1.8 Lakó- vagy irodaépületek (0-2)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 w:val="restart"/>
            <w:vAlign w:val="center"/>
          </w:tcPr>
          <w:p w:rsidR="00315841" w:rsidRDefault="007A23BB">
            <w:pPr>
              <w:spacing w:before="120" w:after="120" w:line="276" w:lineRule="auto"/>
              <w:jc w:val="center"/>
            </w:pPr>
            <w:r>
              <w:t>Szabadtéri területek</w:t>
            </w:r>
          </w:p>
        </w:tc>
        <w:tc>
          <w:tcPr>
            <w:tcW w:w="7472" w:type="dxa"/>
            <w:gridSpan w:val="2"/>
            <w:vAlign w:val="center"/>
          </w:tcPr>
          <w:p w:rsidR="00315841" w:rsidRDefault="007A23B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4.2.1 Tájépítészeti és kertészeti tervek elkészítése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</w:pPr>
          </w:p>
        </w:tc>
        <w:tc>
          <w:tcPr>
            <w:tcW w:w="3380" w:type="dxa"/>
            <w:shd w:val="clear" w:color="auto" w:fill="DBE6B6"/>
            <w:vAlign w:val="center"/>
          </w:tcPr>
          <w:p w:rsidR="00315841" w:rsidRDefault="007A23BB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4.2.2 „A” terület</w:t>
            </w:r>
          </w:p>
          <w:p w:rsidR="00315841" w:rsidRDefault="00315841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4092" w:type="dxa"/>
            <w:vAlign w:val="center"/>
          </w:tcPr>
          <w:p w:rsidR="00315841" w:rsidRDefault="007A23BB">
            <w:pPr>
              <w:spacing w:before="120" w:after="120"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4.2.2.1 “A” terület zöldfelületeinek és szabadtéri részének hasznosítása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ind w:left="318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Szabadtéri installációk: </w:t>
            </w:r>
          </w:p>
          <w:p w:rsidR="00315841" w:rsidRDefault="007A23BB">
            <w:pPr>
              <w:numPr>
                <w:ilvl w:val="0"/>
                <w:numId w:val="3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000000"/>
              </w:rPr>
              <w:t>Helyi/térségi képzőművészek alkotásainak elhelyezése;</w:t>
            </w:r>
          </w:p>
          <w:p w:rsidR="00315841" w:rsidRDefault="007A23BB">
            <w:pPr>
              <w:numPr>
                <w:ilvl w:val="0"/>
                <w:numId w:val="3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000000"/>
              </w:rPr>
              <w:t>Helyi/térségi katonai és kulturális örökségi tárgyak kültéri bemutatása;</w:t>
            </w:r>
          </w:p>
          <w:p w:rsidR="00315841" w:rsidRDefault="007A23BB">
            <w:pPr>
              <w:numPr>
                <w:ilvl w:val="0"/>
                <w:numId w:val="3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000000"/>
              </w:rPr>
              <w:t>Huszár/ Ló / OM Monarchia kora / Szovjet hadsereg témájú szabadtéri játékok elhelyezése;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318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000000"/>
              </w:rPr>
              <w:t>Szabadtéri színpad kialakítása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318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000000"/>
              </w:rPr>
              <w:t>Kisméretű piac- és rendezvénytér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120" w:line="276" w:lineRule="auto"/>
              <w:ind w:left="318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000000"/>
              </w:rPr>
              <w:t>Huszár hagyományőrző és bemutatóhely, valamint lovaspálya</w:t>
            </w:r>
          </w:p>
          <w:p w:rsidR="00315841" w:rsidRDefault="007A23BB">
            <w:pPr>
              <w:spacing w:before="120" w:after="12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Szabadtéri színpad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</w:pPr>
          </w:p>
        </w:tc>
        <w:tc>
          <w:tcPr>
            <w:tcW w:w="3380" w:type="dxa"/>
            <w:vAlign w:val="center"/>
          </w:tcPr>
          <w:p w:rsidR="00315841" w:rsidRDefault="007A23BB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4.2.3 „B” terület</w:t>
            </w:r>
          </w:p>
        </w:tc>
        <w:tc>
          <w:tcPr>
            <w:tcW w:w="4092" w:type="dxa"/>
            <w:vAlign w:val="center"/>
          </w:tcPr>
          <w:p w:rsidR="00315841" w:rsidRDefault="007A23BB">
            <w:pPr>
              <w:spacing w:before="120" w:after="12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4.2.3.1 B terület zöldfelületeinek és szabadtéri részének hasznosítása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ind w:left="318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color w:val="000000"/>
              </w:rPr>
              <w:t>Központi Park – “Huszár Liget”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318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color w:val="000000"/>
              </w:rPr>
              <w:t>Közösségi kert(ek)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318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color w:val="000000"/>
              </w:rPr>
              <w:t>Kisebb ligetes zöld közösségi terek kialakítása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318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color w:val="000000"/>
              </w:rPr>
              <w:t>Tematikus huszár játszótér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318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color w:val="000000"/>
              </w:rPr>
              <w:t>Szabadtéri sportpályák, -eszközök: bringapark, street sportok stb.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318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color w:val="000000"/>
              </w:rPr>
              <w:t>Közös tárolóépületek az új lakások lakói és a közösségi kertek használói számára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318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color w:val="000000"/>
              </w:rPr>
              <w:t>Velodrom</w:t>
            </w:r>
          </w:p>
          <w:p w:rsidR="00315841" w:rsidRDefault="007A23BB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120" w:line="276" w:lineRule="auto"/>
              <w:ind w:left="318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color w:val="000000"/>
              </w:rPr>
              <w:t>Vásárterület és csarnok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 w:val="restart"/>
            <w:vAlign w:val="center"/>
          </w:tcPr>
          <w:p w:rsidR="00315841" w:rsidRDefault="007A23BB">
            <w:pPr>
              <w:spacing w:before="120" w:after="120" w:line="276" w:lineRule="auto"/>
              <w:jc w:val="center"/>
            </w:pPr>
            <w:r>
              <w:t>“B” terület</w:t>
            </w:r>
          </w:p>
        </w:tc>
        <w:tc>
          <w:tcPr>
            <w:tcW w:w="3380" w:type="dxa"/>
            <w:vMerge w:val="restart"/>
            <w:vAlign w:val="center"/>
          </w:tcPr>
          <w:p w:rsidR="00315841" w:rsidRDefault="007A23BB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4.3 Lakóterület</w:t>
            </w:r>
          </w:p>
        </w:tc>
        <w:tc>
          <w:tcPr>
            <w:tcW w:w="4092" w:type="dxa"/>
            <w:vAlign w:val="center"/>
          </w:tcPr>
          <w:p w:rsidR="00315841" w:rsidRDefault="007A23BB">
            <w:pPr>
              <w:spacing w:before="120" w:after="12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4.3.1 Részletes szabályozási terv, telekfelosztás elkészítése, talajszennyezés részletes felmérése, bontási terv a „B” terület értéktelen épületei vonatkozásában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</w:pPr>
          </w:p>
        </w:tc>
        <w:tc>
          <w:tcPr>
            <w:tcW w:w="3380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092" w:type="dxa"/>
            <w:vAlign w:val="center"/>
          </w:tcPr>
          <w:p w:rsidR="00315841" w:rsidRDefault="007A23BB">
            <w:pPr>
              <w:spacing w:before="120" w:after="12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4.3.2 Terület értékesítése, belső közlekedési útvonalak, parkolók illetve egyéb közművek tervezése és kiépítése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 w:val="restart"/>
            <w:vAlign w:val="center"/>
          </w:tcPr>
          <w:p w:rsidR="00315841" w:rsidRDefault="007A23BB">
            <w:pPr>
              <w:spacing w:before="120" w:after="120" w:line="276" w:lineRule="auto"/>
              <w:jc w:val="center"/>
            </w:pPr>
            <w:r>
              <w:t>Horizontális tevékenységek</w:t>
            </w:r>
          </w:p>
        </w:tc>
        <w:tc>
          <w:tcPr>
            <w:tcW w:w="7472" w:type="dxa"/>
            <w:gridSpan w:val="2"/>
            <w:vAlign w:val="center"/>
          </w:tcPr>
          <w:p w:rsidR="00315841" w:rsidRDefault="007A23BB">
            <w:pPr>
              <w:spacing w:before="120" w:after="12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4.4 Karbantartás, állagmegóvás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6" w:type="dxa"/>
            <w:vMerge/>
            <w:vAlign w:val="center"/>
          </w:tcPr>
          <w:p w:rsidR="00315841" w:rsidRDefault="003158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</w:pPr>
          </w:p>
        </w:tc>
        <w:tc>
          <w:tcPr>
            <w:tcW w:w="7472" w:type="dxa"/>
            <w:gridSpan w:val="2"/>
            <w:vAlign w:val="center"/>
          </w:tcPr>
          <w:p w:rsidR="00315841" w:rsidRDefault="007A23BB">
            <w:pPr>
              <w:spacing w:before="120" w:after="12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4.5 Kommunikációs tevékenységek</w:t>
            </w:r>
          </w:p>
        </w:tc>
      </w:tr>
    </w:tbl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b/>
          <w:color w:val="000000"/>
        </w:rPr>
      </w:pPr>
      <w:r>
        <w:rPr>
          <w:b/>
          <w:color w:val="000000"/>
        </w:rPr>
        <w:t>A Helyi Támogató Csoport javaslata a fenti funkciók térbeli elhelyezésére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b/>
          <w:color w:val="FF0000"/>
        </w:rPr>
      </w:pPr>
      <w:r>
        <w:rPr>
          <w:noProof/>
          <w:color w:val="000000"/>
        </w:rPr>
        <w:drawing>
          <wp:inline distT="0" distB="0" distL="0" distR="0">
            <wp:extent cx="5919121" cy="4439341"/>
            <wp:effectExtent l="0" t="0" r="0" b="0"/>
            <wp:docPr id="26" name="image54.png" descr="C:\Users\beszter\AppData\Local\Microsoft\Windows\Temporary Internet Files\Content.Word\Map v1.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 descr="C:\Users\beszter\AppData\Local\Microsoft\Windows\Temporary Internet Files\Content.Word\Map v1.1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9121" cy="44393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Az alábbiakban a fenti tervezett akciókat beavatkozási területenként:</w:t>
      </w:r>
    </w:p>
    <w:p w:rsidR="00315841" w:rsidRDefault="007A23BB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műemlék épületek revitalizálása,</w:t>
      </w:r>
    </w:p>
    <w:p w:rsidR="00315841" w:rsidRDefault="007A23BB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szabadtéri területek fejlesztése,</w:t>
      </w:r>
    </w:p>
    <w:p w:rsidR="00315841" w:rsidRDefault="007A23BB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új építésű épületek,</w:t>
      </w:r>
    </w:p>
    <w:p w:rsidR="00315841" w:rsidRDefault="007A23BB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horizontális tevékenységek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360"/>
        <w:jc w:val="both"/>
        <w:rPr>
          <w:color w:val="000000"/>
        </w:rPr>
      </w:pPr>
      <w:r>
        <w:rPr>
          <w:color w:val="000000"/>
        </w:rPr>
        <w:t>bontásban ismertetjük.</w:t>
      </w:r>
    </w:p>
    <w:p w:rsidR="00315841" w:rsidRDefault="007A23BB">
      <w:pPr>
        <w:pStyle w:val="Cmsor2"/>
      </w:pPr>
      <w:bookmarkStart w:id="20" w:name="_3j2qqm3" w:colFirst="0" w:colLast="0"/>
      <w:bookmarkEnd w:id="20"/>
      <w:r>
        <w:t xml:space="preserve">4.1 Műemlék épületek – tervezett akciók </w:t>
      </w:r>
    </w:p>
    <w:p w:rsidR="00315841" w:rsidRDefault="007A23BB">
      <w:pPr>
        <w:jc w:val="both"/>
      </w:pPr>
      <w:r>
        <w:t>Az alábbiakban az egyes műemléképületekre számozással fogunk hivatkozni. A 11. számú épület nem védett, ugyanakkor része a B terület műemléki környezetének.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760720" cy="3240405"/>
            <wp:effectExtent l="0" t="0" r="0" b="0"/>
            <wp:docPr id="27" name="image55.png" descr="C:\Users\beszter\AppData\Local\Microsoft\Windows\Temporary Internet Files\Content.Word\Map N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 descr="C:\Users\beszter\AppData\Local\Microsoft\Windows\Temporary Internet Files\Content.Word\Map Nr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r>
        <w:br w:type="page"/>
      </w:r>
    </w:p>
    <w:tbl>
      <w:tblPr>
        <w:tblStyle w:val="af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t>4.1.1 Az „A” területtel és az azon elhelyezkedő műemléki épületekkel kapcsolatos felmérési és tervezési tevékenység</w:t>
            </w:r>
          </w:p>
          <w:p w:rsidR="00315841" w:rsidRDefault="007A23BB">
            <w:pPr>
              <w:spacing w:line="276" w:lineRule="auto"/>
            </w:pPr>
            <w:r>
              <w:t>Épületek: 2–10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Alapadatok:</w:t>
            </w:r>
            <w:r>
              <w:t xml:space="preserve"> A mintegy 14 000 m</w:t>
            </w:r>
            <w:r>
              <w:rPr>
                <w:vertAlign w:val="superscript"/>
              </w:rPr>
              <w:t>2</w:t>
            </w:r>
            <w:r>
              <w:t xml:space="preserve"> területű épületek részletes állapotfelmérése, a sürgős állagmegóvási feladatok és az épületek közművekkel és egyéb alapinfrastruktúrával való ellátásának megtervezése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Létrehozandó funkciók: </w:t>
            </w:r>
          </w:p>
          <w:p w:rsidR="00315841" w:rsidRDefault="007A23BB">
            <w:pPr>
              <w:spacing w:line="276" w:lineRule="auto"/>
              <w:jc w:val="both"/>
            </w:pPr>
            <w:r>
              <w:t>Az „A” terület felújításra szoruló 9 épületének hasznosítását a</w:t>
            </w:r>
            <w:r>
              <w:t xml:space="preserve"> folyamatos állagromlás és közművek teljes hiánya gátolja. Tekintettel arra, hogy az Akciótervben meghatározott lehetséges funkciók egy része civil és magán szereplők bevonásával lehetséges, az első szükséges lépések:</w:t>
            </w:r>
          </w:p>
          <w:p w:rsidR="00315841" w:rsidRDefault="007A23BB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egy aktuális részletes és egységes mód</w:t>
            </w:r>
            <w:r>
              <w:rPr>
                <w:color w:val="000000"/>
              </w:rPr>
              <w:t>szertan alapján készülő állapotfelmérés a védett épületek tekintetében,</w:t>
            </w:r>
          </w:p>
          <w:p w:rsidR="00315841" w:rsidRDefault="007A23BB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 xml:space="preserve"> a további állapotromlást megakadályozó, elsősorban a tetőszerkezeteket érintő állagmegóvási munkák részletes tervezése, ütemezése, továbbá</w:t>
            </w:r>
          </w:p>
          <w:p w:rsidR="00315841" w:rsidRDefault="007A23BB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 xml:space="preserve"> minden új funkció telepítéséhez szükséges közművek és közlekedési infrastruktúra megtervezése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 xml:space="preserve">SZMJV Önkormányzata, SZOVA Zrt. 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A felújítandó épületekben fejlesztéseket megvalósító potenciális szervezetek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AZ „A” terület megújuló épületeiben helyet kapó új funkciók célcsoportjai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Várt társadalmi-gazdasági eredmény, hatás: </w:t>
            </w:r>
          </w:p>
          <w:p w:rsidR="00315841" w:rsidRDefault="007A23BB">
            <w:pPr>
              <w:spacing w:line="276" w:lineRule="auto"/>
              <w:jc w:val="both"/>
            </w:pPr>
            <w:r>
              <w:t>Civil/üzleti hasznosítás költségei tervezhetővé válnak, a hasznosítás lehetővé válik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Várt környezeti eredmény, hatás:</w:t>
            </w:r>
          </w:p>
          <w:p w:rsidR="00315841" w:rsidRDefault="007A23BB">
            <w:pPr>
              <w:spacing w:line="276" w:lineRule="auto"/>
            </w:pPr>
            <w:r>
              <w:t>Semleges. Az épületek rákapcsolása az (elsősorban biomassza-alapú) közösségi fűtési rendszerre fenntartható megoldást eredményezhet.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Tervezett költségek:</w:t>
            </w:r>
            <w:r>
              <w:t xml:space="preserve"> 7 MFt 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Potenciális források: </w:t>
            </w:r>
          </w:p>
          <w:p w:rsidR="00315841" w:rsidRDefault="007A23BB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 xml:space="preserve">Városi költségvetés </w:t>
            </w:r>
          </w:p>
          <w:p w:rsidR="00315841" w:rsidRDefault="007A23BB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EKF források</w:t>
            </w:r>
          </w:p>
          <w:p w:rsidR="00315841" w:rsidRDefault="007A23BB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 xml:space="preserve">Nemzeti költségvetés 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spacing w:line="276" w:lineRule="auto"/>
            </w:pPr>
            <w:r>
              <w:t>SZOVA Zrt., Apáczai Alapítvány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Kockázatok: </w:t>
            </w:r>
          </w:p>
          <w:p w:rsidR="00315841" w:rsidRDefault="007A23BB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A tevékenység elhúzódása ellehetetleníti a műemléképületek hasznosítását</w:t>
            </w:r>
          </w:p>
        </w:tc>
      </w:tr>
    </w:tbl>
    <w:p w:rsidR="00315841" w:rsidRDefault="00315841">
      <w:pPr>
        <w:pBdr>
          <w:top w:val="nil"/>
          <w:left w:val="nil"/>
          <w:bottom w:val="nil"/>
          <w:right w:val="nil"/>
          <w:between w:val="nil"/>
        </w:pBdr>
        <w:spacing w:before="0" w:after="0"/>
        <w:jc w:val="both"/>
        <w:rPr>
          <w:color w:val="000000"/>
        </w:rPr>
      </w:pPr>
    </w:p>
    <w:tbl>
      <w:tblPr>
        <w:tblStyle w:val="af0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keepNext/>
              <w:spacing w:line="276" w:lineRule="auto"/>
              <w:jc w:val="both"/>
            </w:pPr>
            <w:r>
              <w:t>4.1.2 A Huszárlaktanya történetét bemutató történeti kiállítás</w:t>
            </w:r>
          </w:p>
          <w:p w:rsidR="00315841" w:rsidRDefault="007A23BB">
            <w:pPr>
              <w:keepNext/>
              <w:spacing w:line="276" w:lineRule="auto"/>
            </w:pPr>
            <w:r>
              <w:t>Épületek: 2–10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keepNext/>
              <w:spacing w:line="276" w:lineRule="auto"/>
            </w:pPr>
            <w:r>
              <w:rPr>
                <w:b/>
              </w:rPr>
              <w:t>Alapadatok:</w:t>
            </w:r>
            <w:r>
              <w:t xml:space="preserve"> 100-250 m</w:t>
            </w:r>
            <w:r>
              <w:rPr>
                <w:vertAlign w:val="superscript"/>
              </w:rPr>
              <w:t>2</w:t>
            </w:r>
            <w:r>
              <w:t xml:space="preserve"> területen, az egyik tiszti épület alsó szintjén kialakított kiállítás interaktív elemekkel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Létrehozandó funkciók:</w:t>
            </w:r>
          </w:p>
          <w:p w:rsidR="00315841" w:rsidRDefault="007A23BB">
            <w:pPr>
              <w:spacing w:line="276" w:lineRule="auto"/>
            </w:pPr>
            <w:r>
              <w:t>A Huszárlaktanya területének építészeti</w:t>
            </w:r>
            <w:r>
              <w:t xml:space="preserve">, hadtörténeti és helytörténeti vonatkozásait bemutató kiállítás. A Savaria Múzeum és a Vas Megyei levéltár továbbá az Apáczai Alapítvány által őrzött dokumentumok és fényképek alapján. </w:t>
            </w:r>
          </w:p>
          <w:p w:rsidR="00315841" w:rsidRDefault="007A23BB">
            <w:pPr>
              <w:spacing w:line="276" w:lineRule="auto"/>
            </w:pPr>
            <w:r>
              <w:t>A kiállítás lehetséges elemei:</w:t>
            </w:r>
          </w:p>
          <w:p w:rsidR="00315841" w:rsidRDefault="007A23BB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Szombathely a Laktanya építésének idej</w:t>
            </w:r>
            <w:r>
              <w:rPr>
                <w:color w:val="000000"/>
              </w:rPr>
              <w:t>ében</w:t>
            </w:r>
          </w:p>
          <w:p w:rsidR="00315841" w:rsidRDefault="007A23BB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Az itt állomásozó haderő bemutatása egyes időszakonként</w:t>
            </w:r>
          </w:p>
          <w:p w:rsidR="00315841" w:rsidRDefault="007A23BB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A hadsereg szerepe a város életében – gazdasági-társadalmi funkciók, sport stb.</w:t>
            </w:r>
          </w:p>
          <w:p w:rsidR="00315841" w:rsidRDefault="007A23BB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Kiemelkedő események, személyek élményszerű bemutatása</w:t>
            </w:r>
          </w:p>
          <w:p w:rsidR="00315841" w:rsidRDefault="007A23BB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Az épületegyüttes építészeti múltjának bemutatása interaktív elemekkel – pl. 3D számítógépes modellekkel</w:t>
            </w:r>
          </w:p>
          <w:p w:rsidR="00315841" w:rsidRDefault="007A23BB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Egyéb helyi gyűjtemények időszakos vagy állandó bemutatása</w:t>
            </w:r>
          </w:p>
          <w:p w:rsidR="00315841" w:rsidRDefault="007A23BB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Huszár/ Ló / OM Monarchia kora / Szovjet hadsereg témájú szabadtéri játékok és műalkotások e</w:t>
            </w:r>
            <w:r>
              <w:rPr>
                <w:color w:val="000000"/>
              </w:rPr>
              <w:t>lhelyezése a kiállítás közelében</w:t>
            </w:r>
          </w:p>
          <w:p w:rsidR="00315841" w:rsidRDefault="007A23BB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Közösségi médiafelület a kiállítás témájához kapcsolódó családi fotók és kapcsolódó törtnetek megosztására, rendszerezésére</w:t>
            </w:r>
          </w:p>
          <w:p w:rsidR="00315841" w:rsidRDefault="007A23BB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A kiállítás megnyitásához és piaci bevezetéséhez kapcsolódó rendezvények és marketingkampány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Városi lakosok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Turisták, elsősorban az osztrák, szlovén és horvát határrégiókból (kiállítás anyaga ezért legyen kétnyelvű vagy német / angol tárlatvezető kiadványt kellene kidolgozni a kiállítás számára)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Rendezvényekre látogatók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Alap és középfokú oktatási intézményekben tanulók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Várt társadalmi-gazdasági eredmény, hatás:</w:t>
            </w:r>
          </w:p>
          <w:p w:rsidR="00315841" w:rsidRDefault="007A23BB">
            <w:pPr>
              <w:spacing w:line="276" w:lineRule="auto"/>
              <w:jc w:val="both"/>
            </w:pPr>
            <w:r>
              <w:t>A terület történetének széleskörű megismertetésével, a hely eredeti szellemének élményszerű bemutatásával a helyi kulturális örökség bemutatása, tudatosítása, hel</w:t>
            </w:r>
            <w:r>
              <w:t>yi identitás erősítése</w:t>
            </w:r>
          </w:p>
          <w:p w:rsidR="00315841" w:rsidRDefault="007A23BB">
            <w:pPr>
              <w:jc w:val="both"/>
            </w:pPr>
            <w:r>
              <w:t>A terület kulturális öröksége iránti figyelem élénkül</w:t>
            </w:r>
          </w:p>
          <w:p w:rsidR="00315841" w:rsidRDefault="007A23BB">
            <w:pPr>
              <w:spacing w:line="276" w:lineRule="auto"/>
              <w:jc w:val="both"/>
            </w:pPr>
            <w:r>
              <w:t>Növekszik a múzeum látogatóinak száma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Várt környezeti eredmény, hatás:</w:t>
            </w:r>
          </w:p>
          <w:p w:rsidR="00315841" w:rsidRDefault="007A23BB">
            <w:pPr>
              <w:spacing w:line="276" w:lineRule="auto"/>
            </w:pPr>
            <w:r>
              <w:t>Semleges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Tervezett költségek:</w:t>
            </w:r>
            <w:r>
              <w:t xml:space="preserve"> 110-130 M Ft (az épület ill. a terület közművesítésének költségei nélkül)</w:t>
            </w:r>
          </w:p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Potenciális források:</w:t>
            </w:r>
            <w:r>
              <w:t xml:space="preserve"> turisztikai illetve kulturális fejlesztési források: </w:t>
            </w:r>
          </w:p>
          <w:p w:rsidR="00315841" w:rsidRDefault="007A23BB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TOP, EFOP</w:t>
            </w:r>
          </w:p>
          <w:p w:rsidR="00315841" w:rsidRDefault="007A23BB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AT-HU vagy SI-HU ETE programok,</w:t>
            </w:r>
          </w:p>
          <w:p w:rsidR="00315841" w:rsidRDefault="007A23BB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EKF források</w:t>
            </w:r>
          </w:p>
          <w:p w:rsidR="00315841" w:rsidRDefault="007A23BB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 xml:space="preserve"> nemzeti költségvetés 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Savaria Megyei Hatókörű Városi Múzeum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Bevonandó partnerek:</w:t>
            </w:r>
            <w:r>
              <w:t xml:space="preserve"> Vas Megyei levéltár, Apáczai Alapítvány, Szombathely11-es Huszár Hagyományőrző Egyesület, Őrvidék Ház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Kockázatok: </w:t>
            </w:r>
          </w:p>
          <w:p w:rsidR="00315841" w:rsidRDefault="007A23BB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A meglevő múzeumi bemutatóhelyektől elkülönül, ez a működtetési költségeket növelő tényező</w:t>
            </w:r>
          </w:p>
          <w:p w:rsidR="00315841" w:rsidRDefault="007A23BB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A kiállítás állandó nyitva tartása esetén a gazdaságos működtetés biztosítása</w:t>
            </w:r>
          </w:p>
        </w:tc>
      </w:tr>
    </w:tbl>
    <w:p w:rsidR="00315841" w:rsidRDefault="00315841">
      <w:pPr>
        <w:spacing w:before="0" w:after="0"/>
      </w:pPr>
    </w:p>
    <w:tbl>
      <w:tblPr>
        <w:tblStyle w:val="af1"/>
        <w:tblW w:w="9062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9062"/>
      </w:tblGrid>
      <w:tr w:rsidR="00315841">
        <w:tc>
          <w:tcPr>
            <w:tcW w:w="906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5841" w:rsidRDefault="007A23BB">
            <w:pPr>
              <w:spacing w:after="0"/>
              <w:jc w:val="both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4.1.3 Civil inkubátor helyi civil és önkéntes szervezetek számára</w:t>
            </w:r>
          </w:p>
          <w:p w:rsidR="00315841" w:rsidRDefault="007A23BB">
            <w:pPr>
              <w:spacing w:after="0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Épület: 3.</w:t>
            </w:r>
          </w:p>
        </w:tc>
      </w:tr>
      <w:tr w:rsidR="00315841">
        <w:tc>
          <w:tcPr>
            <w:tcW w:w="906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5841" w:rsidRDefault="007A23BB">
            <w:pPr>
              <w:spacing w:after="0"/>
              <w:jc w:val="both"/>
            </w:pPr>
            <w:r>
              <w:rPr>
                <w:b/>
              </w:rPr>
              <w:t>Alapadatok:</w:t>
            </w:r>
            <w:r>
              <w:t xml:space="preserve"> Huszárlaktanya épületének (védett műemlék) felújításával (mintegy 800 m</w:t>
            </w:r>
            <w:r>
              <w:rPr>
                <w:vertAlign w:val="superscript"/>
              </w:rPr>
              <w:t>2</w:t>
            </w:r>
            <w:r>
              <w:t xml:space="preserve"> alapterületen), kulturális örökség megőrzése által civil inkubátorház létrehozása, melyet a városi civil, nemzeti kisebbségek szervezetei és kulturális szervezetek használhatnának.</w:t>
            </w:r>
          </w:p>
        </w:tc>
      </w:tr>
      <w:tr w:rsidR="00315841">
        <w:tc>
          <w:tcPr>
            <w:tcW w:w="906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5841" w:rsidRDefault="007A23BB">
            <w:pPr>
              <w:spacing w:after="0"/>
              <w:rPr>
                <w:b/>
              </w:rPr>
            </w:pPr>
            <w:r>
              <w:rPr>
                <w:b/>
              </w:rPr>
              <w:t xml:space="preserve">Létrehozandó funkciók: </w:t>
            </w:r>
          </w:p>
          <w:p w:rsidR="00315841" w:rsidRDefault="007A23BB">
            <w:pPr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contextualSpacing/>
              <w:jc w:val="both"/>
            </w:pPr>
            <w:r>
              <w:rPr>
                <w:color w:val="000000"/>
              </w:rPr>
              <w:t>irodák,</w:t>
            </w:r>
          </w:p>
          <w:p w:rsidR="00315841" w:rsidRDefault="007A23BB">
            <w:pPr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  <w:jc w:val="both"/>
            </w:pPr>
            <w:r>
              <w:rPr>
                <w:color w:val="000000"/>
              </w:rPr>
              <w:t>közös titkárság,</w:t>
            </w:r>
          </w:p>
          <w:p w:rsidR="00315841" w:rsidRDefault="007A23BB">
            <w:pPr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  <w:jc w:val="both"/>
            </w:pPr>
            <w:r>
              <w:rPr>
                <w:color w:val="000000"/>
              </w:rPr>
              <w:t>közös multifunkciós és részben szekcionálható rendezvénytermek kialakítása,</w:t>
            </w:r>
          </w:p>
          <w:p w:rsidR="00315841" w:rsidRDefault="007A23BB">
            <w:pPr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  <w:jc w:val="both"/>
            </w:pPr>
            <w:r>
              <w:rPr>
                <w:color w:val="000000"/>
              </w:rPr>
              <w:t>tárgyalók,</w:t>
            </w:r>
          </w:p>
          <w:p w:rsidR="00315841" w:rsidRDefault="007A23BB">
            <w:pPr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  <w:jc w:val="both"/>
            </w:pPr>
            <w:r>
              <w:rPr>
                <w:color w:val="000000"/>
              </w:rPr>
              <w:t>megfelelő parkolási lehetőség kialakítása.</w:t>
            </w:r>
          </w:p>
          <w:p w:rsidR="00315841" w:rsidRDefault="007A23BB">
            <w:pPr>
              <w:spacing w:before="240"/>
              <w:jc w:val="both"/>
            </w:pPr>
            <w:r>
              <w:t>A civil inkubátorba befogadandó szervezetek alapvető kiválasztási szempontjai:</w:t>
            </w:r>
          </w:p>
          <w:p w:rsidR="00315841" w:rsidRDefault="007A23BB">
            <w:pPr>
              <w:numPr>
                <w:ilvl w:val="0"/>
                <w:numId w:val="3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14" w:hanging="357"/>
              <w:contextualSpacing/>
              <w:jc w:val="both"/>
            </w:pPr>
            <w:r>
              <w:rPr>
                <w:color w:val="000000"/>
              </w:rPr>
              <w:t xml:space="preserve">közösségfejlesztési tevékenység, </w:t>
            </w:r>
          </w:p>
          <w:p w:rsidR="00315841" w:rsidRDefault="007A23BB">
            <w:pPr>
              <w:numPr>
                <w:ilvl w:val="0"/>
                <w:numId w:val="3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ind w:left="714" w:hanging="357"/>
              <w:contextualSpacing/>
              <w:jc w:val="both"/>
            </w:pPr>
            <w:r>
              <w:rPr>
                <w:color w:val="000000"/>
              </w:rPr>
              <w:t>kulturális értékek megőrzése és tudatosítása,</w:t>
            </w:r>
          </w:p>
          <w:p w:rsidR="00315841" w:rsidRDefault="007A23BB">
            <w:pPr>
              <w:numPr>
                <w:ilvl w:val="0"/>
                <w:numId w:val="3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ind w:left="714" w:hanging="357"/>
              <w:contextualSpacing/>
              <w:jc w:val="both"/>
            </w:pPr>
            <w:r>
              <w:rPr>
                <w:color w:val="000000"/>
              </w:rPr>
              <w:t xml:space="preserve">regionális megközelítés és hatókör, </w:t>
            </w:r>
          </w:p>
          <w:p w:rsidR="00315841" w:rsidRDefault="007A23BB">
            <w:pPr>
              <w:numPr>
                <w:ilvl w:val="0"/>
                <w:numId w:val="3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/>
              <w:ind w:left="714" w:hanging="357"/>
              <w:contextualSpacing/>
              <w:jc w:val="both"/>
            </w:pPr>
            <w:r>
              <w:rPr>
                <w:color w:val="000000"/>
              </w:rPr>
              <w:t xml:space="preserve">az Őrvidék nemzeti és etnikai kisebbségi kultúrájának megőrzése és támogatása. </w:t>
            </w:r>
          </w:p>
          <w:p w:rsidR="00315841" w:rsidRDefault="007A23BB">
            <w:pPr>
              <w:spacing w:before="120"/>
              <w:jc w:val="both"/>
            </w:pPr>
            <w:r>
              <w:t xml:space="preserve">Az inkubációs tevékenységek célja: </w:t>
            </w:r>
          </w:p>
          <w:p w:rsidR="00315841" w:rsidRDefault="007A23BB">
            <w:pPr>
              <w:numPr>
                <w:ilvl w:val="0"/>
                <w:numId w:val="3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14" w:hanging="357"/>
              <w:contextualSpacing/>
              <w:jc w:val="both"/>
              <w:rPr>
                <w:color w:val="000000"/>
              </w:rPr>
            </w:pPr>
            <w:r>
              <w:rPr>
                <w:color w:val="000000"/>
              </w:rPr>
              <w:t>a különböző célú civil, kulturális és közösségi szervezetek tevékenységeinek összehangolása, közös programok tervezése, az egymást ösztönző folyamatok elindítása, támogatása</w:t>
            </w:r>
          </w:p>
          <w:p w:rsidR="00315841" w:rsidRDefault="007A23BB">
            <w:pPr>
              <w:numPr>
                <w:ilvl w:val="0"/>
                <w:numId w:val="3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ind w:left="714" w:hanging="357"/>
              <w:contextualSpacing/>
              <w:jc w:val="both"/>
              <w:rPr>
                <w:color w:val="000000"/>
              </w:rPr>
            </w:pPr>
            <w:r>
              <w:rPr>
                <w:color w:val="000000"/>
              </w:rPr>
              <w:t>a hátrányos helyzetű csoportok (fogyatékkal élők, más hátrányos helyzetű csoportok</w:t>
            </w:r>
            <w:r>
              <w:rPr>
                <w:color w:val="000000"/>
              </w:rPr>
              <w:t>) közösségi tevékenységeinek támogatása.</w:t>
            </w:r>
          </w:p>
          <w:p w:rsidR="00315841" w:rsidRDefault="007A23BB">
            <w:pPr>
              <w:numPr>
                <w:ilvl w:val="0"/>
                <w:numId w:val="3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/>
              <w:ind w:left="714" w:hanging="357"/>
              <w:contextualSpacing/>
              <w:jc w:val="both"/>
            </w:pPr>
            <w:r>
              <w:rPr>
                <w:color w:val="000000"/>
              </w:rPr>
              <w:t>a civil szervezetek aktivitásának, kompetenciáinak fejlesztése, ösztönzése rendezvényekkel, képzésekkel. A civil kezdeményezések találkozásának generálása az intézményi, civil és gazdasági privát szereplők közt, nem csupán városi szinten, de az őrvidék hat</w:t>
            </w:r>
            <w:r>
              <w:rPr>
                <w:color w:val="000000"/>
              </w:rPr>
              <w:t>ártérségeiben aktív szervezetek bevonásával.</w:t>
            </w:r>
          </w:p>
        </w:tc>
      </w:tr>
      <w:tr w:rsidR="00315841">
        <w:tc>
          <w:tcPr>
            <w:tcW w:w="906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5841" w:rsidRDefault="007A23BB">
            <w:pPr>
              <w:spacing w:after="0"/>
              <w:rPr>
                <w:b/>
              </w:rPr>
            </w:pPr>
            <w:r>
              <w:rPr>
                <w:b/>
              </w:rPr>
              <w:t>Közvetlen célcsoportok:</w:t>
            </w:r>
          </w:p>
          <w:p w:rsidR="00315841" w:rsidRDefault="007A23BB">
            <w:pPr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contextualSpacing/>
            </w:pPr>
            <w:r>
              <w:rPr>
                <w:color w:val="000000"/>
              </w:rPr>
              <w:t>civil szervezetek,</w:t>
            </w:r>
          </w:p>
          <w:p w:rsidR="00315841" w:rsidRDefault="007A23BB">
            <w:pPr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</w:pPr>
            <w:r>
              <w:rPr>
                <w:color w:val="000000"/>
              </w:rPr>
              <w:t>közösségi és kulturális területen aktív közszféra szervezetek,</w:t>
            </w:r>
          </w:p>
          <w:p w:rsidR="00315841" w:rsidRDefault="007A23BB">
            <w:pPr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</w:pPr>
            <w:r>
              <w:rPr>
                <w:color w:val="000000"/>
              </w:rPr>
              <w:t>közösségileg aktív gazdasági szereplők,</w:t>
            </w:r>
          </w:p>
          <w:p w:rsidR="00315841" w:rsidRDefault="007A23BB">
            <w:pPr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</w:pPr>
            <w:r>
              <w:rPr>
                <w:color w:val="000000"/>
              </w:rPr>
              <w:t>önkéntesek.</w:t>
            </w:r>
          </w:p>
          <w:p w:rsidR="00315841" w:rsidRDefault="007A23BB">
            <w:pPr>
              <w:spacing w:before="240" w:after="0"/>
              <w:rPr>
                <w:b/>
              </w:rPr>
            </w:pPr>
            <w:r>
              <w:rPr>
                <w:b/>
              </w:rPr>
              <w:t>Közvetett célcsoportok:</w:t>
            </w:r>
          </w:p>
          <w:p w:rsidR="00315841" w:rsidRDefault="007A23BB">
            <w:pPr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contextualSpacing/>
            </w:pPr>
            <w:r>
              <w:rPr>
                <w:color w:val="000000"/>
              </w:rPr>
              <w:t>Szombathely és térségének teljes lakossága,</w:t>
            </w:r>
          </w:p>
          <w:p w:rsidR="00315841" w:rsidRDefault="007A23BB">
            <w:pPr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</w:pPr>
            <w:r>
              <w:rPr>
                <w:color w:val="000000"/>
              </w:rPr>
              <w:t>gyermekek, fiatalok,</w:t>
            </w:r>
          </w:p>
          <w:p w:rsidR="00315841" w:rsidRDefault="007A23BB">
            <w:pPr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</w:pPr>
            <w:r>
              <w:rPr>
                <w:color w:val="000000"/>
              </w:rPr>
              <w:t>hátrányos helyzetű csoportok (mozgás- és látássérült szervezetek).</w:t>
            </w:r>
          </w:p>
        </w:tc>
      </w:tr>
      <w:tr w:rsidR="00315841">
        <w:tc>
          <w:tcPr>
            <w:tcW w:w="906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5841" w:rsidRDefault="007A23BB">
            <w:pPr>
              <w:spacing w:after="0"/>
              <w:jc w:val="both"/>
              <w:rPr>
                <w:b/>
              </w:rPr>
            </w:pPr>
            <w:r>
              <w:rPr>
                <w:b/>
              </w:rPr>
              <w:t xml:space="preserve">Várt társadalmi-gazdasági eredmény, hatás: </w:t>
            </w:r>
          </w:p>
          <w:p w:rsidR="00315841" w:rsidRDefault="007A23BB">
            <w:pPr>
              <w:spacing w:after="0"/>
              <w:jc w:val="both"/>
            </w:pPr>
            <w:r>
              <w:t>Javulnak a beköltöző civil szervezetek működési körülményei</w:t>
            </w:r>
          </w:p>
          <w:p w:rsidR="00315841" w:rsidRDefault="007A23BB">
            <w:pPr>
              <w:spacing w:after="0"/>
              <w:jc w:val="both"/>
            </w:pPr>
            <w:r>
              <w:t>Nő a helyi civil szervezetek és társadalmi csoportok aktivitási rátája</w:t>
            </w:r>
          </w:p>
          <w:p w:rsidR="00315841" w:rsidRDefault="007A23BB">
            <w:pPr>
              <w:spacing w:after="0"/>
              <w:jc w:val="both"/>
            </w:pPr>
            <w:r>
              <w:t>Nő a művészek és kreatív KKV-k közötti együttműködések, kulturális együttműködések száma</w:t>
            </w:r>
          </w:p>
          <w:p w:rsidR="00315841" w:rsidRDefault="007A23BB">
            <w:pPr>
              <w:spacing w:after="0"/>
              <w:jc w:val="both"/>
            </w:pPr>
            <w:r>
              <w:t>Nő az események látogatottsága</w:t>
            </w:r>
          </w:p>
        </w:tc>
      </w:tr>
      <w:tr w:rsidR="00315841">
        <w:tc>
          <w:tcPr>
            <w:tcW w:w="906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5841" w:rsidRDefault="007A23BB">
            <w:pPr>
              <w:spacing w:after="0"/>
              <w:rPr>
                <w:b/>
              </w:rPr>
            </w:pPr>
            <w:r>
              <w:rPr>
                <w:b/>
              </w:rPr>
              <w:t>Várt környezeti eredmény, hatás:</w:t>
            </w:r>
          </w:p>
          <w:p w:rsidR="00315841" w:rsidRDefault="007A23BB">
            <w:pPr>
              <w:spacing w:after="0"/>
            </w:pPr>
            <w:r>
              <w:t>Az épületet övező zöldterület r</w:t>
            </w:r>
            <w:r>
              <w:t>endezése.</w:t>
            </w:r>
          </w:p>
        </w:tc>
      </w:tr>
      <w:tr w:rsidR="00315841">
        <w:tc>
          <w:tcPr>
            <w:tcW w:w="906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5841" w:rsidRDefault="007A23BB">
            <w:pPr>
              <w:spacing w:after="0"/>
            </w:pPr>
            <w:r>
              <w:rPr>
                <w:b/>
              </w:rPr>
              <w:t>Tervezett költségek:</w:t>
            </w:r>
            <w:r>
              <w:t xml:space="preserve"> 261 millió Ft</w:t>
            </w:r>
          </w:p>
          <w:p w:rsidR="00315841" w:rsidRDefault="007A23BB">
            <w:pPr>
              <w:spacing w:after="0"/>
              <w:rPr>
                <w:b/>
              </w:rPr>
            </w:pPr>
            <w:r>
              <w:rPr>
                <w:b/>
              </w:rPr>
              <w:t xml:space="preserve">Potenciális források: </w:t>
            </w:r>
          </w:p>
          <w:p w:rsidR="00315841" w:rsidRDefault="007A23BB">
            <w:pPr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contextualSpacing/>
              <w:jc w:val="both"/>
            </w:pPr>
            <w:r>
              <w:rPr>
                <w:color w:val="000000"/>
              </w:rPr>
              <w:t xml:space="preserve">TOP CLLD forrás </w:t>
            </w:r>
          </w:p>
        </w:tc>
      </w:tr>
      <w:tr w:rsidR="00315841">
        <w:tc>
          <w:tcPr>
            <w:tcW w:w="906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5841" w:rsidRDefault="007A23BB">
            <w:pPr>
              <w:spacing w:after="0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</w:t>
            </w:r>
          </w:p>
        </w:tc>
      </w:tr>
      <w:tr w:rsidR="00315841">
        <w:tc>
          <w:tcPr>
            <w:tcW w:w="906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5841" w:rsidRDefault="007A23BB">
            <w:pPr>
              <w:spacing w:after="0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contextualSpacing/>
            </w:pPr>
            <w:r>
              <w:rPr>
                <w:color w:val="000000"/>
              </w:rPr>
              <w:t>Szülőföld Kulturális, Sport és Örökvédelmi Egyesület</w:t>
            </w:r>
          </w:p>
          <w:p w:rsidR="00315841" w:rsidRDefault="007A23BB">
            <w:pPr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</w:pPr>
            <w:r>
              <w:rPr>
                <w:color w:val="000000"/>
              </w:rPr>
              <w:t>Savaria Megyei Hatókörű Városi Múzeum</w:t>
            </w:r>
          </w:p>
          <w:p w:rsidR="00315841" w:rsidRDefault="007A23BB">
            <w:pPr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</w:pPr>
            <w:r>
              <w:rPr>
                <w:color w:val="000000"/>
              </w:rPr>
              <w:t>Szombathely Civil Kerekasztal</w:t>
            </w:r>
          </w:p>
          <w:p w:rsidR="00315841" w:rsidRDefault="007A23BB">
            <w:pPr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contextualSpacing/>
            </w:pPr>
            <w:r>
              <w:rPr>
                <w:color w:val="000000"/>
              </w:rPr>
              <w:t>Vas Megyei Szakosított Szociális Intézet</w:t>
            </w:r>
          </w:p>
        </w:tc>
      </w:tr>
      <w:tr w:rsidR="00315841">
        <w:tc>
          <w:tcPr>
            <w:tcW w:w="906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5841" w:rsidRDefault="007A23BB">
            <w:pPr>
              <w:spacing w:after="0"/>
              <w:rPr>
                <w:b/>
              </w:rPr>
            </w:pPr>
            <w:r>
              <w:rPr>
                <w:b/>
              </w:rPr>
              <w:t xml:space="preserve">Kockázatok: </w:t>
            </w:r>
          </w:p>
          <w:p w:rsidR="00315841" w:rsidRDefault="007A23BB">
            <w:pPr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contextualSpacing/>
            </w:pPr>
            <w:r>
              <w:rPr>
                <w:color w:val="000000"/>
              </w:rPr>
              <w:t>A műemléki épület és környezetének felújítása során problémák jelentkezhetnek (szakhatósági egyeztetés során, lőszermentesítés, stb.)</w:t>
            </w:r>
          </w:p>
        </w:tc>
      </w:tr>
    </w:tbl>
    <w:p w:rsidR="00315841" w:rsidRDefault="00315841">
      <w:pPr>
        <w:pBdr>
          <w:top w:val="nil"/>
          <w:left w:val="nil"/>
          <w:bottom w:val="nil"/>
          <w:right w:val="nil"/>
          <w:between w:val="nil"/>
        </w:pBdr>
        <w:spacing w:before="0" w:after="0"/>
        <w:jc w:val="both"/>
        <w:rPr>
          <w:color w:val="000000"/>
        </w:rPr>
      </w:pPr>
    </w:p>
    <w:tbl>
      <w:tblPr>
        <w:tblStyle w:val="af2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t>4.1.4 Inkubátor / co-working irodák kreatív szektorban működő vállalkozásoknak</w:t>
            </w:r>
          </w:p>
          <w:p w:rsidR="00315841" w:rsidRDefault="007A23BB">
            <w:pPr>
              <w:spacing w:line="276" w:lineRule="auto"/>
            </w:pPr>
            <w:r>
              <w:t>Épületek: 5–8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Alapadatok:</w:t>
            </w:r>
            <w:r>
              <w:t xml:space="preserve"> Szombathelyen egyre nagyobb súllyal vannak jelen a kreatív iparhoz sorolható kezdő, vagy már huzamosabb ideje működő vállalkozások, egyéni vállalkozók. Esetükben többrétű problémakör áll fenn: van olyan vállalkozás, amely kinőtte jelenlegi működési helyét</w:t>
            </w:r>
            <w:r>
              <w:t>, máshol a szakmai kapcsolatok hiánya jelent nehézséget, vagy éppen az igénybe veendő szolgáltatások „elaprózottan” vannak jelen a városban. Ezen problémák, hiányosságok leküzdéséhez járul hozzá egy megfelelő színvonalú és kapacitású co-working iroda kiala</w:t>
            </w:r>
            <w:r>
              <w:t>kítása.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Létrehozandó funkciók: </w:t>
            </w:r>
          </w:p>
          <w:p w:rsidR="00315841" w:rsidRDefault="007A23BB">
            <w:pPr>
              <w:spacing w:line="276" w:lineRule="auto"/>
              <w:jc w:val="both"/>
            </w:pPr>
            <w:r>
              <w:t>A beköltöző szereplők működési költségeinek racionalizálásához szükséges azon funkciók, szolgáltatások kialakítása, amelyeket közösen vennének, vehetnének igénybe: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közös titkárság,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közös mosdóhelyiségek,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közös tárgyalóterem,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közös előadóterem,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közös konyha,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közös, rekreációs célú tér.</w:t>
            </w:r>
          </w:p>
          <w:p w:rsidR="00315841" w:rsidRDefault="007A23BB">
            <w:pPr>
              <w:spacing w:before="120" w:line="276" w:lineRule="auto"/>
              <w:jc w:val="both"/>
            </w:pPr>
            <w:r>
              <w:t>Az irodák, irodahelyiségek kialakítása során figyelembe kell venni a műemléki védettségű épület adottságait, továbbá a széles körben hozzáférhető jó gyakorlatokat a co-workin</w:t>
            </w:r>
            <w:r>
              <w:t>g irodák kialakítása terén.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A co-working irodát potenciálisan igénybe vevő kreatív ipari szervezetek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Egyéb, a közös szolgáltatásokat igénybe vevő gazdasági szervezetek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Várt társadalmi-gazdasági eredmény, hatás: </w:t>
            </w:r>
          </w:p>
          <w:p w:rsidR="00315841" w:rsidRDefault="007A23BB">
            <w:pPr>
              <w:spacing w:line="276" w:lineRule="auto"/>
              <w:jc w:val="both"/>
            </w:pPr>
            <w:r>
              <w:t>Helyi civil szervezetek növekvő aktivitási rátája, valamint a művészek és kreatív KKV-k közötti együttműködések növekvő száma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Tervezett költségek:</w:t>
            </w:r>
            <w:r>
              <w:t xml:space="preserve"> 620 M Ft 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Potenciális források: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 xml:space="preserve">Városi költségvetés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Befektetői források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Nemzeti költségvetés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 xml:space="preserve">Gazdaságfejlesztési pályázati források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SZOVA Zrt.,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Vas Megyei Kereskedelmi és Iparkamara,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Vas Megye és Szombathely Város Regionális Vállalkozásfejlesztési Alapítványa,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Regionális Innovációs Ügynökség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Kockázatok: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  <w:jc w:val="both"/>
            </w:pPr>
            <w:r>
              <w:rPr>
                <w:color w:val="000000"/>
              </w:rPr>
              <w:t>Megfelelő előkészítés és marketingtevékenység hiányában az épület, illetve szolgáltatások kapacitása kihasználatlan marad</w:t>
            </w:r>
          </w:p>
        </w:tc>
      </w:tr>
    </w:tbl>
    <w:p w:rsidR="00315841" w:rsidRDefault="00315841">
      <w:pPr>
        <w:pBdr>
          <w:top w:val="nil"/>
          <w:left w:val="nil"/>
          <w:bottom w:val="nil"/>
          <w:right w:val="nil"/>
          <w:between w:val="nil"/>
        </w:pBdr>
        <w:spacing w:before="0" w:after="0"/>
        <w:ind w:left="357"/>
        <w:jc w:val="both"/>
        <w:rPr>
          <w:color w:val="000000"/>
        </w:rPr>
      </w:pPr>
    </w:p>
    <w:tbl>
      <w:tblPr>
        <w:tblStyle w:val="af3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t xml:space="preserve">4.1.5 Waldorf Iskola </w:t>
            </w:r>
          </w:p>
          <w:p w:rsidR="00315841" w:rsidRDefault="007A23BB">
            <w:pPr>
              <w:spacing w:line="276" w:lineRule="auto"/>
              <w:jc w:val="both"/>
            </w:pPr>
            <w:r>
              <w:t>Épület: 10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 xml:space="preserve">Alapadatok: </w:t>
            </w:r>
            <w:r>
              <w:t xml:space="preserve">Az iskola kilencedik éve működik a Laktanya főtiszti épületében, egyesületi fenntartású alternatív alapfokú oktatási intézményként. 1-8 osztályig fogad tanulókat, és várható létszáma alapján egy szint helyett egy teljes épületre lenne szüksége középtávon.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Létrehozandó funkciók: </w:t>
            </w:r>
          </w:p>
          <w:p w:rsidR="00315841" w:rsidRDefault="007A23BB">
            <w:pPr>
              <w:spacing w:line="276" w:lineRule="auto"/>
              <w:jc w:val="both"/>
            </w:pPr>
            <w:r>
              <w:t>A közoktatási törvény, a megfelelő szabványok és a Waldorf iskolák kerettanterve által előírt osztálytermek, szakoktatási kiszolgáló helyiségek létrehozása. Az új funkció kialakítása során figyelembe kell venni a műemléki védettsé</w:t>
            </w:r>
            <w:r>
              <w:t xml:space="preserve">gű épület adottságait. </w:t>
            </w:r>
          </w:p>
          <w:p w:rsidR="00315841" w:rsidRDefault="007A23BB">
            <w:pPr>
              <w:spacing w:line="276" w:lineRule="auto"/>
              <w:jc w:val="both"/>
            </w:pPr>
            <w:r>
              <w:t>Az iskolaépületet körülvevő zöldterület szintén az iskola gondozásába kerül, iskolaudvar, pihenők és kiskert kialakítására kerül sor, zöldsövénnyel leválasztva a Laktanyapark többi részétől. Iskolai szabadtéri rendezvényekre és okta</w:t>
            </w:r>
            <w:r>
              <w:t xml:space="preserve">tási tevékenységre alkalmassá válik. 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spacing w:line="276" w:lineRule="auto"/>
            </w:pPr>
            <w:r>
              <w:t>Városi iskolás korú gyermekek 6-15 év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Várt társadalmi-gazdasági eredmény, hatás:</w:t>
            </w:r>
          </w:p>
          <w:p w:rsidR="00315841" w:rsidRDefault="007A23BB">
            <w:pPr>
              <w:spacing w:line="276" w:lineRule="auto"/>
              <w:jc w:val="both"/>
            </w:pPr>
            <w:r>
              <w:t>Az emberközponttú alapfokú oktatás feltételeinek magas színvonalú megteremtése a Laktanya területén</w:t>
            </w:r>
          </w:p>
          <w:p w:rsidR="00315841" w:rsidRDefault="007A23BB">
            <w:pPr>
              <w:jc w:val="both"/>
            </w:pPr>
            <w:r>
              <w:t>Nő a helyi civil szervezetek és társadalmi csoportok aktivitási rátája</w:t>
            </w:r>
          </w:p>
          <w:p w:rsidR="00315841" w:rsidRDefault="007A23BB">
            <w:pPr>
              <w:jc w:val="both"/>
            </w:pPr>
            <w:r>
              <w:t>Emelkedik az új sport- és rekreációs helyszíneket használó városlakók aránya</w:t>
            </w:r>
          </w:p>
          <w:p w:rsidR="00315841" w:rsidRDefault="00315841">
            <w:pPr>
              <w:jc w:val="both"/>
            </w:pPr>
          </w:p>
          <w:p w:rsidR="00315841" w:rsidRDefault="007A23BB">
            <w:pPr>
              <w:spacing w:line="276" w:lineRule="auto"/>
              <w:jc w:val="both"/>
            </w:pPr>
            <w:r>
              <w:t>Emelkedik a közösségi kertészkedésbe bevont háztartások száma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Várt környezeti eredmény, hatás: </w:t>
            </w:r>
          </w:p>
          <w:p w:rsidR="00315841" w:rsidRDefault="007A23BB">
            <w:pPr>
              <w:spacing w:line="276" w:lineRule="auto"/>
            </w:pPr>
            <w:r>
              <w:t>Az iskolaépületet környező zöldterület tisztítása, megújulása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Tervezett költségek: </w:t>
            </w:r>
            <w:r>
              <w:t>670 M Ft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Potenciális források: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Városi költségvetés (alapszerkezetek felújításához)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Nemzeti költségvetés (alapszerkezetek felújításához)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Apáczai Waldorf Iskola forrásai - normatíva, szülői befizetések, hitel (az iskolahelyiségek ütemezett felújításához, berendezéséhez)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Apáczai Waldorf Iskola, Szombathely MJV Önkormányzata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spacing w:line="276" w:lineRule="auto"/>
            </w:pPr>
            <w:r>
              <w:t>SZOVA Zrt.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Kockázatok:</w:t>
            </w:r>
          </w:p>
          <w:p w:rsidR="00315841" w:rsidRDefault="007A23BB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 xml:space="preserve">Az akció meghiúsulása és a felújítás elmaradása esetén az épület elpusztul. </w:t>
            </w:r>
          </w:p>
          <w:p w:rsidR="00315841" w:rsidRDefault="007A23BB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Waldorf iskola tanulói létszáma nem növekedik</w:t>
            </w:r>
          </w:p>
          <w:p w:rsidR="00315841" w:rsidRDefault="007A23BB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Normatív finanszírozás feltételei alternatív oktatási intézmények számára romlanak</w:t>
            </w:r>
          </w:p>
        </w:tc>
      </w:tr>
    </w:tbl>
    <w:p w:rsidR="00315841" w:rsidRDefault="00315841">
      <w:pPr>
        <w:pBdr>
          <w:top w:val="nil"/>
          <w:left w:val="nil"/>
          <w:bottom w:val="nil"/>
          <w:right w:val="nil"/>
          <w:between w:val="nil"/>
        </w:pBdr>
        <w:spacing w:before="0" w:after="0"/>
        <w:ind w:left="360"/>
        <w:jc w:val="both"/>
        <w:rPr>
          <w:color w:val="000000"/>
        </w:rPr>
      </w:pPr>
    </w:p>
    <w:tbl>
      <w:tblPr>
        <w:tblStyle w:val="af4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t>4.1.6 Közösségi műtermek / galéria városi és várostérségi képzőművészek számára</w:t>
            </w:r>
          </w:p>
          <w:p w:rsidR="00315841" w:rsidRDefault="007A23BB">
            <w:pPr>
              <w:spacing w:line="276" w:lineRule="auto"/>
            </w:pPr>
            <w:r>
              <w:t>Épületek: 5-8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 xml:space="preserve">Alapadatok: </w:t>
            </w:r>
            <w:r>
              <w:t>Egy város kulturális arculatának frissessége és színessége meghatározó módon függ a városi szubkultúrák jelenlététől – beleértve a képzőművészek rétegét is.</w:t>
            </w:r>
            <w:r>
              <w:rPr>
                <w:vertAlign w:val="superscript"/>
              </w:rPr>
              <w:footnoteReference w:id="1"/>
            </w:r>
            <w:r>
              <w:t xml:space="preserve"> A városi fejlődés, valamint a művészet egymásra gyakorolt, kölcsönösen pozitív hatására jó példa S</w:t>
            </w:r>
            <w:r>
              <w:t xml:space="preserve">zentendre esete, ahol mára gyakorlatilag a városmarketing is magáévá tette a képzőművészetet </w:t>
            </w:r>
            <w:r>
              <w:rPr>
                <w:i/>
              </w:rPr>
              <w:t>(„Szentendre, a festők városa”)</w:t>
            </w:r>
            <w:r>
              <w:t>.</w:t>
            </w:r>
          </w:p>
          <w:p w:rsidR="00315841" w:rsidRDefault="007A23BB">
            <w:pPr>
              <w:spacing w:before="240" w:line="276" w:lineRule="auto"/>
              <w:jc w:val="both"/>
            </w:pPr>
            <w:r>
              <w:t>Szombathely városában az elmúlt években javult a képzőművészet helyzete, megítélése, szorosabbá fűződtek együttműködések, olyan in</w:t>
            </w:r>
            <w:r>
              <w:t>tézmények és kezdeményezések vannak jelen, mint a Művészeti Szakgimnázium, Vas Megyei Zeneiskolák és Művészeti Iskolák Találkozója, a Westwerk Művészeti Alkotóműhely és Kulturális Egyesület, vagy akár az Éva-malomban kialakítandó képzőművészeti múzeum. Min</w:t>
            </w:r>
            <w:r>
              <w:t>deközben egy Szombathely méretű, regionális szerepkörrel is rendelkező városban biztosítani kell, hogy a kreativitás olyan környezetben bontakozhasson ki, amelyben az alkotót nem gátolják a fizikai jellegű hiányosságok. Éppen ezért szükséges olyan közösség</w:t>
            </w:r>
            <w:r>
              <w:t>i műterem és galéria kialakítása, amely modern, minden igényt kielégítő körülményt biztosít a városi és várostérségi képzőművészek számára. Mindemellett a galéria kialakítása – kisebb mértékben – a helyi turizmusra is kedvező hatással van.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Létrehozandó fu</w:t>
            </w:r>
            <w:r>
              <w:rPr>
                <w:b/>
              </w:rPr>
              <w:t xml:space="preserve">nkciók: </w:t>
            </w:r>
          </w:p>
          <w:p w:rsidR="00315841" w:rsidRDefault="007A23BB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A beköltöző művészek, csoportosulások számára az épület adottságának, valamint a különböző képzőművészeti tevékenységeknek megfelelő méretű és kialakítású termek (megfelelő szellőzés figyelembevétele, stb.);</w:t>
            </w:r>
          </w:p>
          <w:p w:rsidR="00315841" w:rsidRDefault="007A23BB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Közös galéria, kiállítóhely kialakítása;</w:t>
            </w:r>
          </w:p>
          <w:p w:rsidR="00315841" w:rsidRDefault="007A23BB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Közös mosdóhelyiségek kialakítása;</w:t>
            </w:r>
          </w:p>
          <w:p w:rsidR="00315841" w:rsidRDefault="007A23BB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Közös – kisméretű – konyha;</w:t>
            </w:r>
          </w:p>
          <w:p w:rsidR="00315841" w:rsidRDefault="007A23BB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Közös, rekreációs célú tér.</w:t>
            </w:r>
          </w:p>
          <w:p w:rsidR="00315841" w:rsidRDefault="007A23BB">
            <w:pPr>
              <w:spacing w:before="240" w:line="276" w:lineRule="auto"/>
              <w:jc w:val="both"/>
            </w:pPr>
            <w:r>
              <w:t>A tervezés során figyelembe kell venni az egyes tevékenységekhez kapcsolódó eszközmozgatási igényeket.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Város és várostérségi képzőművészek;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Lakosság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Várt társadalmi-gazdasági eredmény, hatás: </w:t>
            </w:r>
          </w:p>
          <w:p w:rsidR="00315841" w:rsidRDefault="007A23BB">
            <w:pPr>
              <w:spacing w:line="276" w:lineRule="auto"/>
              <w:jc w:val="both"/>
              <w:rPr>
                <w:highlight w:val="yellow"/>
              </w:rPr>
            </w:pPr>
            <w:r>
              <w:t>Nő a művészek és kreatív KKV-k közötti együttműködések, kulturális együttműködések száma</w:t>
            </w:r>
          </w:p>
          <w:p w:rsidR="00315841" w:rsidRDefault="007A23BB">
            <w:pPr>
              <w:spacing w:line="276" w:lineRule="auto"/>
              <w:jc w:val="both"/>
              <w:rPr>
                <w:highlight w:val="yellow"/>
              </w:rPr>
            </w:pPr>
            <w:r>
              <w:t>Nő az események látogatottsága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Tervezett költségek:</w:t>
            </w:r>
            <w:r>
              <w:t xml:space="preserve"> 620 M Ft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Potenciális források: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 xml:space="preserve">Városi költségvetés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Befektetői források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Nemzeti költségvetés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EKF források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 xml:space="preserve">Kulturális célú pályázati források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AGORA Szombathelyi Kulturális Központ,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 xml:space="preserve">Szombathelyi Művészeti Szakgimnázium,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Westwerk Művészeti Alkotóműhely és Kulturális Egyesület.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Kockázatok: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</w:pPr>
            <w:r>
              <w:rPr>
                <w:color w:val="000000"/>
              </w:rPr>
              <w:t>Galéria nem megfelelő pozicionálása (pl. az Éva-malomban kialakítandó képzőművészeti múzeumhoz viszonyítva)</w:t>
            </w:r>
          </w:p>
        </w:tc>
      </w:tr>
    </w:tbl>
    <w:p w:rsidR="00315841" w:rsidRDefault="00315841">
      <w:pPr>
        <w:pBdr>
          <w:top w:val="nil"/>
          <w:left w:val="nil"/>
          <w:bottom w:val="nil"/>
          <w:right w:val="nil"/>
          <w:between w:val="nil"/>
        </w:pBdr>
        <w:spacing w:before="0" w:after="0"/>
        <w:ind w:left="357"/>
        <w:jc w:val="both"/>
        <w:rPr>
          <w:color w:val="000000"/>
        </w:rPr>
      </w:pPr>
    </w:p>
    <w:tbl>
      <w:tblPr>
        <w:tblStyle w:val="af5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t>4.1.7 Próbatermek: előadó művészet, zene, tánc</w:t>
            </w:r>
          </w:p>
          <w:p w:rsidR="00315841" w:rsidRDefault="007A23BB">
            <w:pPr>
              <w:spacing w:line="276" w:lineRule="auto"/>
            </w:pPr>
            <w:r>
              <w:t>Épületek: 4 / 9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Alapadatok:</w:t>
            </w:r>
            <w:r>
              <w:t xml:space="preserve"> Szombathely kulturális életében egyre nagyobb szerepet játszanak a helyi előadó-művészeti társulások, együttesek, egyéni művészek. Előadásaikkal színesítik a városi, megyei rendezvényeket, továbbá fontos kiemelni, hogy több esetben gyakorlatilag vállalkoz</w:t>
            </w:r>
            <w:r>
              <w:t>ói tevékenységet is folytatnak, ezzel iparűzési adóbevételt generálva a városnak, vagy a környékbeli településeknek. Mindeközben a felkészülési körülményeik egyre rosszabbak: a közösségi próbateremként funkcionáló épületekből, épületegyüttesekből kiköltözn</w:t>
            </w:r>
            <w:r>
              <w:t>i kényszerülnek (például a Szövő utcai intermodális logisztikai központ, Falco Zrt. telephelye mögötti ingatlanok), s a városban elszórtan jelenlévő, rossz minőségű alkalmi helyiségekben folytatják tevékenységüket (pincékben, garázsokban kialakított próbat</w:t>
            </w:r>
            <w:r>
              <w:t>ermekben, szerencsésebb esetben művelődési házakban). Esetükben egy igényesen, a tervezett funkcióknak megfelelően kialakított próbaterem-együttes jelentős mértékben hozzájárul a városban jelenlévő hiányosságok felszámolásához, továbbá elősegíti művészek k</w:t>
            </w:r>
            <w:r>
              <w:t>özötti együttműködést, hálózatosodást.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Létrehozandó funkciók: </w:t>
            </w:r>
          </w:p>
          <w:p w:rsidR="00315841" w:rsidRDefault="007A23BB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A beköltöző művészek, csoportosulások számára az épület adottságának, valamint a különböző tevékenységeknek – tánc, zene – megfelelő méretű és kialakítású próbatermek;</w:t>
            </w:r>
          </w:p>
          <w:p w:rsidR="00315841" w:rsidRDefault="007A23BB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Közös mosdóhelyiségek;</w:t>
            </w:r>
          </w:p>
          <w:p w:rsidR="00315841" w:rsidRDefault="007A23BB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Közös – kisméretű – konyha;</w:t>
            </w:r>
          </w:p>
          <w:p w:rsidR="00315841" w:rsidRDefault="007A23BB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Közös, rekreációs célú tér.</w:t>
            </w:r>
          </w:p>
          <w:p w:rsidR="00315841" w:rsidRDefault="007A23BB">
            <w:pPr>
              <w:spacing w:before="240" w:line="276" w:lineRule="auto"/>
              <w:jc w:val="both"/>
            </w:pPr>
            <w:r>
              <w:t xml:space="preserve">A tervezés során figyelembe kell venni az egyes tevékenységekhez kapcsolódó eszközmozgatási igényeket (hangszerek, hangosítás, kisebb díszletek). 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</w:pPr>
            <w:r>
              <w:rPr>
                <w:color w:val="000000"/>
              </w:rPr>
              <w:t>Előadó-művészeti társulások, egyéni művészek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Várt társadalmi-gazdasági eredmény, hatás: </w:t>
            </w:r>
          </w:p>
          <w:p w:rsidR="00315841" w:rsidRDefault="007A23BB">
            <w:pPr>
              <w:spacing w:line="276" w:lineRule="auto"/>
              <w:jc w:val="both"/>
              <w:rPr>
                <w:highlight w:val="yellow"/>
              </w:rPr>
            </w:pPr>
            <w:r>
              <w:t>Nő a művészek és kreatív KKV-k közötti együttműködések, kulturális együttműködések száma</w:t>
            </w:r>
          </w:p>
          <w:p w:rsidR="00315841" w:rsidRDefault="007A23BB">
            <w:pPr>
              <w:spacing w:line="276" w:lineRule="auto"/>
              <w:jc w:val="both"/>
              <w:rPr>
                <w:highlight w:val="yellow"/>
              </w:rPr>
            </w:pPr>
            <w:r>
              <w:t>Nő az események látogatottsága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Tervezett költségek:</w:t>
            </w:r>
            <w:r>
              <w:t xml:space="preserve"> 620 M Ft / épület 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Potenciális források: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 xml:space="preserve">Városi költségvetés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Befektetői források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Nemzeti költségvetés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 xml:space="preserve">Kulturális célú pályázati források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SZOVA Zrt.,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AGORA Szombathelyi Kulturális Központ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Zenei és táncegyüttesek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Kockázatok: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</w:pPr>
            <w:r>
              <w:rPr>
                <w:color w:val="000000"/>
              </w:rPr>
              <w:t>A „B” területre költöző, valamint a környező városrészben élő lakosság ellenérzete (hanghatással járó tevékenységek)</w:t>
            </w:r>
          </w:p>
        </w:tc>
      </w:tr>
    </w:tbl>
    <w:p w:rsidR="00315841" w:rsidRDefault="00315841">
      <w:pPr>
        <w:pBdr>
          <w:top w:val="nil"/>
          <w:left w:val="nil"/>
          <w:bottom w:val="nil"/>
          <w:right w:val="nil"/>
          <w:between w:val="nil"/>
        </w:pBdr>
        <w:spacing w:before="0" w:after="0"/>
        <w:ind w:left="357"/>
        <w:jc w:val="both"/>
        <w:rPr>
          <w:color w:val="000000"/>
        </w:rPr>
      </w:pPr>
    </w:p>
    <w:tbl>
      <w:tblPr>
        <w:tblStyle w:val="af6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t>4.1.8 Lakó- vagy irodaépületek</w:t>
            </w:r>
          </w:p>
          <w:p w:rsidR="00315841" w:rsidRDefault="007A23BB">
            <w:pPr>
              <w:spacing w:line="276" w:lineRule="auto"/>
            </w:pPr>
            <w:r>
              <w:t>Épületek: 4–9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Alapadatok:</w:t>
            </w:r>
            <w:r>
              <w:t xml:space="preserve"> Szombathelyen az elmúlt években jelentősen fellendült a lakáspiaci kereslet. Kínálati oldalról számos felújítás, revitalizáció, lakópark építés, családi házas övezet kialakítása kezdődött meg, azonban továbbra is jelentős igény áll fenn lakossági oldalról</w:t>
            </w:r>
            <w:r>
              <w:t>. Másfelől a gazdasági szereplők részéről is fokozódik az érdeklődés az igényes, jó minőségű irodaépületek iránt. A Huszárlaktanya területén található kihasználatlan épületek felújításával – az adott időszakban fennálló igény függvényében – mindkét cél meg</w:t>
            </w:r>
            <w:r>
              <w:t>valósítása lehetséges, akár több épület bevonásával is.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Tevékenységek, létrehozandó funkciók: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Adott épület felújítása,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közművek bevezetése,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parkolók kialakítása,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lakások a piaci igényekhez, valamint az épületekben rejlő lehetőségekhez illeszkedve,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vagy irodahelyiségek kialakítása (közös tárgyalóteremmel, közös konyhával, mosdóhelyiségekkel és rekreációs célú térrel).</w:t>
            </w:r>
          </w:p>
          <w:p w:rsidR="00315841" w:rsidRDefault="007A23BB">
            <w:pPr>
              <w:spacing w:before="120" w:line="276" w:lineRule="auto"/>
              <w:jc w:val="both"/>
            </w:pPr>
            <w:r>
              <w:t>Az lakások, vagy irodák, irodahelyiségek kialakítása során figyelembe kell venni a műemléki védettségű épület adottságait.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Lakosság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Vállalkozások, egyéb gazdasági szereplők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Várt társadalmi-gazdasági eredmény, hatás: </w:t>
            </w:r>
          </w:p>
          <w:p w:rsidR="00315841" w:rsidRDefault="007A23BB">
            <w:pPr>
              <w:keepNext/>
            </w:pPr>
            <w:r>
              <w:t>Nő az új városközponti funkciókat használó lakosok száma,</w:t>
            </w:r>
          </w:p>
          <w:p w:rsidR="00315841" w:rsidRDefault="007A23BB">
            <w:pPr>
              <w:keepNext/>
              <w:ind w:left="-47"/>
            </w:pPr>
            <w:r>
              <w:t xml:space="preserve">Nő a helyi civil szervezetek és társadalmi csoportok aktivitási rátája / </w:t>
            </w:r>
          </w:p>
          <w:p w:rsidR="00315841" w:rsidRDefault="007A23BB">
            <w:pPr>
              <w:keepNext/>
              <w:ind w:left="-47"/>
            </w:pPr>
            <w:r>
              <w:t>Nő a területen lakó személyek, családok száma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Tervezett költségek:</w:t>
            </w:r>
            <w:r>
              <w:t xml:space="preserve"> 650 M Ft / épület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Potenciális források: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 xml:space="preserve">Városi költségvetés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Befektetői források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Nemzeti költségvetés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 xml:space="preserve">Gazdaságfejlesztési pályázati források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SZOVA Zrt.,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Ingatlanfejlesztők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SAVARIA Városfejlesztési Nonprofit Kft.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Vas Megyei Kereskedelmi és Iparkamara,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Vas Megye és Szombathely Város Regionális Vállalkozásfejlesztési Alapítványa,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Regionális Innovációs Ügynökség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Kockázatok: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  <w:jc w:val="both"/>
            </w:pPr>
            <w:r>
              <w:rPr>
                <w:color w:val="000000"/>
              </w:rPr>
              <w:t>Megfelelő előkészítés és marketingtevékenység hiányában az épület és szolgáltatások kapacitása kihasználatlan marad.</w:t>
            </w:r>
          </w:p>
        </w:tc>
      </w:tr>
    </w:tbl>
    <w:p w:rsidR="00315841" w:rsidRDefault="007A23BB">
      <w:pPr>
        <w:pStyle w:val="Cmsor2"/>
        <w:keepNext/>
        <w:spacing w:before="360" w:after="360"/>
        <w:rPr>
          <w:smallCaps w:val="0"/>
        </w:rPr>
      </w:pPr>
      <w:bookmarkStart w:id="21" w:name="_1y810tw" w:colFirst="0" w:colLast="0"/>
      <w:bookmarkEnd w:id="21"/>
      <w:r>
        <w:t xml:space="preserve">4.2 Szabadtéri területek - tervezett akciók </w:t>
      </w:r>
    </w:p>
    <w:tbl>
      <w:tblPr>
        <w:tblStyle w:val="af7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keepNext/>
              <w:spacing w:line="276" w:lineRule="auto"/>
            </w:pPr>
            <w:r>
              <w:t>4.2.1 Tájépítészeti és kertészeti tervek elkészítése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Alapadatok:</w:t>
            </w:r>
            <w:r>
              <w:t xml:space="preserve"> Az új részletes rendezési és közműtervek terv alapján és mellett szükséges az A és B területek vonatkozásában. A területhasználati és gazdasági szempontok figyelembevételével;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Létrehozandó</w:t>
            </w:r>
            <w:r>
              <w:rPr>
                <w:b/>
              </w:rPr>
              <w:t xml:space="preserve"> funkciók: </w:t>
            </w:r>
          </w:p>
          <w:p w:rsidR="00315841" w:rsidRDefault="007A23BB">
            <w:pPr>
              <w:spacing w:line="276" w:lineRule="auto"/>
              <w:jc w:val="both"/>
            </w:pPr>
            <w:r>
              <w:t xml:space="preserve">Koncepció- vagy tanulmányterv szintű terv készítése a zöldterületek egészére </w:t>
            </w:r>
          </w:p>
          <w:p w:rsidR="00315841" w:rsidRDefault="007A23BB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 xml:space="preserve">a területre települő új lakó és közfunkcióknak megfelelően zónák kialakításával, </w:t>
            </w:r>
          </w:p>
          <w:p w:rsidR="00315841" w:rsidRDefault="007A23BB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a megvalósuló szabadtéri funkciók megfelelő elhelyezésével és összekötésével,</w:t>
            </w:r>
          </w:p>
          <w:p w:rsidR="00315841" w:rsidRDefault="007A23BB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javaslattétel a szükséges támogató funkciók (pl. parkolók) zöld szemléletű kialakításra</w:t>
            </w:r>
          </w:p>
          <w:p w:rsidR="00315841" w:rsidRDefault="007A23BB">
            <w:pPr>
              <w:spacing w:line="276" w:lineRule="auto"/>
              <w:jc w:val="both"/>
            </w:pPr>
            <w:r>
              <w:t xml:space="preserve">Ez adhatja majd a keretét az egyes új funkciók megvalósításakor azok környezetének kertépítészeti beavatkozásaihoz. </w:t>
            </w:r>
          </w:p>
          <w:p w:rsidR="00315841" w:rsidRDefault="007A23BB">
            <w:pPr>
              <w:spacing w:line="276" w:lineRule="auto"/>
              <w:jc w:val="both"/>
            </w:pPr>
            <w:r>
              <w:t>A tervezés során törekedni kell a területet használ</w:t>
            </w:r>
            <w:r>
              <w:t>ó lakosok, itt dolgozók és látogatók minél szélesebb körű bevonására, akár a közösségi tervezés eszközeivel (pihenőpark, utak, ösvények tervezése során)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spacing w:line="276" w:lineRule="auto"/>
            </w:pPr>
            <w:r>
              <w:t>Szombathely lakossága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Várt társadalmi-gazdasági eredmény, hatás:</w:t>
            </w:r>
          </w:p>
          <w:p w:rsidR="00315841" w:rsidRDefault="007A23BB">
            <w:pPr>
              <w:spacing w:line="276" w:lineRule="auto"/>
              <w:jc w:val="both"/>
            </w:pPr>
            <w:r>
              <w:t>A parktervezés nyomán az épületek környezete is kellemessé válhat, az egyes konkrét funkciókon túl bizonyos zónákban pihenőpark, tájkert jelleggel.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Várt környezeti eredmény, hatás: </w:t>
            </w:r>
          </w:p>
          <w:p w:rsidR="00315841" w:rsidRDefault="007A23BB">
            <w:pPr>
              <w:spacing w:line="276" w:lineRule="auto"/>
            </w:pPr>
            <w:r>
              <w:t>Az A és B terület zöldterületeinek tisztítása, megújulása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Tervezett költ</w:t>
            </w:r>
            <w:r>
              <w:rPr>
                <w:b/>
              </w:rPr>
              <w:t xml:space="preserve">ségek: </w:t>
            </w:r>
            <w:r>
              <w:t>kb.</w:t>
            </w:r>
            <w:r>
              <w:rPr>
                <w:b/>
              </w:rPr>
              <w:t xml:space="preserve"> </w:t>
            </w:r>
            <w:r>
              <w:t>20 M Ft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Potenciális források: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Városi költségvetés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TOP CLLD forrás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 xml:space="preserve">Nemzeti költségvetés 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SZOVA Zrt.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SZOMPARK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Apáczai Alapítvány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Huszárlaktanya Támogató csoport tagjai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B terület leendő lakossága, környező városrész lakosai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Kockázatok:</w:t>
            </w:r>
          </w:p>
          <w:p w:rsidR="00315841" w:rsidRDefault="007A23BB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</w:pPr>
            <w:r>
              <w:rPr>
                <w:color w:val="000000"/>
              </w:rPr>
              <w:t>Tájépítészeti terv illetve koncepció hiányában a terület potenciális vonzereje csökken, zöld városközpont jellege alacsonyabb szinten valósul meg.</w:t>
            </w:r>
          </w:p>
        </w:tc>
      </w:tr>
    </w:tbl>
    <w:p w:rsidR="00315841" w:rsidRDefault="007A23BB">
      <w:pPr>
        <w:pStyle w:val="Cmsor3"/>
        <w:keepNext/>
        <w:spacing w:before="360" w:after="360"/>
        <w:rPr>
          <w:smallCaps w:val="0"/>
        </w:rPr>
      </w:pPr>
      <w:r>
        <w:t>4.2.2 “A” Terület</w:t>
      </w:r>
    </w:p>
    <w:tbl>
      <w:tblPr>
        <w:tblStyle w:val="af8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t>4.2.2.1 “A” terület zöldfelületeinek és szabadtéri részének hasznosítása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Alapadatok:</w:t>
            </w:r>
            <w:r>
              <w:t xml:space="preserve"> Habár az „A” terület megújulását elsősorban a műemléki épületek megmentése, azok új funkciókkal való megtöltése biztosítja, nem szabad megfeledkezni a t</w:t>
            </w:r>
            <w:r>
              <w:t xml:space="preserve">erületen található értékes és sokoldalúan kihasználható zöldterületekről sem, beleértve az épületek között húzódó sávokat is. Ezek közösségi célú felhasználása a terület – szó szoros értelemben vett – revitalizációját biztosítja.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Létrehozandó funkciók: </w:t>
            </w:r>
          </w:p>
          <w:p w:rsidR="00315841" w:rsidRDefault="007A23BB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Szabadtéri installációk: </w:t>
            </w:r>
          </w:p>
          <w:p w:rsidR="00315841" w:rsidRDefault="007A23BB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1447"/>
              <w:contextualSpacing/>
              <w:jc w:val="both"/>
            </w:pPr>
            <w:r>
              <w:rPr>
                <w:color w:val="000000"/>
              </w:rPr>
              <w:t>Helyi/térségi képzőművészek alkotásainak elhelyezése;</w:t>
            </w:r>
          </w:p>
          <w:p w:rsidR="00315841" w:rsidRDefault="007A23BB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1447"/>
              <w:contextualSpacing/>
              <w:jc w:val="both"/>
            </w:pPr>
            <w:r>
              <w:rPr>
                <w:color w:val="000000"/>
              </w:rPr>
              <w:t>Helyi/térségi katonai és kulturális örökségi tárgyak kültéri bemutatása;</w:t>
            </w:r>
          </w:p>
          <w:p w:rsidR="00315841" w:rsidRDefault="007A23BB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1447"/>
              <w:contextualSpacing/>
              <w:jc w:val="both"/>
            </w:pPr>
            <w:r>
              <w:rPr>
                <w:color w:val="000000"/>
              </w:rPr>
              <w:t>Huszár/ Ló / OM Monarchia kora / Szovjet hadsereg témájú szabadtéri játékok elhelyezése;</w:t>
            </w:r>
          </w:p>
          <w:p w:rsidR="00315841" w:rsidRDefault="007A23BB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1447"/>
              <w:contextualSpacing/>
              <w:jc w:val="both"/>
            </w:pPr>
            <w:r>
              <w:rPr>
                <w:color w:val="000000"/>
              </w:rPr>
              <w:t>Szabadtéri színpad kialakítása pl. a Karnevál egyik új helyszíne lehetne, fiatalokat célzó programokkal.</w:t>
            </w:r>
          </w:p>
          <w:p w:rsidR="00315841" w:rsidRDefault="007A23BB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b/>
                <w:color w:val="000000"/>
              </w:rPr>
              <w:t>Kisméretű piac- és rendezvénytér:</w:t>
            </w:r>
            <w:r>
              <w:rPr>
                <w:color w:val="000000"/>
              </w:rPr>
              <w:t xml:space="preserve"> a terület délkeleti tere jelenleg is helyet biztosít különböző időszakos vásároknak (pl. karácsonyfa árusítás). Kiseb</w:t>
            </w:r>
            <w:r>
              <w:rPr>
                <w:color w:val="000000"/>
              </w:rPr>
              <w:t xml:space="preserve">b léptékű fejlesztéssel, parkolók kialakításával ez a funkció tovább erősíthető. </w:t>
            </w:r>
          </w:p>
          <w:p w:rsidR="00315841" w:rsidRDefault="007A23BB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b/>
                <w:color w:val="000000"/>
              </w:rPr>
              <w:t>Huszár hagyományőrző és bemutatóhely, valamint lovaspálya:</w:t>
            </w:r>
            <w:r>
              <w:rPr>
                <w:color w:val="000000"/>
              </w:rPr>
              <w:t xml:space="preserve"> a város életében fontos szerepet játszik a 11-es Huszár Hagyományőrző Egyesület, amelynek legfőbb küldetése a magya</w:t>
            </w:r>
            <w:r>
              <w:rPr>
                <w:color w:val="000000"/>
              </w:rPr>
              <w:t>r huszárság történelemben betöltött szerepének bemutatása. Az Egyesület jelenleg is a Huszárlaktanya területén készül a különböző rendezvényeken való részvételre, azonban az A és B terület határán található kisebb méretű épület, valamint az előtte elterülő</w:t>
            </w:r>
            <w:r>
              <w:rPr>
                <w:color w:val="000000"/>
              </w:rPr>
              <w:t xml:space="preserve"> kis zöldterület kihasználásával jelentősen javulna az Egyesület működési körülménye.</w:t>
            </w:r>
          </w:p>
          <w:p w:rsidR="00315841" w:rsidRDefault="007A23BB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b/>
                <w:color w:val="000000"/>
              </w:rPr>
              <w:t>Szabadtéri színpad:</w:t>
            </w:r>
            <w:r>
              <w:rPr>
                <w:color w:val="000000"/>
              </w:rPr>
              <w:t xml:space="preserve"> Szombathelyen kevés az olyan helyszín, amely minden igényt kielégítően alkalmas szabadtéri színházi, vagy könnyű- és komolyzenei rendezvények lebonyolítására. Jelenleg ilyen jellegű eseményeket a Fő téren, a Megyeháza udvarán vagy az Emlékmű-dombon tartan</w:t>
            </w:r>
            <w:r>
              <w:rPr>
                <w:color w:val="000000"/>
              </w:rPr>
              <w:t>ak, azonban minden helyszínnek megvan a maga hátulütője. Mindeközben a város legnagyobb szabású rendezvénye, a Savaria Történelmi Karnevál évről évre egyre több látogatót vonz, sok esetben túlzsúfolttá téve a városközponti területeket. A Huszárlaktanya ter</w:t>
            </w:r>
            <w:r>
              <w:rPr>
                <w:color w:val="000000"/>
              </w:rPr>
              <w:t>ületén kialakítandó, magas minőségű szabadtéri színpad kialakítása mindkét hiányosság, illetve probléma leküzdéséhez hozzájárul, egyrészt a helyszín a megfelelő körülményeken túl különleges atmoszférát biztosít a könnyű- és komolyzenei koncerteknek, színhá</w:t>
            </w:r>
            <w:r>
              <w:rPr>
                <w:color w:val="000000"/>
              </w:rPr>
              <w:t>zi előadásoknak, másrészt potenciális karneváli helyszínként képes térben „széthúzni, szétteríteni” az alapesetben a városközpontban koncentrálódó több tízezres tömeget.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</w:pPr>
            <w:r>
              <w:rPr>
                <w:color w:val="000000"/>
              </w:rPr>
              <w:t>Szombathely lakossága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Várt társadalmi-gazdasági eredmény, hatás:</w:t>
            </w:r>
          </w:p>
          <w:p w:rsidR="00315841" w:rsidRDefault="007A23BB">
            <w:pPr>
              <w:spacing w:line="276" w:lineRule="auto"/>
              <w:jc w:val="both"/>
            </w:pPr>
            <w:r>
              <w:t xml:space="preserve">Erősödik az új zöld városközpont jelleg, továbbá gazdasági hatásként értékelhetők a rendezvénytérről származó bevételek. </w:t>
            </w:r>
          </w:p>
          <w:p w:rsidR="00315841" w:rsidRDefault="007A23BB">
            <w:r>
              <w:t>Nő az új városközponti funkciókat használó lakosok száma</w:t>
            </w:r>
          </w:p>
          <w:p w:rsidR="00315841" w:rsidRDefault="007A23BB">
            <w:r>
              <w:t>Nő az események látogatottsága</w:t>
            </w:r>
          </w:p>
          <w:p w:rsidR="00315841" w:rsidRDefault="007A23BB">
            <w:r>
              <w:t xml:space="preserve">A terület kulturális öröksége iránti figyelem </w:t>
            </w:r>
            <w:r>
              <w:t>élénkül</w:t>
            </w:r>
          </w:p>
          <w:p w:rsidR="00315841" w:rsidRDefault="007A23BB">
            <w:r>
              <w:t>Emelkedik a helyi termékeket árusító lakosok száma</w:t>
            </w:r>
          </w:p>
          <w:p w:rsidR="00315841" w:rsidRDefault="007A23BB">
            <w:r>
              <w:t>Emelkedik az új sport- és rekreációs helyszíneket használó városlakók aránya</w:t>
            </w:r>
          </w:p>
          <w:p w:rsidR="00315841" w:rsidRDefault="007A23BB">
            <w:r>
              <w:t>Emelkedik a közösségi kertészkedésbe bevont háztartások száma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Várt környezeti eredmény, hatás:</w:t>
            </w:r>
          </w:p>
          <w:p w:rsidR="00315841" w:rsidRDefault="007A23BB">
            <w:pPr>
              <w:spacing w:line="276" w:lineRule="auto"/>
            </w:pPr>
            <w:r>
              <w:t>Az „A” terület zöldterületeinek megtisztulása, megújulása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Tervezett költségek:</w:t>
            </w:r>
            <w:r>
              <w:t xml:space="preserve"> mintegy 240-300 M Ft 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Potenciális források: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 xml:space="preserve">Városi költségvetés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Nemzeti költségvetés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TOP CLLD forrás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SZOVA Zrt.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Huszárlaktanya Támogató csoport tagjai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Apáczai Csere János Alapítvány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Szombathelyi 11-es Huszár Hagyományőrző Egyesület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Helyi-, illetve a térségben élő művészek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Kockázatok: </w:t>
            </w:r>
          </w:p>
          <w:p w:rsidR="00315841" w:rsidRDefault="007A23BB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  <w:jc w:val="both"/>
            </w:pPr>
            <w:r>
              <w:rPr>
                <w:color w:val="000000"/>
              </w:rPr>
              <w:t>A „B” területre költöző, valamint a környező városrészben élő lakosság ellenérzete (hangosabb rendezvények, lovaspálya), így a tervezés és elhelyezés során figyelembe kell venni a zajvédelmi szempontok minél hatékonyabb érvényesítését.</w:t>
            </w:r>
          </w:p>
        </w:tc>
      </w:tr>
    </w:tbl>
    <w:p w:rsidR="00315841" w:rsidRDefault="007A23BB">
      <w:pPr>
        <w:pStyle w:val="Cmsor3"/>
        <w:spacing w:after="240"/>
        <w:rPr>
          <w:smallCaps w:val="0"/>
        </w:rPr>
      </w:pPr>
      <w:r>
        <w:t>4.2.3 “B” Terület</w:t>
      </w:r>
    </w:p>
    <w:tbl>
      <w:tblPr>
        <w:tblStyle w:val="af9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t>4.2.3.1 “B” terület zöldfelületeinek és szabadtéri részének hasznosítása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Alapadatok:</w:t>
            </w:r>
            <w:r>
              <w:t xml:space="preserve"> Az új részletes rendezési és közműtervek terv alapján és az A és B területekre vonatkozó tájépítészeti terveknek megfelelően szabadtéri, elsősorban rekreációs és közösségi funkciók létrehozása.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Létrehozandó funkciók: </w:t>
            </w:r>
          </w:p>
          <w:p w:rsidR="00315841" w:rsidRDefault="007A23BB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line="276" w:lineRule="auto"/>
              <w:ind w:left="714" w:hanging="357"/>
              <w:contextualSpacing/>
              <w:jc w:val="both"/>
            </w:pPr>
            <w:r>
              <w:rPr>
                <w:b/>
                <w:color w:val="000000"/>
              </w:rPr>
              <w:t>Központi Park – “Huszár Liget”</w:t>
            </w:r>
            <w:r>
              <w:rPr>
                <w:color w:val="000000"/>
              </w:rPr>
              <w:t xml:space="preserve"> létr</w:t>
            </w:r>
            <w:r>
              <w:rPr>
                <w:color w:val="000000"/>
              </w:rPr>
              <w:t>ehozása - parkosítás pihenőpark, tájkert jelleggel</w:t>
            </w:r>
          </w:p>
          <w:p w:rsidR="00315841" w:rsidRDefault="007A23BB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b/>
                <w:color w:val="000000"/>
              </w:rPr>
              <w:t>Közösségi kert(ek)</w:t>
            </w:r>
            <w:r>
              <w:rPr>
                <w:color w:val="000000"/>
              </w:rPr>
              <w:t xml:space="preserve"> kialakítása a B terület és a városrész lakosai számára: Szombathelyen kevésbé ismert, több magyar városban is jól működő kezdeményezés (lásd: </w:t>
            </w:r>
            <w:hyperlink r:id="rId30">
              <w:r>
                <w:rPr>
                  <w:color w:val="0000FF"/>
                  <w:u w:val="single"/>
                </w:rPr>
                <w:t>http://kozossegikertek.hu/</w:t>
              </w:r>
            </w:hyperlink>
            <w:r>
              <w:rPr>
                <w:color w:val="000000"/>
              </w:rPr>
              <w:t xml:space="preserve"> , </w:t>
            </w:r>
            <w:hyperlink r:id="rId31">
              <w:r>
                <w:rPr>
                  <w:color w:val="0000FF"/>
                  <w:u w:val="single"/>
                </w:rPr>
                <w:t>https://www.facebook.com/Grundkert/</w:t>
              </w:r>
            </w:hyperlink>
            <w:r>
              <w:rPr>
                <w:color w:val="000000"/>
              </w:rPr>
              <w:t xml:space="preserve"> )</w:t>
            </w:r>
          </w:p>
          <w:p w:rsidR="00315841" w:rsidRDefault="007A23BB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714" w:hanging="357"/>
              <w:contextualSpacing/>
              <w:jc w:val="both"/>
            </w:pPr>
            <w:r>
              <w:rPr>
                <w:color w:val="000000"/>
              </w:rPr>
              <w:t xml:space="preserve">Kisebb ligetes </w:t>
            </w:r>
            <w:r>
              <w:rPr>
                <w:b/>
                <w:color w:val="000000"/>
              </w:rPr>
              <w:t>zöld közösségi terek</w:t>
            </w:r>
            <w:r>
              <w:rPr>
                <w:color w:val="000000"/>
              </w:rPr>
              <w:t xml:space="preserve"> kialakítása (pl. közösségi együtt-tervezési módszerekk</w:t>
            </w:r>
            <w:r>
              <w:rPr>
                <w:color w:val="000000"/>
              </w:rPr>
              <w:t>el)</w:t>
            </w:r>
          </w:p>
          <w:p w:rsidR="00315841" w:rsidRDefault="007A23BB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714" w:hanging="357"/>
              <w:contextualSpacing/>
              <w:jc w:val="both"/>
            </w:pPr>
            <w:r>
              <w:rPr>
                <w:b/>
                <w:color w:val="000000"/>
              </w:rPr>
              <w:t>Tematikus huszár játszótér</w:t>
            </w:r>
            <w:r>
              <w:rPr>
                <w:color w:val="000000"/>
              </w:rPr>
              <w:t xml:space="preserve"> kialakítása</w:t>
            </w:r>
          </w:p>
          <w:p w:rsidR="00315841" w:rsidRDefault="007A23BB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ind w:left="714" w:hanging="357"/>
              <w:contextualSpacing/>
              <w:jc w:val="both"/>
            </w:pPr>
            <w:r>
              <w:rPr>
                <w:b/>
                <w:color w:val="000000"/>
              </w:rPr>
              <w:t>Szabadtéri sportpályák</w:t>
            </w:r>
            <w:r>
              <w:rPr>
                <w:color w:val="000000"/>
              </w:rPr>
              <w:t>, -eszközök: bringapark, street sportok stb.</w:t>
            </w:r>
          </w:p>
          <w:p w:rsidR="00315841" w:rsidRDefault="007A23BB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120" w:line="276" w:lineRule="auto"/>
              <w:ind w:left="714" w:hanging="357"/>
              <w:contextualSpacing/>
              <w:jc w:val="both"/>
            </w:pPr>
            <w:r>
              <w:rPr>
                <w:b/>
                <w:color w:val="000000"/>
              </w:rPr>
              <w:t>Közös tárolóépületek</w:t>
            </w:r>
            <w:r>
              <w:rPr>
                <w:color w:val="000000"/>
              </w:rPr>
              <w:t xml:space="preserve"> az új lakások lakói és a közösségi kertek használói számára</w:t>
            </w:r>
          </w:p>
          <w:p w:rsidR="00315841" w:rsidRDefault="007A23BB">
            <w:pPr>
              <w:spacing w:before="120" w:line="276" w:lineRule="auto"/>
              <w:jc w:val="both"/>
            </w:pPr>
            <w:r>
              <w:t>A tervezés és megvalósítás során törekedni kell a területet használó lakosok, itt dolgozók és látogatók minél szélesebb körű bevonására, akár a közösségi tervezés eszközeivel (pihenőpark, utak, ösvények tervezése során)</w:t>
            </w:r>
          </w:p>
          <w:p w:rsidR="00315841" w:rsidRDefault="007A23BB">
            <w:pPr>
              <w:spacing w:before="120" w:line="276" w:lineRule="auto"/>
              <w:jc w:val="both"/>
            </w:pPr>
            <w:r>
              <w:t>A B területen felmerült komolyabb fo</w:t>
            </w:r>
            <w:r>
              <w:t>rgalomvonzó létesítmények kialakítása is, melyekre a terület alkalmas:</w:t>
            </w:r>
          </w:p>
          <w:p w:rsidR="00315841" w:rsidRDefault="007A23BB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Velodrom: akár nemzetközi pályakerékpáros versenyek lebonyolítására alkalmas zárt vagy nyitott létesítmény</w:t>
            </w:r>
          </w:p>
          <w:p w:rsidR="00315841" w:rsidRDefault="007A23BB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Vásárterület és csarnok: térségi tematikus ipari és kereskedelmi vásárok lebonyolítására alkalmas létesítmény</w:t>
            </w:r>
          </w:p>
          <w:p w:rsidR="00315841" w:rsidRDefault="007A23BB">
            <w:pPr>
              <w:spacing w:line="276" w:lineRule="auto"/>
              <w:jc w:val="both"/>
            </w:pPr>
            <w:r>
              <w:t>Ezen két funkció térbeli elhelyezése részletes információk birtokában lehetséges, megvalósulásuk esetén elhelyezésük és közlekedési kapcsolataik k</w:t>
            </w:r>
            <w:r>
              <w:t xml:space="preserve">ialakítása során törekedni kell a zöldterület jelleg megőrzésére, a gépjárműforgalom minimalizálására illetve elválasztására a központi parktól. 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spacing w:line="276" w:lineRule="auto"/>
            </w:pPr>
            <w:r>
              <w:t>Szombathely lakossága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Várt társadalmi-gazdasági eredmény, hatás:</w:t>
            </w:r>
          </w:p>
          <w:p w:rsidR="00315841" w:rsidRDefault="007A23BB">
            <w:pPr>
              <w:spacing w:line="276" w:lineRule="auto"/>
              <w:jc w:val="both"/>
            </w:pPr>
            <w:r>
              <w:t>Új zöld városközpont jön létre</w:t>
            </w:r>
          </w:p>
          <w:p w:rsidR="00315841" w:rsidRDefault="007A23BB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Nő az új városközponti funkciókat használó lakosok száma</w:t>
            </w:r>
          </w:p>
          <w:p w:rsidR="00315841" w:rsidRDefault="007A23BB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A terület kulturális öröksége iránti figyelem élénkül</w:t>
            </w:r>
          </w:p>
          <w:p w:rsidR="00315841" w:rsidRDefault="007A23BB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 xml:space="preserve">Nő a területen lakó személyek, családok száma </w:t>
            </w:r>
          </w:p>
          <w:p w:rsidR="00315841" w:rsidRDefault="007A23BB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Emelkedik az új sport- és rekreációs helyszíneket használó városlakók aránya</w:t>
            </w:r>
          </w:p>
          <w:p w:rsidR="00315841" w:rsidRDefault="007A23BB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Emelkedik a közösségi kertészkedésbe bevont háztartások száma</w:t>
            </w:r>
          </w:p>
          <w:p w:rsidR="00315841" w:rsidRDefault="007A23BB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Nő az aktív mobilitás (gyaloglás, kerékpározás) modális részaránya a projektterületen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Várt környezeti eredmény, hatás: </w:t>
            </w:r>
          </w:p>
          <w:p w:rsidR="00315841" w:rsidRDefault="007A23BB">
            <w:pPr>
              <w:spacing w:line="276" w:lineRule="auto"/>
            </w:pPr>
            <w:r>
              <w:t>A B terület zöldterületeinek tisztítása, megújulása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Tervezett költségek: </w:t>
            </w:r>
            <w:r>
              <w:t>mintegy 270-300 M Ft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Potenciális források: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Városi költségvetés (köztük a B terület ingatlan értékesítési bevételei)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TOP CLLD forrás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 xml:space="preserve">Nemzeti költségvetés 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 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SZOVA Zrt.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Apáczai Alapítvány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</w:pPr>
            <w:r>
              <w:rPr>
                <w:color w:val="000000"/>
              </w:rPr>
              <w:t>Huszárlaktanya Támogató csoport tagjai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B terület leendő lakossága, környező városrész lakosai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Kockázatok:</w:t>
            </w:r>
          </w:p>
          <w:p w:rsidR="00315841" w:rsidRDefault="007A23BB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</w:pPr>
            <w:r>
              <w:rPr>
                <w:color w:val="000000"/>
              </w:rPr>
              <w:t>Tájépítészeti terv illetve koncepció hiányában a terület potenciális vonzereje csökken, zöld városközpont jellege alacsonyabb szinten valósul meg.</w:t>
            </w:r>
          </w:p>
        </w:tc>
      </w:tr>
    </w:tbl>
    <w:p w:rsidR="00315841" w:rsidRDefault="007A23BB">
      <w:pPr>
        <w:pStyle w:val="Cmsor2"/>
        <w:spacing w:before="360" w:after="240"/>
        <w:rPr>
          <w:smallCaps w:val="0"/>
        </w:rPr>
      </w:pPr>
      <w:bookmarkStart w:id="22" w:name="_4i7ojhp" w:colFirst="0" w:colLast="0"/>
      <w:bookmarkEnd w:id="22"/>
      <w:r>
        <w:t xml:space="preserve">4.3 Új lakóépületek – tervezett akciók </w:t>
      </w:r>
    </w:p>
    <w:tbl>
      <w:tblPr>
        <w:tblStyle w:val="afa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t>4.3.1 Részletes szabályozási terv, telekfelosztás elkészítése, talaj</w:t>
            </w:r>
            <w:r>
              <w:t>szennyezés részletes felmérése, bontási terv a „B” terület értéktelen épületei vonatkozásában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Alapadatok:</w:t>
            </w:r>
            <w:r>
              <w:t xml:space="preserve"> A „B” terület részletes szabályozási tervének kidolgozása, a korábbi talajszennyeződés-felmérések felülvizsgálata, a területen található építmények állapotának felmérése, szükség esetén a bontási tervek kidolgozása.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Tevékenységek: </w:t>
            </w:r>
          </w:p>
          <w:p w:rsidR="00315841" w:rsidRDefault="007A23BB">
            <w:pPr>
              <w:spacing w:line="276" w:lineRule="auto"/>
              <w:jc w:val="both"/>
            </w:pPr>
            <w:r>
              <w:t>A 2005-ben végeztetett</w:t>
            </w:r>
            <w:r>
              <w:t xml:space="preserve"> kutatófúrások tanúsága szerint a korábbi kármentesítési tevékenység ellenére a szénhidrogén szennyezés továbbra sem szűnt meg. Szükséges a talajszennyezés részletes felmérése, valamint az építési tevékenységek megkezdése előtt a kármentesítés megtervezése</w:t>
            </w:r>
            <w:r>
              <w:t>. A környezeti szempontokhoz kapcsolódóan figyelembe kell venni az invazív növényfoltok jelenlétét a tervezés, építés során.</w:t>
            </w:r>
          </w:p>
          <w:p w:rsidR="00315841" w:rsidRDefault="007A23BB">
            <w:pPr>
              <w:spacing w:before="240" w:line="276" w:lineRule="auto"/>
              <w:jc w:val="both"/>
            </w:pPr>
            <w:r>
              <w:t>A részletes szabályozási terv elkészítése, valamint ezzel összhangban a telekfelosztás megtervezése széleskörű tapasztalattal rende</w:t>
            </w:r>
            <w:r>
              <w:t>lkező külső szakértő feladata, aki az Önkormányzat felelős munkatársaival együttműködve készíti el azt, figyelembe véve a környező területek jellegét, arculatát, valamint az előzetes tervezési folyamatok során meghatározott szempontokat.</w:t>
            </w:r>
          </w:p>
          <w:p w:rsidR="00315841" w:rsidRDefault="007A23BB">
            <w:pPr>
              <w:spacing w:before="240" w:line="276" w:lineRule="auto"/>
              <w:jc w:val="both"/>
            </w:pPr>
            <w:r>
              <w:t>A „B” területen ta</w:t>
            </w:r>
            <w:r>
              <w:t>lálható épületállományról összességében elmondható, hogy rendkívül rossz állapotú. A rajta található három épület az előzetes felmérés alapján nem – vagy csak aránytalan mértékű többletforrás igénybevételével – menthető meg, ennek ellenére a bontási tervek</w:t>
            </w:r>
            <w:r>
              <w:t xml:space="preserve"> elkészítése előtt szükséges részletes felmérés, egyeztetés.   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 xml:space="preserve">Lakosság 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Ingatlanfejlesztők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Várt társadalmi-gazdasági eredmény, hatás: </w:t>
            </w:r>
          </w:p>
          <w:p w:rsidR="00315841" w:rsidRDefault="007A23BB">
            <w:pPr>
              <w:spacing w:line="276" w:lineRule="auto"/>
              <w:jc w:val="both"/>
            </w:pPr>
            <w:r>
              <w:t>Lehetővé válik a „B” terület telkeinek értékesítése, belső közlekedés útvonalainak, közműveinek megtervezése. A tevékenység végeredményben – a tervezett pénzügyi konstrukción keresztül – az „A” terület épületeinek állagmegóvásához, fejlesztéséhez is hozzáj</w:t>
            </w:r>
            <w:r>
              <w:t>árul.</w:t>
            </w:r>
          </w:p>
          <w:p w:rsidR="00315841" w:rsidRDefault="007A23BB">
            <w:r>
              <w:t>Nő az új városközponti funkciókat használó lakosok száma;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rPr>
                <w:color w:val="000000"/>
              </w:rPr>
            </w:pPr>
            <w:r>
              <w:rPr>
                <w:color w:val="000000"/>
              </w:rPr>
              <w:t>Nő a területen lakó személyek, családok száma.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Várt környezeti eredmény, hatás:</w:t>
            </w:r>
          </w:p>
          <w:p w:rsidR="00315841" w:rsidRDefault="007A23BB">
            <w:pPr>
              <w:spacing w:line="276" w:lineRule="auto"/>
              <w:jc w:val="both"/>
            </w:pPr>
            <w:r>
              <w:t>A megmaradt talajszennyeződés tisztítása / ártalmatlanítása révén javul a terület környezeti állapota, továbbá az invazív növényfajok terjedésének megállításával a biológiai diverzitás megőrzése.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Tervezett költségek:</w:t>
            </w:r>
            <w:r>
              <w:t xml:space="preserve"> 30 M Ft 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Potenciális források: </w:t>
            </w:r>
          </w:p>
          <w:p w:rsidR="00315841" w:rsidRDefault="007A23BB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 xml:space="preserve">Városi költségvetés </w:t>
            </w:r>
          </w:p>
          <w:p w:rsidR="00315841" w:rsidRDefault="007A23BB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 xml:space="preserve">Nemzeti költségvetés 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SZOVA Zrt.</w:t>
            </w:r>
          </w:p>
          <w:p w:rsidR="00315841" w:rsidRDefault="007A23BB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Vas Megyei Kormányhivatal Örökségvédelmi Hivatala</w:t>
            </w:r>
          </w:p>
          <w:p w:rsidR="00315841" w:rsidRDefault="007A23BB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A részletes szabályozási terv elkészítéséért felelős szakértő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Kockázatok: </w:t>
            </w:r>
          </w:p>
          <w:p w:rsidR="00315841" w:rsidRDefault="007A23BB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Érdekütközés a részletes szabályozási terv kidolgozása során</w:t>
            </w:r>
          </w:p>
          <w:p w:rsidR="00315841" w:rsidRDefault="007A23BB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A talajszennyeződés mértéke, kiterjedése nagyobb az előzetes felmérések alapján vártnál</w:t>
            </w:r>
          </w:p>
        </w:tc>
      </w:tr>
    </w:tbl>
    <w:p w:rsidR="00315841" w:rsidRDefault="00315841">
      <w:pPr>
        <w:pBdr>
          <w:top w:val="nil"/>
          <w:left w:val="nil"/>
          <w:bottom w:val="nil"/>
          <w:right w:val="nil"/>
          <w:between w:val="nil"/>
        </w:pBdr>
        <w:spacing w:before="0" w:after="0" w:line="240" w:lineRule="auto"/>
        <w:jc w:val="both"/>
        <w:rPr>
          <w:color w:val="000000"/>
        </w:rPr>
      </w:pPr>
    </w:p>
    <w:tbl>
      <w:tblPr>
        <w:tblStyle w:val="afb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9062"/>
      </w:tblGrid>
      <w:tr w:rsid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t>4.3.2 Terület értékesítése, belső közlekedési útvonalak, parkolók illetve egyéb közművek tervezése és kiépítése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Alapadatok:</w:t>
            </w:r>
            <w:r>
              <w:t xml:space="preserve"> A „B” terület részletes szabályozási terve alapján lehetővé válik a felosztott telkek értékesítése (min. 8.7 ha), majd a közművek é</w:t>
            </w:r>
            <w:r>
              <w:t>s belső közlekedési útvonalak megtervezése, kiépítése.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Tevékenységek: </w:t>
            </w:r>
          </w:p>
          <w:p w:rsidR="00315841" w:rsidRDefault="007A23BB">
            <w:pPr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A fejlesztési elképzelések beillesztése a város Településfejlesztési Koncepciójába</w:t>
            </w:r>
          </w:p>
          <w:p w:rsidR="00315841" w:rsidRDefault="007A23BB">
            <w:pPr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A szükséges bontási tevékenységek elvégzése /</w:t>
            </w:r>
          </w:p>
          <w:p w:rsidR="00315841" w:rsidRDefault="007A23BB">
            <w:pPr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A felosztott telkek értékesítése (ezzel párhuzamosan az ebből származó bevételek felhasználása az „A” terület műemléki épületeinek állagmegóvására, felújítására)</w:t>
            </w:r>
          </w:p>
          <w:p w:rsidR="00315841" w:rsidRDefault="007A23BB">
            <w:pPr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Közművek és a belső úthálózat megtervezése, kiépítése, az építési tevékenységek előrehaladásán</w:t>
            </w:r>
            <w:r>
              <w:rPr>
                <w:color w:val="000000"/>
              </w:rPr>
              <w:t>ak függvényében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 xml:space="preserve">Lakosság </w:t>
            </w:r>
          </w:p>
          <w:p w:rsidR="00315841" w:rsidRDefault="007A23BB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Ingatlanfejlesztők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Várt társadalmi-gazdasági eredmény, hatás: </w:t>
            </w:r>
          </w:p>
          <w:p w:rsidR="00315841" w:rsidRDefault="007A23BB">
            <w:pPr>
              <w:spacing w:line="276" w:lineRule="auto"/>
              <w:jc w:val="both"/>
            </w:pPr>
            <w:r>
              <w:t>A terület szerves részévé válik a városnak és a közösségnek, továbbá a telkek értékesítéséből befolyó bevételek hatékony felhasználása révén az „A” terület műemléki védettségű épületei.</w:t>
            </w:r>
          </w:p>
          <w:p w:rsidR="00315841" w:rsidRDefault="007A23BB">
            <w:r>
              <w:t>Nő az új városközponti funkciókat használó lakosok száma;</w:t>
            </w:r>
          </w:p>
          <w:p w:rsidR="00315841" w:rsidRDefault="007A23BB">
            <w:pPr>
              <w:spacing w:line="276" w:lineRule="auto"/>
              <w:jc w:val="both"/>
              <w:rPr>
                <w:highlight w:val="yellow"/>
              </w:rPr>
            </w:pPr>
            <w:r>
              <w:t>Nő a területen lakó személyek, családok száma.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Várt környezeti eredmény, hatás:</w:t>
            </w:r>
          </w:p>
          <w:p w:rsidR="00315841" w:rsidRDefault="007A23BB">
            <w:pPr>
              <w:spacing w:line="276" w:lineRule="auto"/>
              <w:jc w:val="both"/>
              <w:rPr>
                <w:highlight w:val="yellow"/>
              </w:rPr>
            </w:pPr>
            <w:r>
              <w:t>A megmaradt talajszennyeződés tisztítása / ártalmatlanítása révén javul a terület környezeti állapota, továbbá az invazív növényfajok terjedésének megállításával a biológiai d</w:t>
            </w:r>
            <w:r>
              <w:t>iverzitás megőrzése.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Tervezett költségek:</w:t>
            </w:r>
            <w:r>
              <w:t xml:space="preserve"> részletes felmérés, bontási tervek alapján állapítható meg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Potenciális források: </w:t>
            </w:r>
          </w:p>
          <w:p w:rsidR="00315841" w:rsidRDefault="007A23BB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 xml:space="preserve">Városi költségvetés </w:t>
            </w:r>
          </w:p>
          <w:p w:rsidR="00315841" w:rsidRDefault="007A23BB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contextualSpacing/>
              <w:jc w:val="both"/>
            </w:pPr>
            <w:r>
              <w:rPr>
                <w:color w:val="000000"/>
              </w:rPr>
              <w:t>Nemzeti költségvetés</w:t>
            </w:r>
          </w:p>
          <w:p w:rsidR="00315841" w:rsidRDefault="007A23BB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privát ill. befektetői források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</w:t>
            </w:r>
          </w:p>
        </w:tc>
      </w:tr>
      <w:tr w:rsidR="00315841"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SZOVA Zrt.</w:t>
            </w:r>
          </w:p>
          <w:p w:rsidR="00315841" w:rsidRDefault="007A23BB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Ingatlanfejlesztők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Kockázatok: </w:t>
            </w:r>
          </w:p>
          <w:p w:rsidR="00315841" w:rsidRDefault="007A23BB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Ingatlanpiaci fellendülés megtörése rövid távon indokolatlanná teszi a beruházást;</w:t>
            </w:r>
          </w:p>
          <w:p w:rsidR="00315841" w:rsidRDefault="007A23BB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rPr>
                <w:color w:val="000000"/>
              </w:rPr>
            </w:pPr>
            <w:r>
              <w:rPr>
                <w:color w:val="000000"/>
              </w:rPr>
              <w:t>A telkek értékesítéséből származó bevételek más célú felhasználása</w:t>
            </w:r>
          </w:p>
        </w:tc>
      </w:tr>
    </w:tbl>
    <w:p w:rsidR="00315841" w:rsidRDefault="007A23BB">
      <w:pPr>
        <w:pStyle w:val="Cmsor2"/>
        <w:spacing w:before="360" w:after="240"/>
        <w:rPr>
          <w:smallCaps w:val="0"/>
        </w:rPr>
      </w:pPr>
      <w:bookmarkStart w:id="23" w:name="_2xcytpi" w:colFirst="0" w:colLast="0"/>
      <w:bookmarkEnd w:id="23"/>
      <w:r>
        <w:t xml:space="preserve">4.4 Karbantartás – Tervezett horizontális akciók </w:t>
      </w:r>
    </w:p>
    <w:tbl>
      <w:tblPr>
        <w:tblStyle w:val="afc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3539"/>
        <w:gridCol w:w="5523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39" w:type="dxa"/>
          </w:tcPr>
          <w:p w:rsidR="00315841" w:rsidRDefault="007A23BB">
            <w:pPr>
              <w:spacing w:line="276" w:lineRule="auto"/>
              <w:jc w:val="both"/>
            </w:pPr>
            <w:r>
              <w:t>4.4 Állagmegóvás, karbantartás,</w:t>
            </w:r>
          </w:p>
        </w:tc>
        <w:tc>
          <w:tcPr>
            <w:tcW w:w="5523" w:type="dxa"/>
            <w:vAlign w:val="center"/>
          </w:tcPr>
          <w:p w:rsidR="00315841" w:rsidRDefault="00315841">
            <w:pPr>
              <w:spacing w:line="276" w:lineRule="auto"/>
              <w:jc w:val="center"/>
            </w:pP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  <w:gridSpan w:val="2"/>
          </w:tcPr>
          <w:p w:rsidR="00315841" w:rsidRDefault="007A23BB">
            <w:pPr>
              <w:spacing w:line="276" w:lineRule="auto"/>
              <w:jc w:val="both"/>
            </w:pPr>
            <w:r>
              <w:rPr>
                <w:b/>
              </w:rPr>
              <w:t>Alapadatok:</w:t>
            </w:r>
            <w:r>
              <w:t xml:space="preserve"> A mintegy 14,000 m</w:t>
            </w:r>
            <w:r>
              <w:rPr>
                <w:vertAlign w:val="superscript"/>
              </w:rPr>
              <w:t>2</w:t>
            </w:r>
            <w:r>
              <w:t xml:space="preserve"> alapterületű műemlékállomány és a laktanyaterület szabadtéri részeinek karbantartása állagmegóvása </w:t>
            </w:r>
          </w:p>
        </w:tc>
      </w:tr>
      <w:tr w:rsidR="00315841">
        <w:tc>
          <w:tcPr>
            <w:tcW w:w="9062" w:type="dxa"/>
            <w:gridSpan w:val="2"/>
          </w:tcPr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Létrehozandó funkciók: </w:t>
            </w:r>
          </w:p>
          <w:p w:rsidR="00315841" w:rsidRDefault="007A23BB">
            <w:pPr>
              <w:spacing w:line="276" w:lineRule="auto"/>
              <w:jc w:val="both"/>
            </w:pPr>
            <w:r>
              <w:t xml:space="preserve">A részletes állapotfelmérés (4.1.1 sz. akció) alapján ütemezett karbantartás és állagmegóvás az új funkciók megvalósulásáig vagy az épületek szerkezeti elemeinek felújításáig. 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  <w:gridSpan w:val="2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Célcsoport: </w:t>
            </w:r>
          </w:p>
          <w:p w:rsidR="00315841" w:rsidRDefault="007A23BB">
            <w:pPr>
              <w:spacing w:line="276" w:lineRule="auto"/>
            </w:pPr>
            <w:r>
              <w:t>Szombathely lakossága</w:t>
            </w:r>
          </w:p>
        </w:tc>
      </w:tr>
      <w:tr w:rsidR="00315841">
        <w:tc>
          <w:tcPr>
            <w:tcW w:w="9062" w:type="dxa"/>
            <w:gridSpan w:val="2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Várt társadalmi-gazdasági eredmény, hatás:</w:t>
            </w:r>
          </w:p>
          <w:p w:rsidR="00315841" w:rsidRDefault="007A23BB">
            <w:pPr>
              <w:spacing w:line="276" w:lineRule="auto"/>
              <w:jc w:val="both"/>
            </w:pPr>
            <w:r>
              <w:t>Terület és épületek állapota nem romlik, műemléki értékek megmaradnak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  <w:gridSpan w:val="2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Várt környezeti eredmény, hatás: </w:t>
            </w:r>
          </w:p>
          <w:p w:rsidR="00315841" w:rsidRDefault="007A23BB">
            <w:pPr>
              <w:spacing w:line="276" w:lineRule="auto"/>
            </w:pPr>
            <w:r>
              <w:t xml:space="preserve">Semleges. </w:t>
            </w:r>
          </w:p>
        </w:tc>
      </w:tr>
      <w:tr w:rsidR="00315841">
        <w:tc>
          <w:tcPr>
            <w:tcW w:w="9062" w:type="dxa"/>
            <w:gridSpan w:val="2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Tervezett költségek: </w:t>
            </w:r>
            <w:r>
              <w:t>mintegy 1160 M Ft  - 7 évre</w:t>
            </w:r>
          </w:p>
          <w:p w:rsidR="00315841" w:rsidRDefault="007A23BB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Potenciális források: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  <w:jc w:val="both"/>
            </w:pPr>
            <w:r>
              <w:rPr>
                <w:color w:val="000000"/>
              </w:rPr>
              <w:t>Városi költségvetés (köztük a B terület ingatlan értékesítési bevételei)</w:t>
            </w:r>
          </w:p>
          <w:p w:rsidR="00315841" w:rsidRDefault="007A23BB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  <w:jc w:val="both"/>
            </w:pPr>
            <w:r>
              <w:rPr>
                <w:color w:val="000000"/>
              </w:rPr>
              <w:t>Nemzeti költségvetés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  <w:gridSpan w:val="2"/>
          </w:tcPr>
          <w:p w:rsidR="00315841" w:rsidRDefault="007A23BB">
            <w:pPr>
              <w:spacing w:line="276" w:lineRule="auto"/>
            </w:pPr>
            <w:r>
              <w:rPr>
                <w:b/>
              </w:rPr>
              <w:t>Megvalósításért felelős szervezet:</w:t>
            </w:r>
            <w:r>
              <w:t xml:space="preserve"> Szombathely MJV Önkormányzata </w:t>
            </w:r>
          </w:p>
        </w:tc>
      </w:tr>
      <w:tr w:rsidR="00315841">
        <w:tc>
          <w:tcPr>
            <w:tcW w:w="9062" w:type="dxa"/>
            <w:gridSpan w:val="2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Bevonandó partnerek: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ontextualSpacing/>
            </w:pPr>
            <w:r>
              <w:rPr>
                <w:color w:val="000000"/>
              </w:rPr>
              <w:t>SZOVA Zrt.</w:t>
            </w:r>
          </w:p>
          <w:p w:rsidR="00315841" w:rsidRDefault="007A23BB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contextualSpacing/>
            </w:pPr>
            <w:r>
              <w:rPr>
                <w:color w:val="000000"/>
              </w:rPr>
              <w:t>Apáczai Alapítvány</w:t>
            </w:r>
          </w:p>
        </w:tc>
      </w:tr>
      <w:tr w:rsid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62" w:type="dxa"/>
            <w:gridSpan w:val="2"/>
          </w:tcPr>
          <w:p w:rsidR="00315841" w:rsidRDefault="007A23BB">
            <w:pPr>
              <w:spacing w:line="276" w:lineRule="auto"/>
              <w:rPr>
                <w:b/>
              </w:rPr>
            </w:pPr>
            <w:r>
              <w:rPr>
                <w:b/>
              </w:rPr>
              <w:t>Kockázatok:</w:t>
            </w:r>
          </w:p>
          <w:p w:rsidR="00315841" w:rsidRDefault="007A23BB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contextualSpacing/>
            </w:pPr>
            <w:r>
              <w:rPr>
                <w:color w:val="000000"/>
              </w:rPr>
              <w:t>Elmaradása vagy elhalasztása esetén az épületek éveken belül menthetetlenné válhatnak, a felújítás rendkívül megdrágulhat (pl. födémszerkezeti fémgerendák korróziója miatt)</w:t>
            </w:r>
          </w:p>
        </w:tc>
      </w:tr>
    </w:tbl>
    <w:p w:rsidR="00315841" w:rsidRDefault="007A23BB">
      <w:pPr>
        <w:pStyle w:val="Cmsor2"/>
        <w:spacing w:before="360" w:after="120"/>
        <w:rPr>
          <w:smallCaps w:val="0"/>
        </w:rPr>
      </w:pPr>
      <w:bookmarkStart w:id="24" w:name="_1ci93xb" w:colFirst="0" w:colLast="0"/>
      <w:bookmarkEnd w:id="24"/>
      <w:r>
        <w:t>4.5 Kommunikációs stratégia (horizontális akciók)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</w:rPr>
      </w:pPr>
      <w:r>
        <w:rPr>
          <w:color w:val="000000"/>
        </w:rPr>
        <w:t>A 8. fejezetben foglaltak szerint</w:t>
      </w:r>
    </w:p>
    <w:p w:rsidR="00315841" w:rsidRDefault="007A23BB">
      <w:r>
        <w:br w:type="page"/>
      </w:r>
    </w:p>
    <w:p w:rsidR="00315841" w:rsidRDefault="007A23BB">
      <w:pPr>
        <w:pStyle w:val="Cmsor2"/>
        <w:spacing w:before="360" w:after="240"/>
        <w:rPr>
          <w:smallCaps w:val="0"/>
        </w:rPr>
      </w:pPr>
      <w:bookmarkStart w:id="25" w:name="_3whwml4" w:colFirst="0" w:colLast="0"/>
      <w:bookmarkEnd w:id="25"/>
      <w:r>
        <w:t>Akciók ütemterve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Az akciók ütemterve az alábbi tényezők figyelembevételével készült:</w:t>
      </w:r>
    </w:p>
    <w:p w:rsidR="00315841" w:rsidRDefault="007A23BB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Alapos és részletes helyzetfelmérésre és tervezésre van szükség a karbantartás, újjáépítés, új közművek, lakó- és zöld övezetek kiépíté</w:t>
      </w:r>
      <w:r>
        <w:rPr>
          <w:color w:val="000000"/>
        </w:rPr>
        <w:t>se esetében</w:t>
      </w:r>
    </w:p>
    <w:p w:rsidR="00315841" w:rsidRDefault="007A23BB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A B területen megvalósított akciók által generált bevételeket közösségi célokra be kell fektetni az A és B területeken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Az ütemterv hét évet ölel át, a konkrét célkitűzések reálisan elérhetőek ezen az időkereten belül, az alábbiak szerint: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760720" cy="4323080"/>
            <wp:effectExtent l="0" t="0" r="0" b="0"/>
            <wp:docPr id="28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3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A HTCS a 2017. októberi találkozóján megtárgyalta a részletes akció-ütemtervet és számos módosítást javasolt. A fenti ábra ennek megfelelően módosításra került, míg az alábbi térképek az A és B területek tervezett fejlesztését mutatják be, az ütemtervvel ö</w:t>
      </w:r>
      <w:r>
        <w:rPr>
          <w:color w:val="000000"/>
        </w:rPr>
        <w:t>sszhangban:</w:t>
      </w:r>
    </w:p>
    <w:p w:rsidR="00315841" w:rsidRDefault="007A23BB">
      <w:r>
        <w:br w:type="page"/>
      </w:r>
    </w:p>
    <w:p w:rsidR="00315841" w:rsidRDefault="007A23BB">
      <w:pPr>
        <w:pStyle w:val="Cmsor3"/>
      </w:pPr>
      <w:r>
        <w:t>2020</w:t>
      </w:r>
    </w:p>
    <w:p w:rsidR="00315841" w:rsidRDefault="007A23BB">
      <w:pPr>
        <w:jc w:val="center"/>
      </w:pPr>
      <w:r>
        <w:rPr>
          <w:noProof/>
        </w:rPr>
        <w:drawing>
          <wp:inline distT="0" distB="0" distL="0" distR="0">
            <wp:extent cx="4951413" cy="3713559"/>
            <wp:effectExtent l="0" t="0" r="0" b="0"/>
            <wp:docPr id="6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1413" cy="37135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pPr>
        <w:pStyle w:val="Cmsor3"/>
      </w:pPr>
      <w:r>
        <w:t>2022</w:t>
      </w:r>
    </w:p>
    <w:p w:rsidR="00315841" w:rsidRDefault="007A23BB">
      <w:pPr>
        <w:jc w:val="center"/>
      </w:pPr>
      <w:r>
        <w:rPr>
          <w:noProof/>
        </w:rPr>
        <w:drawing>
          <wp:inline distT="0" distB="0" distL="0" distR="0">
            <wp:extent cx="4950000" cy="3712500"/>
            <wp:effectExtent l="0" t="0" r="0" b="0"/>
            <wp:docPr id="8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0000" cy="371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r>
        <w:br w:type="page"/>
      </w:r>
    </w:p>
    <w:p w:rsidR="00315841" w:rsidRDefault="007A23BB">
      <w:pPr>
        <w:pStyle w:val="Cmsor3"/>
      </w:pPr>
      <w:r>
        <w:t>2024</w:t>
      </w:r>
    </w:p>
    <w:p w:rsidR="00315841" w:rsidRDefault="007A23BB">
      <w:pPr>
        <w:jc w:val="center"/>
      </w:pPr>
      <w:r>
        <w:rPr>
          <w:noProof/>
        </w:rPr>
        <w:drawing>
          <wp:inline distT="0" distB="0" distL="0" distR="0">
            <wp:extent cx="4950000" cy="3715200"/>
            <wp:effectExtent l="0" t="0" r="0" b="0"/>
            <wp:docPr id="9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0000" cy="371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5841" w:rsidRDefault="007A23BB">
      <w:r>
        <w:br w:type="page"/>
      </w:r>
    </w:p>
    <w:p w:rsidR="00315841" w:rsidRDefault="007A23BB">
      <w:pPr>
        <w:pStyle w:val="Cmsor1"/>
      </w:pPr>
      <w:bookmarkStart w:id="26" w:name="_2bn6wsx" w:colFirst="0" w:colLast="0"/>
      <w:bookmarkEnd w:id="26"/>
      <w:r>
        <w:t>5. Fejezet / Pénzügyi források</w:t>
      </w:r>
    </w:p>
    <w:p w:rsidR="00315841" w:rsidRDefault="007A23BB">
      <w:pPr>
        <w:pStyle w:val="Cmsor2"/>
        <w:spacing w:before="120" w:after="120"/>
      </w:pPr>
      <w:bookmarkStart w:id="27" w:name="_qsh70q" w:colFirst="0" w:colLast="0"/>
      <w:bookmarkEnd w:id="27"/>
      <w:r>
        <w:t xml:space="preserve">5.1 Európai Uniós pénzügyi források </w:t>
      </w:r>
    </w:p>
    <w:p w:rsidR="00315841" w:rsidRDefault="007A23BB">
      <w:pPr>
        <w:pStyle w:val="Cmsor3"/>
      </w:pPr>
      <w:r>
        <w:t>ERFA/ESZA operatív programok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120" w:after="0"/>
        <w:jc w:val="both"/>
        <w:rPr>
          <w:color w:val="000000"/>
        </w:rPr>
      </w:pPr>
      <w:r>
        <w:rPr>
          <w:color w:val="000000"/>
        </w:rPr>
        <w:t>A jelenlegi, 2014-2020-as programozási időszakban a városnak több, az uniós, ill. hazai költségvetésből származó forrás áll a rendelkezésére.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120" w:after="0"/>
        <w:jc w:val="both"/>
        <w:rPr>
          <w:color w:val="000000"/>
        </w:rPr>
      </w:pPr>
      <w:r>
        <w:rPr>
          <w:color w:val="000000"/>
        </w:rPr>
        <w:t>A következő operatív programok alkalmasak lehetnek a tervezett akciók társfinanszírozására:</w:t>
      </w:r>
    </w:p>
    <w:p w:rsidR="00315841" w:rsidRDefault="007A23BB">
      <w:pPr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Terület- és a települé</w:t>
      </w:r>
      <w:r>
        <w:rPr>
          <w:color w:val="000000"/>
        </w:rPr>
        <w:t>sfejlesztés (TOP): A TOP támogatási rendszere integrált stratégiák és/vagy akciótervek kialakítását követeli meg, amelyek a támogatásra javasolt városmegújítási projekteket támasztják alá. A TOP 7. prioritási tengelye keretében CLLD-típusú közösségi szintű</w:t>
      </w:r>
      <w:r>
        <w:rPr>
          <w:color w:val="000000"/>
        </w:rPr>
        <w:t xml:space="preserve"> (a helyi közösségi, civil és magán szereplők által kidolgozott és megvalósítandó) fejlesztési stratégiák finanszírozása érhető el, míg a P6 prioritási tengely integrált, több alapból finanszírozott projektcsomagok megvalósítását támogatja a megyei jogú vá</w:t>
      </w:r>
      <w:r>
        <w:rPr>
          <w:color w:val="000000"/>
        </w:rPr>
        <w:t>rosokban.</w:t>
      </w:r>
    </w:p>
    <w:p w:rsidR="00315841" w:rsidRDefault="007A23BB">
      <w:pPr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 xml:space="preserve">Gazdaságfejlesztés és innovációs fejlesztés (GINOP), </w:t>
      </w:r>
    </w:p>
    <w:p w:rsidR="00315841" w:rsidRDefault="007A23BB">
      <w:pPr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 xml:space="preserve">Környezeti és Energiahatékonysági fejlesztés (KEHOP) </w:t>
      </w:r>
    </w:p>
    <w:p w:rsidR="00315841" w:rsidRDefault="007A23BB">
      <w:pPr>
        <w:pStyle w:val="Cmsor3"/>
      </w:pPr>
      <w:r>
        <w:t>INTERREG (</w:t>
      </w:r>
      <w:r>
        <w:t>Európai területi együttműködés</w:t>
      </w:r>
      <w:r>
        <w:t>) programok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120" w:after="0"/>
        <w:jc w:val="both"/>
        <w:rPr>
          <w:color w:val="000000"/>
        </w:rPr>
      </w:pPr>
      <w:r>
        <w:rPr>
          <w:color w:val="000000"/>
        </w:rPr>
        <w:t>Szombathely az osztrák határ mellett helyezkedik el, így az Interreg programok pénzügy</w:t>
      </w:r>
      <w:r>
        <w:rPr>
          <w:color w:val="000000"/>
        </w:rPr>
        <w:t>i keretei is potenciális finanszírozási forrásoknak számítanak. A programok egyik prioritása éppen a közös kulturális örökség megőrzése és tőkésítése, és a helyi szereplők jelentős tapasztalattal rendelkeznek a területi együttműködések tervezése és megvaló</w:t>
      </w:r>
      <w:r>
        <w:rPr>
          <w:color w:val="000000"/>
        </w:rPr>
        <w:t>sítása terén. A Szombathelyről érkező potenciális projektpartnerek összesen öt Interreg programban jogosultak támogatásra:</w:t>
      </w:r>
    </w:p>
    <w:p w:rsidR="00315841" w:rsidRDefault="007A23BB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Ausztria-Magyarország</w:t>
      </w:r>
    </w:p>
    <w:p w:rsidR="00315841" w:rsidRDefault="007A23BB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Szlovénia- Magyarország</w:t>
      </w:r>
    </w:p>
    <w:p w:rsidR="00315841" w:rsidRDefault="007A23BB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Interreg Central Europe</w:t>
      </w:r>
    </w:p>
    <w:p w:rsidR="00315841" w:rsidRDefault="007A23BB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Interreg Danube</w:t>
      </w:r>
    </w:p>
    <w:p w:rsidR="00315841" w:rsidRDefault="007A23BB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Interreg Europe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Meg kell jegyezni továbbá, hogy az Interreg programokban a beruházások többnyire kisléptékű pilot tevékenységekre korlátozódnak.</w:t>
      </w:r>
    </w:p>
    <w:p w:rsidR="00315841" w:rsidRDefault="007A23BB">
      <w:pPr>
        <w:pStyle w:val="Cmsor3"/>
      </w:pPr>
      <w:r>
        <w:t>URBACT – Városi Innovatív Akciók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120" w:after="120"/>
        <w:jc w:val="both"/>
        <w:rPr>
          <w:color w:val="000000"/>
        </w:rPr>
      </w:pPr>
      <w:r>
        <w:rPr>
          <w:color w:val="000000"/>
        </w:rPr>
        <w:t>Az URBACT program városok megvalósítási hálózatainak nyújt támogatást integrált városi stratég</w:t>
      </w:r>
      <w:r>
        <w:rPr>
          <w:color w:val="000000"/>
        </w:rPr>
        <w:t>iáik és akcióterveik végrehajtásához. Az integrált akcióterv megvalósításához, és a MAPS-együttműködés fenntartásához és fejlesztéséhez tud támogatást nyújtani az URBACT.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A Városi Innovatív Akciók (Urban Innovative Actions - UIA) európai uniós kezdeményezé</w:t>
      </w:r>
      <w:r>
        <w:rPr>
          <w:color w:val="000000"/>
        </w:rPr>
        <w:t>s, amely városi térségek számára nyújt forrásokat olyan új - korábban még ki nem próbált - megoldások alkalmazásához, amelyek városi kihívásokra adnak választ. Az UIA legfeljebb 80%-os támogatási intenzitással, és 5 millió eurós ERFA támogatással végez tár</w:t>
      </w:r>
      <w:r>
        <w:rPr>
          <w:color w:val="000000"/>
        </w:rPr>
        <w:t>sfinanszírozást innovatív projektek megvalósítása érdekében. További fejlesztéseket követően az IAT egyes részeit - az UIA specifikus témáihoz (pl. a klímaváltozáshoz való alkalmazkodás vagy lakhatás) kapcsolódóan - innovatív akciókká lehet alakítani.</w:t>
      </w:r>
    </w:p>
    <w:p w:rsidR="00315841" w:rsidRDefault="007A23BB">
      <w:pPr>
        <w:pStyle w:val="Cmsor3"/>
      </w:pPr>
      <w:r>
        <w:t>Felt</w:t>
      </w:r>
      <w:r>
        <w:t>öltődő alapok</w:t>
      </w:r>
    </w:p>
    <w:p w:rsidR="00315841" w:rsidRDefault="007A23BB">
      <w:pPr>
        <w:jc w:val="both"/>
      </w:pPr>
      <w:r>
        <w:t xml:space="preserve">A JESSICA (Joint European Support for Sustainable Investment in City Areas - Fenntartható városfejlesztési beruházásokat támogató közös európai kezdeményezés) az Európai Bizottság által az Európai Beruházási Bankkal (EBB) és az Európa Tanács </w:t>
      </w:r>
      <w:r>
        <w:t>Fejlesztési Bankjával (CEB) közösen létrehozott kezdeményezés. A városok fenntartható fejlesztését és rehabilitációját támogatja pénzügyi tervezési mechanizmusokon keresztül a következő területeken: városi infrastruktúra (beleértve a közlekedést, víz- és s</w:t>
      </w:r>
      <w:r>
        <w:t>zennyvízhálózatot és energiaellátást), örökség és kultúra, barnamezős területek megújítása (beleértve a lőszer- és szennyeződésmentesítést), kereskedelmi irodahelyek kialakítása KKV-k, az IT és/vagy a K&amp;F szektor számára, egyetemi épületek és energiahatéko</w:t>
      </w:r>
      <w:r>
        <w:t>nysági fejlesztések. A 2014-20-as időszakban Magyarország eddig még nem hozott létre városrehabilitációs célú pénzügyi támogatási rendszert, a pénzügyi eszközök elsősorban KKV-k támogatására szolgálnak. Másrészről a JESSICA-típusú támogatás jelentős mérték</w:t>
      </w:r>
      <w:r>
        <w:t>ben hozzá tudna járulni az IAT céljainak megvalósításához.</w:t>
      </w:r>
    </w:p>
    <w:p w:rsidR="00315841" w:rsidRDefault="007A23BB">
      <w:pPr>
        <w:jc w:val="both"/>
      </w:pPr>
      <w:r>
        <w:t>Az IAT várhatóan szilárd alapot fog nyújtani a jövőben a fenti támogatási rendszerek keretében benyújtandó pályázati kérelmekhez.</w:t>
      </w:r>
    </w:p>
    <w:p w:rsidR="00315841" w:rsidRDefault="007A23BB">
      <w:pPr>
        <w:pStyle w:val="Cmsor2"/>
        <w:spacing w:before="360"/>
      </w:pPr>
      <w:bookmarkStart w:id="28" w:name="_3as4poj" w:colFirst="0" w:colLast="0"/>
      <w:bookmarkEnd w:id="28"/>
      <w:r>
        <w:t xml:space="preserve">5.2 Állami források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A központi költségvetés a Modern Városok Programon keresztül finanszíroz városrehabilitációs és örökségmegőrzési akciókat.</w:t>
      </w:r>
    </w:p>
    <w:p w:rsidR="00315841" w:rsidRDefault="007A23BB">
      <w:pPr>
        <w:pStyle w:val="Cmsor2"/>
        <w:spacing w:before="360"/>
      </w:pPr>
      <w:bookmarkStart w:id="29" w:name="_1pxezwc" w:colFirst="0" w:colLast="0"/>
      <w:bookmarkEnd w:id="29"/>
      <w:r>
        <w:t>5.3 Helyi források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Az IAT alapvető és helyi finanszírozási forrása a B terület ingatlaneladásából származó bevételek lesznek, amely a</w:t>
      </w:r>
      <w:r>
        <w:rPr>
          <w:color w:val="000000"/>
        </w:rPr>
        <w:t xml:space="preserve"> fenti térkép szerint kb. 8,7 hektár alapterületű, a részletes tervektől függően. A jelenlegi ingatlanárak szerint 1 négyzetméter föld ára minimálisan kb. bruttó 19 000 Ft-ra (megközelítőleg 65 euróra) becsülhető.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A felújítási költségeket csak megközelítől</w:t>
      </w:r>
      <w:r>
        <w:rPr>
          <w:color w:val="000000"/>
        </w:rPr>
        <w:t>eg lehet számítani, mivel jelenleg nincs részletes és naprakész állapotfelmérés az épületekről. 14 000 négyzetméter alapterületű épületet kell felújítani; a tartószerkezetek felújításának - jelenlegi árakon számítva - 300 000 Ft/m</w:t>
      </w:r>
      <w:r>
        <w:rPr>
          <w:color w:val="000000"/>
          <w:vertAlign w:val="superscript"/>
        </w:rPr>
        <w:t>2</w:t>
      </w:r>
      <w:r>
        <w:rPr>
          <w:color w:val="000000"/>
        </w:rPr>
        <w:t xml:space="preserve"> (1000 euró) az ára, a be</w:t>
      </w:r>
      <w:r>
        <w:rPr>
          <w:color w:val="000000"/>
        </w:rPr>
        <w:t>lső burkolatoké - funkciótól függően - 30-50 000 Ft/m</w:t>
      </w:r>
      <w:r>
        <w:rPr>
          <w:color w:val="000000"/>
          <w:vertAlign w:val="superscript"/>
        </w:rPr>
        <w:t>2</w:t>
      </w:r>
      <w:r>
        <w:rPr>
          <w:color w:val="000000"/>
        </w:rPr>
        <w:t xml:space="preserve"> (100-170 euró).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color w:val="000000"/>
        </w:rPr>
      </w:pPr>
      <w:r>
        <w:rPr>
          <w:color w:val="000000"/>
        </w:rPr>
        <w:t>Az örökségi épületekben helyiségeket bérlő magán- és a civil szervezeteknek fel kellene ajánlani a belső burkolatokba való befektetés lehetőségét, amely részben vagy egészben - egy biz</w:t>
      </w:r>
      <w:r>
        <w:rPr>
          <w:color w:val="000000"/>
        </w:rPr>
        <w:t>onyos időtartamra nézve - kiválthatná számukra a bérleti díj fizetését.</w:t>
      </w:r>
    </w:p>
    <w:tbl>
      <w:tblPr>
        <w:tblStyle w:val="afd"/>
        <w:tblW w:w="9208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A0" w:firstRow="1" w:lastRow="0" w:firstColumn="1" w:lastColumn="0" w:noHBand="0" w:noVBand="1"/>
      </w:tblPr>
      <w:tblGrid>
        <w:gridCol w:w="1503"/>
        <w:gridCol w:w="964"/>
        <w:gridCol w:w="963"/>
        <w:gridCol w:w="963"/>
        <w:gridCol w:w="963"/>
        <w:gridCol w:w="963"/>
        <w:gridCol w:w="963"/>
        <w:gridCol w:w="963"/>
        <w:gridCol w:w="963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  <w:shd w:val="clear" w:color="auto" w:fill="A5C249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Becsült bevételek és költségek</w:t>
            </w:r>
          </w:p>
        </w:tc>
        <w:tc>
          <w:tcPr>
            <w:tcW w:w="964" w:type="dxa"/>
            <w:shd w:val="clear" w:color="auto" w:fill="A5C249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2018</w:t>
            </w:r>
          </w:p>
        </w:tc>
        <w:tc>
          <w:tcPr>
            <w:tcW w:w="963" w:type="dxa"/>
            <w:shd w:val="clear" w:color="auto" w:fill="A5C249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2019</w:t>
            </w:r>
          </w:p>
        </w:tc>
        <w:tc>
          <w:tcPr>
            <w:tcW w:w="963" w:type="dxa"/>
            <w:shd w:val="clear" w:color="auto" w:fill="A5C249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2020</w:t>
            </w:r>
          </w:p>
        </w:tc>
        <w:tc>
          <w:tcPr>
            <w:tcW w:w="963" w:type="dxa"/>
            <w:shd w:val="clear" w:color="auto" w:fill="A5C249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2021</w:t>
            </w:r>
          </w:p>
        </w:tc>
        <w:tc>
          <w:tcPr>
            <w:tcW w:w="963" w:type="dxa"/>
            <w:shd w:val="clear" w:color="auto" w:fill="A5C249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2022</w:t>
            </w:r>
          </w:p>
        </w:tc>
        <w:tc>
          <w:tcPr>
            <w:tcW w:w="963" w:type="dxa"/>
            <w:shd w:val="clear" w:color="auto" w:fill="A5C249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2023</w:t>
            </w:r>
          </w:p>
        </w:tc>
        <w:tc>
          <w:tcPr>
            <w:tcW w:w="963" w:type="dxa"/>
            <w:shd w:val="clear" w:color="auto" w:fill="A5C249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2024</w:t>
            </w:r>
          </w:p>
        </w:tc>
        <w:tc>
          <w:tcPr>
            <w:tcW w:w="963" w:type="dxa"/>
            <w:shd w:val="clear" w:color="auto" w:fill="A5C249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b w:val="0"/>
                <w:color w:val="000000"/>
              </w:rPr>
              <w:t>ÖSSZESEN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 xml:space="preserve">Bevételek – 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ingatlan-eladás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(8.7 hektár)</w:t>
            </w:r>
          </w:p>
        </w:tc>
        <w:tc>
          <w:tcPr>
            <w:tcW w:w="964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300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450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550</w:t>
            </w:r>
          </w:p>
        </w:tc>
        <w:tc>
          <w:tcPr>
            <w:tcW w:w="963" w:type="dxa"/>
            <w:vAlign w:val="center"/>
          </w:tcPr>
          <w:p w:rsidR="00315841" w:rsidRDefault="00315841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shd w:val="clear" w:color="auto" w:fill="C9DA91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1,300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 xml:space="preserve">Bevételek – 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bérleti díjak</w:t>
            </w:r>
          </w:p>
        </w:tc>
        <w:tc>
          <w:tcPr>
            <w:tcW w:w="964" w:type="dxa"/>
            <w:vAlign w:val="center"/>
          </w:tcPr>
          <w:p w:rsidR="00315841" w:rsidRDefault="00315841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50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50</w:t>
            </w:r>
          </w:p>
        </w:tc>
        <w:tc>
          <w:tcPr>
            <w:tcW w:w="963" w:type="dxa"/>
            <w:shd w:val="clear" w:color="auto" w:fill="C9DA91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Részletes tervek</w:t>
            </w:r>
          </w:p>
        </w:tc>
        <w:tc>
          <w:tcPr>
            <w:tcW w:w="96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-40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-30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-20</w:t>
            </w:r>
          </w:p>
        </w:tc>
        <w:tc>
          <w:tcPr>
            <w:tcW w:w="963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shd w:val="clear" w:color="auto" w:fill="C9DA91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-90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Közüzemi szolgáltatások, úthálózat</w:t>
            </w:r>
          </w:p>
        </w:tc>
        <w:tc>
          <w:tcPr>
            <w:tcW w:w="964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-800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-800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-656</w:t>
            </w:r>
          </w:p>
        </w:tc>
        <w:tc>
          <w:tcPr>
            <w:tcW w:w="963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shd w:val="clear" w:color="auto" w:fill="C9DA91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-2,256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Az A terület felújítása – főbb szerkezetek</w:t>
            </w:r>
          </w:p>
        </w:tc>
        <w:tc>
          <w:tcPr>
            <w:tcW w:w="964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-400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-800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-1,900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-1,800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-100</w:t>
            </w:r>
          </w:p>
        </w:tc>
        <w:tc>
          <w:tcPr>
            <w:tcW w:w="963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shd w:val="clear" w:color="auto" w:fill="C9DA91"/>
            <w:vAlign w:val="center"/>
          </w:tcPr>
          <w:p w:rsidR="00315841" w:rsidRDefault="007A23BB">
            <w:pP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-5,000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Kertészeti feladatok, szabadtéri létesítmények</w:t>
            </w:r>
          </w:p>
        </w:tc>
        <w:tc>
          <w:tcPr>
            <w:tcW w:w="964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-60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-60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-60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-70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-20</w:t>
            </w:r>
          </w:p>
        </w:tc>
        <w:tc>
          <w:tcPr>
            <w:tcW w:w="963" w:type="dxa"/>
            <w:shd w:val="clear" w:color="auto" w:fill="C9DA91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-270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Karbantartás</w:t>
            </w:r>
          </w:p>
        </w:tc>
        <w:tc>
          <w:tcPr>
            <w:tcW w:w="964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-800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-100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-100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-40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-40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-40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-40</w:t>
            </w:r>
          </w:p>
        </w:tc>
        <w:tc>
          <w:tcPr>
            <w:tcW w:w="963" w:type="dxa"/>
            <w:shd w:val="clear" w:color="auto" w:fill="C9DA91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-1,160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Közösségi akciókra és kulturális rendezvényekre való évenkénti felhívás</w:t>
            </w:r>
          </w:p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</w:p>
        </w:tc>
        <w:tc>
          <w:tcPr>
            <w:tcW w:w="964" w:type="dxa"/>
            <w:vAlign w:val="center"/>
          </w:tcPr>
          <w:p w:rsidR="00315841" w:rsidRDefault="003158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-30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-30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-30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-30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-30</w:t>
            </w:r>
          </w:p>
        </w:tc>
        <w:tc>
          <w:tcPr>
            <w:tcW w:w="963" w:type="dxa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-30</w:t>
            </w:r>
          </w:p>
        </w:tc>
        <w:tc>
          <w:tcPr>
            <w:tcW w:w="963" w:type="dxa"/>
            <w:shd w:val="clear" w:color="auto" w:fill="C9DA91"/>
            <w:vAlign w:val="center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-180</w:t>
            </w:r>
          </w:p>
        </w:tc>
      </w:tr>
      <w:tr w:rsidR="00315841" w:rsidTr="00315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  <w:shd w:val="clear" w:color="auto" w:fill="C9DA91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color w:val="000000"/>
              </w:rPr>
            </w:pPr>
            <w:r>
              <w:rPr>
                <w:b w:val="0"/>
                <w:color w:val="000000"/>
              </w:rPr>
              <w:t>ÖSSZESEN</w:t>
            </w:r>
          </w:p>
        </w:tc>
        <w:tc>
          <w:tcPr>
            <w:tcW w:w="964" w:type="dxa"/>
            <w:shd w:val="clear" w:color="auto" w:fill="C9DA91"/>
            <w:vAlign w:val="bottom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-540</w:t>
            </w:r>
          </w:p>
        </w:tc>
        <w:tc>
          <w:tcPr>
            <w:tcW w:w="963" w:type="dxa"/>
            <w:shd w:val="clear" w:color="auto" w:fill="C9DA91"/>
            <w:vAlign w:val="bottom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-910</w:t>
            </w:r>
          </w:p>
        </w:tc>
        <w:tc>
          <w:tcPr>
            <w:tcW w:w="963" w:type="dxa"/>
            <w:shd w:val="clear" w:color="auto" w:fill="C9DA91"/>
            <w:vAlign w:val="bottom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-1,260</w:t>
            </w:r>
          </w:p>
        </w:tc>
        <w:tc>
          <w:tcPr>
            <w:tcW w:w="963" w:type="dxa"/>
            <w:shd w:val="clear" w:color="auto" w:fill="C9DA91"/>
            <w:vAlign w:val="bottom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-2,686</w:t>
            </w:r>
          </w:p>
        </w:tc>
        <w:tc>
          <w:tcPr>
            <w:tcW w:w="963" w:type="dxa"/>
            <w:shd w:val="clear" w:color="auto" w:fill="C9DA91"/>
            <w:vAlign w:val="bottom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-1,930</w:t>
            </w:r>
          </w:p>
        </w:tc>
        <w:tc>
          <w:tcPr>
            <w:tcW w:w="963" w:type="dxa"/>
            <w:shd w:val="clear" w:color="auto" w:fill="C9DA91"/>
            <w:vAlign w:val="bottom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-190</w:t>
            </w:r>
          </w:p>
        </w:tc>
        <w:tc>
          <w:tcPr>
            <w:tcW w:w="963" w:type="dxa"/>
            <w:shd w:val="clear" w:color="auto" w:fill="C9DA91"/>
            <w:vAlign w:val="bottom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-40</w:t>
            </w:r>
          </w:p>
        </w:tc>
        <w:tc>
          <w:tcPr>
            <w:tcW w:w="963" w:type="dxa"/>
            <w:shd w:val="clear" w:color="auto" w:fill="C9DA91"/>
            <w:vAlign w:val="bottom"/>
          </w:tcPr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-7,556</w:t>
            </w:r>
          </w:p>
        </w:tc>
      </w:tr>
    </w:tbl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</w:rPr>
      </w:pPr>
      <w:r>
        <w:rPr>
          <w:i/>
          <w:color w:val="000000"/>
        </w:rPr>
        <w:t xml:space="preserve">millió Ft-ban </w:t>
      </w:r>
    </w:p>
    <w:p w:rsidR="00315841" w:rsidRDefault="007A23BB">
      <w:pPr>
        <w:pStyle w:val="Cmsor2"/>
        <w:spacing w:before="360" w:after="240"/>
      </w:pPr>
      <w:bookmarkStart w:id="30" w:name="_49x2ik5" w:colFirst="0" w:colLast="0"/>
      <w:bookmarkEnd w:id="30"/>
      <w:r>
        <w:t>5.4 Gazdasági támogatás az akciók számára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Adózási ösztönzők: a társasági adót fizető magyarországi vállalkozások támogatást nyújthatnak valamely látvány-csapatsportban (labdarúgás, kézilabda, kosárlabda, vízilabda, jégkorong és röplabda) érdekelt sportszer</w:t>
      </w:r>
      <w:r>
        <w:rPr>
          <w:color w:val="000000"/>
        </w:rPr>
        <w:t>vezetnek, vagy filmalkotásnak, előadó-művészeti szervezetnek, és ezáltal adókedvezményre jogosultak. Az adófizetők vagy közvetlenül a támogatni kívánt szervezetnek juttathatják a támogatásukat, vagy az adóbevallásukban adólevonást hajthatnak végre és adójó</w:t>
      </w:r>
      <w:r>
        <w:rPr>
          <w:color w:val="000000"/>
        </w:rPr>
        <w:t xml:space="preserve">váírásban részesülnek. A támogatási összeg a tárgyévre jutó adó </w:t>
      </w:r>
      <w:r>
        <w:rPr>
          <w:smallCaps/>
          <w:color w:val="000000"/>
        </w:rPr>
        <w:t>80</w:t>
      </w:r>
      <w:r>
        <w:rPr>
          <w:color w:val="000000"/>
        </w:rPr>
        <w:t>%-ban van maximalizálva, így ezzel az eszközzel jelentős forrásokat lehet mozgósítani szabadtéri sportlétesítmények kialakítására és működtetésére.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Továbbá, ha egy magyarországi cég úgy dönt</w:t>
      </w:r>
      <w:r>
        <w:rPr>
          <w:color w:val="000000"/>
        </w:rPr>
        <w:t>, hogy alkalmazottai számára munkásszállást épít, ennek a költségei csökkentik a társasági adóalapot.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A városi önkormányzat - az HTCS támogatásával - tárgyalásokat folytathat jelentős helyi munkaadókkal arról, hogy fektessenek be lakó- és sportlétesítménye</w:t>
      </w:r>
      <w:r>
        <w:rPr>
          <w:color w:val="000000"/>
        </w:rPr>
        <w:t>kbe, a fenti adókedvezmények mentén.</w:t>
      </w:r>
      <w:r>
        <w:br w:type="page"/>
      </w:r>
    </w:p>
    <w:p w:rsidR="00315841" w:rsidRDefault="007A23BB">
      <w:pPr>
        <w:pStyle w:val="Cmsor1"/>
      </w:pPr>
      <w:bookmarkStart w:id="31" w:name="_2p2csry" w:colFirst="0" w:colLast="0"/>
      <w:bookmarkEnd w:id="31"/>
      <w:r>
        <w:t>6. Fejezet / Megvalósítás, szervezeti keretek, irányítás</w:t>
      </w:r>
    </w:p>
    <w:p w:rsidR="00315841" w:rsidRDefault="007A23BB">
      <w:pPr>
        <w:pStyle w:val="Cmsor2"/>
      </w:pPr>
      <w:bookmarkStart w:id="32" w:name="_147n2zr" w:colFirst="0" w:colLast="0"/>
      <w:bookmarkEnd w:id="32"/>
      <w:r>
        <w:t>6.1 A kulcsszereplők, és az akciókban betöltött szerepük</w:t>
      </w:r>
    </w:p>
    <w:p w:rsidR="00315841" w:rsidRDefault="007A23BB">
      <w:pPr>
        <w:jc w:val="both"/>
      </w:pPr>
      <w:r>
        <w:t>Szombathely város önkormányzata - tulajdonosként és felelős helyi önkormányzatként – az IAT és az akciók többségének kulcsszereplőjeként került azonosításra. Az önkormányzat a terület megújításának fő kezdeményezője és a felhatalmazással bíró, felelős inté</w:t>
      </w:r>
      <w:r>
        <w:t xml:space="preserve">zménye. Az önkormányzat megteszi a tervezéshez szükséges előkészületeket, új funkciókat fog megvalósítani és működtetni – vagy saját jogon vagy a </w:t>
      </w:r>
      <w:r>
        <w:t xml:space="preserve">közösségi, civil és magán szereplőkkel megkötött </w:t>
      </w:r>
      <w:r>
        <w:t>együttműködési megállapodások vagy szerződések útján.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Az IAT megvalósításának koordinálását és felügyeletét a tulajdonos nevében egy belső munkacsoport fogja végezni, amelynek munkájában a helyi Polgármesteri Hivatal, a városgazdálkodási vállalat és más érintett városi intézmények vesznek részt (belső HTCS).</w:t>
      </w:r>
    </w:p>
    <w:p w:rsidR="00315841" w:rsidRDefault="007A23BB">
      <w:pPr>
        <w:pStyle w:val="Cmsor2"/>
        <w:spacing w:before="360" w:after="240"/>
      </w:pPr>
      <w:bookmarkStart w:id="33" w:name="_3o7alnk" w:colFirst="0" w:colLast="0"/>
      <w:bookmarkEnd w:id="33"/>
      <w:r>
        <w:t>6.2 A Huszárlaktanya-projekt és a tervezett akciók irányítási Keretei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120" w:after="120"/>
        <w:jc w:val="both"/>
        <w:rPr>
          <w:color w:val="000000"/>
        </w:rPr>
      </w:pPr>
      <w:r>
        <w:rPr>
          <w:color w:val="000000"/>
        </w:rPr>
        <w:t>Az új funkciókat nem tudja egyetlen szervezet vagy egy szűk csoport megvalósítani. Az érintettek és résztvevők között együttműködésre van szükség annak érdekében, hogy a beazonosított ak</w:t>
      </w:r>
      <w:r>
        <w:rPr>
          <w:color w:val="000000"/>
        </w:rPr>
        <w:t>ciók teljes mértékben végrehajthatók és megvalósíthatók legyenek. Az irányítás terén alapvető kihívást jelent a helyi lakosok figyelmének felhívása és a bevonásuk az IAT megvalósítási folyamatába. Az önkormányzat a HTCS-ben képviselt – a 3. fejezetben bemu</w:t>
      </w:r>
      <w:r>
        <w:rPr>
          <w:color w:val="000000"/>
        </w:rPr>
        <w:t>tatott - érintettekkel és résztvevőkkel együtt olyan irányítási modellt kíván működtetni, amely képes biztosítani a szélesebb közönség bevonását az akciók tervezéséhez és működtetéséhez, valamint képes növelni a köz érdeklődését a terület megújítása iránt.</w:t>
      </w:r>
      <w:r>
        <w:rPr>
          <w:color w:val="000000"/>
        </w:rPr>
        <w:t xml:space="preserve"> A modell működését az alábbi ábra mutatja be: </w:t>
      </w:r>
    </w:p>
    <w:p w:rsidR="00315841" w:rsidRDefault="00315841">
      <w:pPr>
        <w:pBdr>
          <w:top w:val="nil"/>
          <w:left w:val="nil"/>
          <w:bottom w:val="nil"/>
          <w:right w:val="nil"/>
          <w:between w:val="nil"/>
        </w:pBdr>
        <w:spacing w:before="120" w:after="120"/>
        <w:jc w:val="both"/>
        <w:rPr>
          <w:color w:val="000000"/>
        </w:rPr>
      </w:pP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120" w:after="120"/>
        <w:jc w:val="both"/>
        <w:rPr>
          <w:color w:val="000000"/>
        </w:rPr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5757705" cy="3797935"/>
                <wp:effectExtent l="0" t="0" r="0" b="0"/>
                <wp:docPr id="2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7705" cy="3797935"/>
                          <a:chOff x="0" y="-62538"/>
                          <a:chExt cx="5757700" cy="3860463"/>
                        </a:xfrm>
                      </wpg:grpSpPr>
                      <wpg:grpSp>
                        <wpg:cNvPr id="29" name="Csoportba foglalás 29"/>
                        <wpg:cNvGrpSpPr/>
                        <wpg:grpSpPr>
                          <a:xfrm>
                            <a:off x="0" y="-62538"/>
                            <a:ext cx="5757700" cy="3860463"/>
                            <a:chOff x="0" y="-62538"/>
                            <a:chExt cx="5757700" cy="3860463"/>
                          </a:xfrm>
                        </wpg:grpSpPr>
                        <wps:wsp>
                          <wps:cNvPr id="30" name="Téglalap 30"/>
                          <wps:cNvSpPr/>
                          <wps:spPr>
                            <a:xfrm>
                              <a:off x="0" y="0"/>
                              <a:ext cx="5757700" cy="37979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31" name="Ellipszis 31"/>
                          <wps:cNvSpPr/>
                          <wps:spPr>
                            <a:xfrm>
                              <a:off x="1543462" y="515307"/>
                              <a:ext cx="2535649" cy="2620588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79B166"/>
                                </a:gs>
                                <a:gs pos="100000">
                                  <a:srgbClr val="4D7F3A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32" name="Szövegdoboz 32"/>
                          <wps:cNvSpPr txBox="1"/>
                          <wps:spPr>
                            <a:xfrm>
                              <a:off x="1914799" y="899083"/>
                              <a:ext cx="1792975" cy="18530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5841" w:rsidRDefault="007A23BB">
                                <w:pPr>
                                  <w:spacing w:before="0" w:after="0" w:line="215" w:lineRule="auto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40"/>
                                  </w:rPr>
                                  <w:t>Irányítás</w:t>
                                </w:r>
                              </w:p>
                              <w:p w:rsidR="00315841" w:rsidRDefault="007A23BB">
                                <w:pPr>
                                  <w:spacing w:before="140" w:after="0" w:line="215" w:lineRule="auto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8"/>
                                  </w:rPr>
                                  <w:t>Belső csoport</w:t>
                                </w:r>
                              </w:p>
                            </w:txbxContent>
                          </wps:txbx>
                          <wps:bodyPr spcFirstLastPara="1" wrap="square" lIns="76200" tIns="76200" rIns="76200" bIns="76200" anchor="ctr" anchorCtr="0"/>
                        </wps:wsp>
                        <wps:wsp>
                          <wps:cNvPr id="33" name="Ellipszis 33"/>
                          <wps:cNvSpPr/>
                          <wps:spPr>
                            <a:xfrm>
                              <a:off x="2184842" y="2770396"/>
                              <a:ext cx="171304" cy="171286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6FA85D"/>
                                </a:gs>
                                <a:gs pos="100000">
                                  <a:srgbClr val="477538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34" name="Ellipszis 34"/>
                          <wps:cNvSpPr/>
                          <wps:spPr>
                            <a:xfrm>
                              <a:off x="3793273" y="1665576"/>
                              <a:ext cx="171304" cy="171286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79B16A"/>
                                </a:gs>
                                <a:gs pos="100000">
                                  <a:srgbClr val="4C803C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35" name="Ellipszis 35"/>
                          <wps:cNvSpPr/>
                          <wps:spPr>
                            <a:xfrm>
                              <a:off x="2974673" y="2952696"/>
                              <a:ext cx="236251" cy="236611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84BD74"/>
                                </a:gs>
                                <a:gs pos="100000">
                                  <a:srgbClr val="538B42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36" name="Ellipszis 36"/>
                          <wps:cNvSpPr/>
                          <wps:spPr>
                            <a:xfrm>
                              <a:off x="2232790" y="1041955"/>
                              <a:ext cx="171304" cy="171286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91C383"/>
                                </a:gs>
                                <a:gs pos="100000">
                                  <a:srgbClr val="5B934B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37" name="Ellipszis 37"/>
                          <wps:cNvSpPr/>
                          <wps:spPr>
                            <a:xfrm>
                              <a:off x="1693596" y="2022202"/>
                              <a:ext cx="171304" cy="171286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9ECC91"/>
                                </a:gs>
                                <a:gs pos="100000">
                                  <a:srgbClr val="619F4F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38" name="Ellipszis 38"/>
                          <wps:cNvSpPr/>
                          <wps:spPr>
                            <a:xfrm>
                              <a:off x="457417" y="1045807"/>
                              <a:ext cx="1565902" cy="1574945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ABD3A1"/>
                                </a:gs>
                                <a:gs pos="100000">
                                  <a:srgbClr val="67A957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39" name="Szövegdoboz 39"/>
                          <wps:cNvSpPr txBox="1"/>
                          <wps:spPr>
                            <a:xfrm>
                              <a:off x="686738" y="1276452"/>
                              <a:ext cx="1107260" cy="1113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5841" w:rsidRDefault="007A23BB">
                                <w:pPr>
                                  <w:spacing w:before="0" w:after="0" w:line="215" w:lineRule="auto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4"/>
                                  </w:rPr>
                                  <w:t>1. funkció működtetése</w:t>
                                </w:r>
                              </w:p>
                            </w:txbxContent>
                          </wps:txbx>
                          <wps:bodyPr spcFirstLastPara="1" wrap="square" lIns="26650" tIns="26650" rIns="26650" bIns="26650" anchor="ctr" anchorCtr="0"/>
                        </wps:wsp>
                        <wps:wsp>
                          <wps:cNvPr id="40" name="Ellipszis 40"/>
                          <wps:cNvSpPr/>
                          <wps:spPr>
                            <a:xfrm>
                              <a:off x="2505221" y="1049551"/>
                              <a:ext cx="236251" cy="236611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B8DBB0"/>
                                </a:gs>
                                <a:gs pos="100000">
                                  <a:srgbClr val="70AF62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41" name="Ellipszis 41"/>
                          <wps:cNvSpPr/>
                          <wps:spPr>
                            <a:xfrm>
                              <a:off x="3754719" y="2584746"/>
                              <a:ext cx="427171" cy="427267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C6E2BF"/>
                                </a:gs>
                                <a:gs pos="100000">
                                  <a:srgbClr val="7CB56C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42" name="Ellipszis 42"/>
                          <wps:cNvSpPr/>
                          <wps:spPr>
                            <a:xfrm>
                              <a:off x="3483246" y="463554"/>
                              <a:ext cx="1565902" cy="1574945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D4EACF"/>
                                </a:gs>
                                <a:gs pos="100000">
                                  <a:srgbClr val="84BA79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43" name="Szövegdoboz 43"/>
                          <wps:cNvSpPr txBox="1"/>
                          <wps:spPr>
                            <a:xfrm>
                              <a:off x="3712567" y="694199"/>
                              <a:ext cx="1107260" cy="1113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5841" w:rsidRDefault="007A23BB">
                                <w:pPr>
                                  <w:spacing w:before="0" w:after="0" w:line="215" w:lineRule="auto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4"/>
                                  </w:rPr>
                                  <w:t>2. funkció működtetése</w:t>
                                </w:r>
                              </w:p>
                            </w:txbxContent>
                          </wps:txbx>
                          <wps:bodyPr spcFirstLastPara="1" wrap="square" lIns="26650" tIns="26650" rIns="26650" bIns="26650" anchor="ctr" anchorCtr="0"/>
                        </wps:wsp>
                        <wps:wsp>
                          <wps:cNvPr id="44" name="Ellipszis 44"/>
                          <wps:cNvSpPr/>
                          <wps:spPr>
                            <a:xfrm>
                              <a:off x="3489022" y="1376553"/>
                              <a:ext cx="236251" cy="236611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E3F2E0"/>
                                </a:gs>
                                <a:gs pos="100000">
                                  <a:srgbClr val="90C084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45" name="Ellipszis 45"/>
                          <wps:cNvSpPr/>
                          <wps:spPr>
                            <a:xfrm>
                              <a:off x="786075" y="2812173"/>
                              <a:ext cx="171304" cy="171286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E3F2E0"/>
                                </a:gs>
                                <a:gs pos="100000">
                                  <a:srgbClr val="90C084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46" name="Ellipszis 46"/>
                          <wps:cNvSpPr/>
                          <wps:spPr>
                            <a:xfrm>
                              <a:off x="2493016" y="2568345"/>
                              <a:ext cx="171304" cy="171286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D4EACF"/>
                                </a:gs>
                                <a:gs pos="100000">
                                  <a:srgbClr val="84BA79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47" name="Ellipszis 47"/>
                          <wps:cNvSpPr/>
                          <wps:spPr>
                            <a:xfrm>
                              <a:off x="3916354" y="1749942"/>
                              <a:ext cx="1057081" cy="956230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C6E2BF"/>
                                </a:gs>
                                <a:gs pos="100000">
                                  <a:srgbClr val="7CB56C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48" name="Szövegdoboz 48"/>
                          <wps:cNvSpPr txBox="1"/>
                          <wps:spPr>
                            <a:xfrm>
                              <a:off x="4071160" y="1889979"/>
                              <a:ext cx="747469" cy="6761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5841" w:rsidRDefault="007A23BB">
                                <w:pPr>
                                  <w:spacing w:before="0" w:after="0" w:line="215" w:lineRule="auto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4"/>
                                  </w:rPr>
                                  <w:t>Bevonás</w:t>
                                </w:r>
                              </w:p>
                            </w:txbxContent>
                          </wps:txbx>
                          <wps:bodyPr spcFirstLastPara="1" wrap="square" lIns="26650" tIns="26650" rIns="26650" bIns="26650" anchor="ctr" anchorCtr="0"/>
                        </wps:wsp>
                        <wps:wsp>
                          <wps:cNvPr id="49" name="Ellipszis 49"/>
                          <wps:cNvSpPr/>
                          <wps:spPr>
                            <a:xfrm>
                              <a:off x="4012974" y="2536016"/>
                              <a:ext cx="171304" cy="171286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B8DBB0"/>
                                </a:gs>
                                <a:gs pos="100000">
                                  <a:srgbClr val="70AF62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50" name="Ellipszis 50"/>
                          <wps:cNvSpPr/>
                          <wps:spPr>
                            <a:xfrm>
                              <a:off x="1168007" y="2305590"/>
                              <a:ext cx="863931" cy="864030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ABD3A1"/>
                                </a:gs>
                                <a:gs pos="100000">
                                  <a:srgbClr val="67A957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51" name="Szövegdoboz 51"/>
                          <wps:cNvSpPr txBox="1"/>
                          <wps:spPr>
                            <a:xfrm>
                              <a:off x="1294527" y="2432124"/>
                              <a:ext cx="610891" cy="6109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5841" w:rsidRDefault="007A23BB">
                                <w:pPr>
                                  <w:spacing w:before="0" w:after="0" w:line="215" w:lineRule="auto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4"/>
                                  </w:rPr>
                                  <w:t>Bevonás</w:t>
                                </w:r>
                              </w:p>
                            </w:txbxContent>
                          </wps:txbx>
                          <wps:bodyPr spcFirstLastPara="1" wrap="square" lIns="26650" tIns="26650" rIns="26650" bIns="26650" anchor="ctr" anchorCtr="0"/>
                        </wps:wsp>
                        <wps:wsp>
                          <wps:cNvPr id="52" name="Ellipszis 52"/>
                          <wps:cNvSpPr/>
                          <wps:spPr>
                            <a:xfrm>
                              <a:off x="2572784" y="2983460"/>
                              <a:ext cx="171304" cy="171286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9ECC91"/>
                                </a:gs>
                                <a:gs pos="100000">
                                  <a:srgbClr val="619F4F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53" name="Ellipszis 53"/>
                          <wps:cNvSpPr/>
                          <wps:spPr>
                            <a:xfrm>
                              <a:off x="1535024" y="-62538"/>
                              <a:ext cx="1173547" cy="1179228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91C383"/>
                                </a:gs>
                                <a:gs pos="100000">
                                  <a:srgbClr val="5B934B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54" name="Szövegdoboz 54"/>
                          <wps:cNvSpPr txBox="1"/>
                          <wps:spPr>
                            <a:xfrm>
                              <a:off x="1706886" y="110156"/>
                              <a:ext cx="829823" cy="8338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5841" w:rsidRDefault="007A23BB">
                                <w:pPr>
                                  <w:spacing w:before="0" w:after="0" w:line="215" w:lineRule="auto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4"/>
                                  </w:rPr>
                                  <w:t>3. funkció működtetése</w:t>
                                </w:r>
                              </w:p>
                            </w:txbxContent>
                          </wps:txbx>
                          <wps:bodyPr spcFirstLastPara="1" wrap="square" lIns="26650" tIns="26650" rIns="26650" bIns="26650" anchor="ctr" anchorCtr="0"/>
                        </wps:wsp>
                        <wps:wsp>
                          <wps:cNvPr id="55" name="Ellipszis 55"/>
                          <wps:cNvSpPr/>
                          <wps:spPr>
                            <a:xfrm>
                              <a:off x="1559778" y="1015370"/>
                              <a:ext cx="171304" cy="171286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84BD74"/>
                                </a:gs>
                                <a:gs pos="100000">
                                  <a:srgbClr val="538B42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>
                          <wps:cNvPr id="56" name="Ellipszis 56"/>
                          <wps:cNvSpPr/>
                          <wps:spPr>
                            <a:xfrm>
                              <a:off x="3554406" y="291483"/>
                              <a:ext cx="171304" cy="171286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79B16A"/>
                                </a:gs>
                                <a:gs pos="100000">
                                  <a:srgbClr val="4C803C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  <a:effectLst>
                              <a:outerShdw blurRad="38100" dist="25400" dir="5400000" rotWithShape="0">
                                <a:srgbClr val="000000">
                                  <a:alpha val="44705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315841" w:rsidRDefault="00315841">
                                <w:pPr>
                                  <w:spacing w:before="0"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s1026" style="width:453.35pt;height:299.05pt;mso-position-horizontal-relative:char;mso-position-vertical-relative:line" coordorigin=",-625" coordsize="57577,38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">
                <v:group id="Csoportba foglalás 29" o:spid="_x0000_s1027" style="position:absolute;top:-625;width:57577;height:38604" coordorigin=",-625" coordsize="57577,386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rect id="Téglalap 30" o:spid="_x0000_s1028" style="position:absolute;width:57577;height:379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PRw8AA&#10;AADbAAAADwAAAGRycy9kb3ducmV2LnhtbERP3U7CMBS+N+EdmmPiHXROQmDQLWg0Aa5g4wEO63Fd&#10;XE/nWmG+vb0g8fLL978pRtuJKw2+dazgeZaAIK6dbrlRcK4+pksQPiBr7ByTgl/yUOSThw1m2t34&#10;RNcyNCKGsM9QgQmhz6T0tSGLfuZ64sh9usFiiHBopB7wFsNtJ9MkWUiLLccGgz29Gaq/yh+r4Dh3&#10;lL6n/rVs7MqMl+qw/8aFUk+P43YNItAY/sV3904reInr45f4A2T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NPRw8AAAADbAAAADwAAAAAAAAAAAAAAAACYAgAAZHJzL2Rvd25y&#10;ZXYueG1sUEsFBgAAAAAEAAQA9QAAAIUDAAAAAA==&#10;" filled="f" stroked="f"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oval id="Ellipszis 31" o:spid="_x0000_s1029" style="position:absolute;left:15434;top:5153;width:25357;height:262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PeRMMA&#10;AADbAAAADwAAAGRycy9kb3ducmV2LnhtbESPQWsCMRSE7wX/Q3hCL0WzW0HLahRpaRFvrh7q7bF5&#10;bhaTl2WT6vbfG0HwOMzMN8xi1TsrLtSFxrOCfJyBIK68brhWcNh/jz5AhIis0XomBf8UYLUcvCyw&#10;0P7KO7qUsRYJwqFABSbGtpAyVIYchrFviZN38p3DmGRXS93hNcGdle9ZNpUOG04LBlv6NFSdyz+n&#10;4Oj2zexkf35t/sbTdvtVR6PXSr0O+/UcRKQ+PsOP9kYrmORw/5J+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PeRMMAAADbAAAADwAAAAAAAAAAAAAAAACYAgAAZHJzL2Rv&#10;d25yZXYueG1sUEsFBgAAAAAEAAQA9QAAAIgDAAAAAA==&#10;" fillcolor="#79b166" stroked="f">
                    <v:fill color2="#4d7f3a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Szövegdoboz 32" o:spid="_x0000_s1030" type="#_x0000_t202" style="position:absolute;left:19147;top:8990;width:17930;height:185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WP9sEA&#10;AADbAAAADwAAAGRycy9kb3ducmV2LnhtbESPQWsCMRSE70L/Q3gFb5pVsditUUpBXKGXant/JK+7&#10;i5uXJS/V9d+bQqHHYWa+YdbbwXfqQlHawAZm0wIUsQ2u5drA52k3WYGShOywC0wGbiSw3TyM1li6&#10;cOUPuhxTrTKEpUQDTUp9qbXYhjzKNPTE2fsO0WPKMtbaRbxmuO/0vCietMeW80KDPb01ZM/HH2+g&#10;0suznX09v0uV9vFQiK1EizHjx+H1BVSiIf2H/9qVM7CYw++X/AP05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OFj/bBAAAA2wAAAA8AAAAAAAAAAAAAAAAAmAIAAGRycy9kb3du&#10;cmV2LnhtbFBLBQYAAAAABAAEAPUAAACGAwAAAAA=&#10;" filled="f" stroked="f">
                    <v:textbox inset="6pt,6pt,6pt,6pt">
                      <w:txbxContent>
                        <w:p w:rsidR="00315841" w:rsidRDefault="007A23BB">
                          <w:pPr>
                            <w:spacing w:before="0" w:after="0" w:line="215" w:lineRule="auto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40"/>
                            </w:rPr>
                            <w:t>Irányítás</w:t>
                          </w:r>
                        </w:p>
                        <w:p w:rsidR="00315841" w:rsidRDefault="007A23BB">
                          <w:pPr>
                            <w:spacing w:before="140" w:after="0" w:line="215" w:lineRule="auto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28"/>
                            </w:rPr>
                            <w:t>Belső csoport</w:t>
                          </w:r>
                        </w:p>
                      </w:txbxContent>
                    </v:textbox>
                  </v:shape>
                  <v:oval id="Ellipszis 33" o:spid="_x0000_s1031" style="position:absolute;left:21848;top:27703;width:1713;height:17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b0tMMA&#10;AADbAAAADwAAAGRycy9kb3ducmV2LnhtbESPQYvCMBSE7wv+h/AEb2vqKotWo4iw4kVWq4cen82z&#10;LTYvpYm2/nuzsOBxmJlvmMWqM5V4UONKywpGwwgEcWZ1ybmC8+nncwrCeWSNlWVS8CQHq2XvY4Gx&#10;ti0f6ZH4XAQIuxgVFN7XsZQuK8igG9qaOHhX2xj0QTa51A22AW4q+RVF39JgyWGhwJo2BWW35G4U&#10;/KYJ2pTSzfZw8sfLbN9Wk9lBqUG/W89BeOr8O/zf3mkF4zH8fQk/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b0tMMAAADbAAAADwAAAAAAAAAAAAAAAACYAgAAZHJzL2Rv&#10;d25yZXYueG1sUEsFBgAAAAAEAAQA9QAAAIgDAAAAAA==&#10;" fillcolor="#6fa85d" stroked="f">
                    <v:fill color2="#477538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34" o:spid="_x0000_s1032" style="position:absolute;left:37932;top:16655;width:1713;height:17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1k+cMA&#10;AADbAAAADwAAAGRycy9kb3ducmV2LnhtbESPQWvCQBSE7wX/w/KE3upGbYNGV4nSQnspNCpeH9ln&#10;Etx9G7IbTf99t1DocZiZb5j1drBG3KjzjWMF00kCgrh0uuFKwfHw9rQA4QOyRuOYFHyTh+1m9LDG&#10;TLs7f9GtCJWIEPYZKqhDaDMpfVmTRT9xLXH0Lq6zGKLsKqk7vEe4NXKWJKm02HBcqLGlfU3lteht&#10;pJjdy4c051ymy4s5vR4/ezuQUo/jIV+BCDSE//Bf+10rmD/D75f4A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1k+cMAAADbAAAADwAAAAAAAAAAAAAAAACYAgAAZHJzL2Rv&#10;d25yZXYueG1sUEsFBgAAAAAEAAQA9QAAAIgDAAAAAA==&#10;" fillcolor="#79b16a" stroked="f">
                    <v:fill color2="#4c803c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35" o:spid="_x0000_s1033" style="position:absolute;left:29746;top:29526;width:2363;height:23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hby8IA&#10;AADbAAAADwAAAGRycy9kb3ducmV2LnhtbESP3WrCQBSE7wu+w3IE7+rGxopG1yDFQm8bfYBj9phE&#10;s2dDdvP39t1CoZfDzHzDHNLR1KKn1lWWFayWEQji3OqKCwXXy+frFoTzyBpry6RgIgfpcfZywETb&#10;gb+pz3whAoRdggpK75tESpeXZNAtbUMcvLttDfog20LqFocAN7V8i6KNNFhxWCixoY+S8mfWGQVV&#10;Z1e7YVjf4mf2mC5rlpv+fFdqMR9PexCeRv8f/mt/aQXxO/x+CT9AH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KFvLwgAAANsAAAAPAAAAAAAAAAAAAAAAAJgCAABkcnMvZG93&#10;bnJldi54bWxQSwUGAAAAAAQABAD1AAAAhwMAAAAA&#10;" fillcolor="#84bd74" stroked="f">
                    <v:fill color2="#538b42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36" o:spid="_x0000_s1034" style="position:absolute;left:22327;top:10419;width:1713;height:17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/a+cUA&#10;AADbAAAADwAAAGRycy9kb3ducmV2LnhtbESPQWvCQBSE7wX/w/IEb82mMQSJrlIKUq2HVu3B4yP7&#10;TILZtyG7xvjvu0LB4zAz3zCL1WAa0VPnassK3qIYBHFhdc2lgt/j+nUGwnlkjY1lUnAnB6vl6GWB&#10;ubY33lN/8KUIEHY5Kqi8b3MpXVGRQRfZljh4Z9sZ9EF2pdQd3gLcNDKJ40warDksVNjSR0XF5XA1&#10;CtL98cd+fpW7c70dvpPZaX1JTaPUZDy8z0F4Gvwz/N/eaAXTDB5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P9r5xQAAANsAAAAPAAAAAAAAAAAAAAAAAJgCAABkcnMv&#10;ZG93bnJldi54bWxQSwUGAAAAAAQABAD1AAAAigMAAAAA&#10;" fillcolor="#91c383" stroked="f">
                    <v:fill color2="#5b934b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37" o:spid="_x0000_s1035" style="position:absolute;left:16935;top:20222;width:1714;height:1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UGp8IA&#10;AADbAAAADwAAAGRycy9kb3ducmV2LnhtbESPUWvCMBSF3wf+h3CFva3JHLjRGWUIgiAi6kB8uzR3&#10;bbG5KUm07b83grDHwznnO5zZoreNuJEPtWMN75kCQVw4U3Op4fe4evsCESKywcYxaRgowGI+eplh&#10;blzHe7odYikShEOOGqoY21zKUFRkMWSuJU7en/MWY5K+lMZjl+C2kROlptJizWmhwpaWFRWXw9Vq&#10;8AN2O7U9X9a8WZ0wDkiqnmr9Ou5/vkFE6uN/+NleGw0fn/D4kn6An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ZQanwgAAANsAAAAPAAAAAAAAAAAAAAAAAJgCAABkcnMvZG93&#10;bnJldi54bWxQSwUGAAAAAAQABAD1AAAAhwMAAAAA&#10;" fillcolor="#9ecc91" stroked="f">
                    <v:fill color2="#619f4f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38" o:spid="_x0000_s1036" style="position:absolute;left:4574;top:10458;width:15659;height:157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9pBcQA&#10;AADbAAAADwAAAGRycy9kb3ducmV2LnhtbERPy2rCQBTdC/2H4Ra604lWpaSOopbSClKoj0V3l8w1&#10;CcncSTOTR/16ZyF0eTjvxao3pWipdrllBeNRBII4sTrnVMHp+D58AeE8ssbSMin4Iwer5cNggbG2&#10;HX9Te/CpCCHsYlSQeV/FUrokI4NuZCviwF1sbdAHWKdS19iFcFPKSRTNpcGcQ0OGFW0zSopDYxTs&#10;rvPdx/5K6dvX9EiN+51tivOPUk+P/foVhKfe/4vv7k+t4DmMDV/CD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/aQXEAAAA2wAAAA8AAAAAAAAAAAAAAAAAmAIAAGRycy9k&#10;b3ducmV2LnhtbFBLBQYAAAAABAAEAPUAAACJAwAAAAA=&#10;" fillcolor="#abd3a1" stroked="f">
                    <v:fill color2="#67a957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shape id="Szövegdoboz 39" o:spid="_x0000_s1037" type="#_x0000_t202" style="position:absolute;left:6867;top:12764;width:11072;height:111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4l3MIA&#10;AADbAAAADwAAAGRycy9kb3ducmV2LnhtbESPQWsCMRSE7wX/Q3iCt5q10qKrUaQgLHjStuDxuXlu&#10;FjcvMYm6/fdNodDjMDPfMMt1bztxpxBbxwom4wIEce10y42Cz4/t8wxETMgaO8ek4JsirFeDpyWW&#10;2j14T/dDakSGcCxRgUnJl1LG2pDFOHaeOHtnFyymLEMjdcBHhttOvhTFm7TYcl4w6OndUH053KyC&#10;tN37wK84D746VlfztdMTPik1GvabBYhEffoP/7UrrWA6h98v+QfI1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riXcwgAAANsAAAAPAAAAAAAAAAAAAAAAAJgCAABkcnMvZG93&#10;bnJldi54bWxQSwUGAAAAAAQABAD1AAAAhwMAAAAA&#10;" filled="f" stroked="f">
                    <v:textbox inset=".74028mm,.74028mm,.74028mm,.74028mm">
                      <w:txbxContent>
                        <w:p w:rsidR="00315841" w:rsidRDefault="007A23BB">
                          <w:pPr>
                            <w:spacing w:before="0" w:after="0" w:line="215" w:lineRule="auto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14"/>
                            </w:rPr>
                            <w:t>1. funkció működtetése</w:t>
                          </w:r>
                        </w:p>
                      </w:txbxContent>
                    </v:textbox>
                  </v:shape>
                  <v:oval id="Ellipszis 40" o:spid="_x0000_s1038" style="position:absolute;left:25052;top:10495;width:2362;height:23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4shL8A&#10;AADbAAAADwAAAGRycy9kb3ducmV2LnhtbERPy4rCMBTdC/5DuIIb0dQnUo2iwoiCGx8fcGmubbG5&#10;KU1a27+fLAZmeTjv7b41hWiocrllBdNJBII4sTrnVMHr+TNeg3AeWWNhmRR05GC/6/e2GGv75Ts1&#10;D5+KEMIuRgWZ92UspUsyMugmtiQO3NtWBn2AVSp1hd8Qbgo5i6KVNJhzaMiwpFNGyedRGwWXT3eQ&#10;bn47ez5em3q5GnX5s1ZqOGgPGxCeWv8v/nNftIJFWB++hB8gd7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pniyEvwAAANsAAAAPAAAAAAAAAAAAAAAAAJgCAABkcnMvZG93bnJl&#10;di54bWxQSwUGAAAAAAQABAD1AAAAhAMAAAAA&#10;" fillcolor="#b8dbb0" stroked="f">
                    <v:fill color2="#70af62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41" o:spid="_x0000_s1039" style="position:absolute;left:37547;top:25847;width:4271;height:42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xVlMUA&#10;AADbAAAADwAAAGRycy9kb3ducmV2LnhtbESPT2vCQBTE7wW/w/KE3urGImJTVyktTXPwoLGHHp/Z&#10;ZxKafRuya/746V2h0OMwM79h1tvB1KKj1lWWFcxnEQji3OqKCwXfx8+nFQjnkTXWlknBSA62m8nD&#10;GmNtez5Ql/lCBAi7GBWU3jexlC4vyaCb2YY4eGfbGvRBtoXULfYBbmr5HEVLabDisFBiQ+8l5b/Z&#10;xSiI+vrlK1n97K+7ZPw4pQNzcWSlHqfD2ysIT4P/D/+1U61gMYf7l/AD5OY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/FWUxQAAANsAAAAPAAAAAAAAAAAAAAAAAJgCAABkcnMv&#10;ZG93bnJldi54bWxQSwUGAAAAAAQABAD1AAAAigMAAAAA&#10;" fillcolor="#c6e2bf" stroked="f">
                    <v:fill color2="#7cb56c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42" o:spid="_x0000_s1040" style="position:absolute;left:34832;top:4635;width:15659;height:157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iMW8UA&#10;AADbAAAADwAAAGRycy9kb3ducmV2LnhtbESPQWvCQBSE74L/YXlCb3VjCEWjq2jbQC8prZbi8ZF9&#10;JsHs25DdxtRf7xYKHoeZ+YZZbQbTiJ46V1tWMJtGIIgLq2suFXwdssc5COeRNTaWScEvOdisx6MV&#10;ptpe+JP6vS9FgLBLUUHlfZtK6YqKDLqpbYmDd7KdQR9kV0rd4SXATSPjKHqSBmsOCxW29FxRcd7/&#10;GAUfbb7Ij0nB7/PXnUWfZ98v15lSD5NhuwThafD38H/7TStIYvj7En6AX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GIxbxQAAANsAAAAPAAAAAAAAAAAAAAAAAJgCAABkcnMv&#10;ZG93bnJldi54bWxQSwUGAAAAAAQABAD1AAAAigMAAAAA&#10;" fillcolor="#d4eacf" stroked="f">
                    <v:fill color2="#84ba79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shape id="Szövegdoboz 43" o:spid="_x0000_s1041" type="#_x0000_t202" style="position:absolute;left:37125;top:6941;width:11073;height:111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BhS8MA&#10;AADbAAAADwAAAGRycy9kb3ducmV2LnhtbESPT2sCMRTE70K/Q3iCt5q1tqVujVIEYcGTfwo9Pjev&#10;m8XNS5pEXb99Uyh4HGbmN8x82dtOXCjE1rGCybgAQVw73XKj4LBfP76BiAlZY+eYFNwownLxMJhj&#10;qd2Vt3TZpUZkCMcSFZiUfCllrA1ZjGPnibP37YLFlGVopA54zXDbyaeieJUWW84LBj2tDNWn3dkq&#10;SOutD/yCs+Crr+rHfG70hI9KjYb9xzuIRH26h//blVbwPIW/L/kH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BhS8MAAADbAAAADwAAAAAAAAAAAAAAAACYAgAAZHJzL2Rv&#10;d25yZXYueG1sUEsFBgAAAAAEAAQA9QAAAIgDAAAAAA==&#10;" filled="f" stroked="f">
                    <v:textbox inset=".74028mm,.74028mm,.74028mm,.74028mm">
                      <w:txbxContent>
                        <w:p w:rsidR="00315841" w:rsidRDefault="007A23BB">
                          <w:pPr>
                            <w:spacing w:before="0" w:after="0" w:line="215" w:lineRule="auto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14"/>
                            </w:rPr>
                            <w:t>2. funkció működtetése</w:t>
                          </w:r>
                        </w:p>
                      </w:txbxContent>
                    </v:textbox>
                  </v:shape>
                  <v:oval id="Ellipszis 44" o:spid="_x0000_s1042" style="position:absolute;left:34890;top:13765;width:2362;height:23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liz8QA&#10;AADbAAAADwAAAGRycy9kb3ducmV2LnhtbESPQWvCQBSE74L/YXlCL6KbqkibuooUCtVDJFakx0f2&#10;mQ3Nvg3ZrcZ/7wqCx2FmvmEWq87W4kytrxwreB0nIIgLpysuFRx+vkZvIHxA1lg7JgVX8rBa9nsL&#10;TLW7cE7nfShFhLBPUYEJoUml9IUhi37sGuLonVxrMUTZllK3eIlwW8tJksylxYrjgsGGPg0Vf/t/&#10;q2C6yajKd6dh9o7ZYbtOjr/aTJR6GXTrDxCBuvAMP9rfWsFsBvcv8Qf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ZYs/EAAAA2wAAAA8AAAAAAAAAAAAAAAAAmAIAAGRycy9k&#10;b3ducmV2LnhtbFBLBQYAAAAABAAEAPUAAACJAwAAAAA=&#10;" fillcolor="#e3f2e0" stroked="f">
                    <v:fill color2="#90c084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45" o:spid="_x0000_s1043" style="position:absolute;left:7860;top:28121;width:1713;height:17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XHVMYA&#10;AADbAAAADwAAAGRycy9kb3ducmV2LnhtbESPT2vCQBTE74V+h+UJvRTdqG2xMauIUGg9RPyD9PjI&#10;vmRDs29Ddqvx23cFocdhZn7DZMveNuJMna8dKxiPEhDEhdM1VwqOh4/hDIQPyBobx6TgSh6Wi8eH&#10;DFPtLryj8z5UIkLYp6jAhNCmUvrCkEU/ci1x9ErXWQxRdpXUHV4i3DZykiRv0mLNccFgS2tDxc/+&#10;1yqYfuVU77blc/6O+XGzSk7f2kyUehr0qzmIQH34D9/bn1rByyvcvsQf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hXHVMYAAADbAAAADwAAAAAAAAAAAAAAAACYAgAAZHJz&#10;L2Rvd25yZXYueG1sUEsFBgAAAAAEAAQA9QAAAIsDAAAAAA==&#10;" fillcolor="#e3f2e0" stroked="f">
                    <v:fill color2="#90c084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46" o:spid="_x0000_s1044" style="position:absolute;left:24930;top:25683;width:1713;height:17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OKWMQA&#10;AADbAAAADwAAAGRycy9kb3ducmV2LnhtbESPT4vCMBTE74LfITzB25oqIlqNou4Ke+niP8Tjo3m2&#10;xealNFG7fnqzsOBxmJnfMLNFY0pxp9oVlhX0exEI4tTqgjMFx8PmYwzCeWSNpWVS8EsOFvN2a4ax&#10;tg/e0X3vMxEg7GJUkHtfxVK6NCeDrmcr4uBdbG3QB1lnUtf4CHBTykEUjaTBgsNCjhWtc0qv+5tR&#10;sK2SSXIepvwz/lpZ9Mnm9PnsK9XtNMspCE+Nf4f/299awXAEf1/CD5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jiljEAAAA2wAAAA8AAAAAAAAAAAAAAAAAmAIAAGRycy9k&#10;b3ducmV2LnhtbFBLBQYAAAAABAAEAPUAAACJAwAAAAA=&#10;" fillcolor="#d4eacf" stroked="f">
                    <v:fill color2="#84ba79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47" o:spid="_x0000_s1045" style="position:absolute;left:39163;top:17499;width:10571;height:95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loe8QA&#10;AADbAAAADwAAAGRycy9kb3ducmV2LnhtbESPT4vCMBTE7wt+h/AEb2uqyK5Wo4ii62EP/jt4fDbP&#10;tti8lCba6qc3Cwseh5n5DTOZNaYQd6pcbllBrxuBIE6szjlVcDysPocgnEfWWFgmBQ9yMJu2PiYY&#10;a1vzju57n4oAYRejgsz7MpbSJRkZdF1bEgfvYiuDPsgqlbrCOsBNIftR9CUN5hwWMixpkVFy3d+M&#10;gqguRj/r4Wn7/F0/ludNw5weWKlOu5mPQXhq/Dv8395oBYNv+PsSfoC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ZaHvEAAAA2wAAAA8AAAAAAAAAAAAAAAAAmAIAAGRycy9k&#10;b3ducmV2LnhtbFBLBQYAAAAABAAEAPUAAACJAwAAAAA=&#10;" fillcolor="#c6e2bf" stroked="f">
                    <v:fill color2="#7cb56c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shape id="Szövegdoboz 48" o:spid="_x0000_s1046" type="#_x0000_t202" style="position:absolute;left:40711;top:18899;width:7475;height:6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TzOr8A&#10;AADbAAAADwAAAGRycy9kb3ducmV2LnhtbERPTWsCMRC9C/6HMII3zSpa7NYoUhAWetK24HG6mW4W&#10;N5M0ibr99+YgeHy87/W2t524UoitYwWzaQGCuHa65UbB1+d+sgIRE7LGzjEp+KcI281wsMZSuxsf&#10;6HpMjcghHEtUYFLypZSxNmQxTp0nztyvCxZThqGROuAth9tOzoviRVpsOTcY9PRuqD4fL1ZB2h98&#10;4CW+Bl+dqj/z/aFn/KPUeNTv3kAk6tNT/HBXWsEij81f8g+Qmzs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5PM6vwAAANsAAAAPAAAAAAAAAAAAAAAAAJgCAABkcnMvZG93bnJl&#10;di54bWxQSwUGAAAAAAQABAD1AAAAhAMAAAAA&#10;" filled="f" stroked="f">
                    <v:textbox inset=".74028mm,.74028mm,.74028mm,.74028mm">
                      <w:txbxContent>
                        <w:p w:rsidR="00315841" w:rsidRDefault="007A23BB">
                          <w:pPr>
                            <w:spacing w:before="0" w:after="0" w:line="215" w:lineRule="auto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14"/>
                            </w:rPr>
                            <w:t>Bevonás</w:t>
                          </w:r>
                        </w:p>
                      </w:txbxContent>
                    </v:textbox>
                  </v:shape>
                  <v:oval id="Ellipszis 49" o:spid="_x0000_s1047" style="position:absolute;left:40129;top:25360;width:1713;height:17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SFGcMA&#10;AADbAAAADwAAAGRycy9kb3ducmV2LnhtbESP3YrCMBSE7wXfIRxhb2RN/Vlxq1F0QVHYm1Uf4NCc&#10;bYvNSWnS2r69EQQvh5n5hlltWlOIhiqXW1YwHkUgiBOrc04VXC/7zwUI55E1FpZJQUcONut+b4Wx&#10;tnf+o+bsUxEg7GJUkHlfxlK6JCODbmRL4uD928qgD7JKpa7wHuCmkJMomkuDOYeFDEv6ySi5nWuj&#10;4HjrttJNfw+ed6em/poPu/xSK/UxaLdLEJ5a/w6/2ketYPYNzy/hB8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SFGcMAAADbAAAADwAAAAAAAAAAAAAAAACYAgAAZHJzL2Rv&#10;d25yZXYueG1sUEsFBgAAAAAEAAQA9QAAAIgDAAAAAA==&#10;" fillcolor="#b8dbb0" stroked="f">
                    <v:fill color2="#70af62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50" o:spid="_x0000_s1048" style="position:absolute;left:11680;top:23055;width:8639;height:86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aAo8EA&#10;AADbAAAADwAAAGRycy9kb3ducmV2LnhtbERPy4rCMBTdD/gP4QqzG1NlFKlG8YGoIIKvhbtLc22L&#10;zU1tonb8+slCcHk47+G4NoV4UOVyywrarQgEcWJ1zqmC42Hx0wfhPLLGwjIp+CMH41Hja4ixtk/e&#10;0WPvUxFC2MWoIPO+jKV0SUYGXcuWxIG72MqgD7BKpa7wGcJNITtR1JMGcw4NGZY0yyi57u9GwfrV&#10;Wy83L0rn298D3d2tO72ezkp9N+vJAISn2n/Eb/dKK+iG9eFL+AFy9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kWgKPBAAAA2wAAAA8AAAAAAAAAAAAAAAAAmAIAAGRycy9kb3du&#10;cmV2LnhtbFBLBQYAAAAABAAEAPUAAACGAwAAAAA=&#10;" fillcolor="#abd3a1" stroked="f">
                    <v:fill color2="#67a957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shape id="Szövegdoboz 51" o:spid="_x0000_s1049" type="#_x0000_t202" style="position:absolute;left:12945;top:24321;width:6109;height:61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fMesEA&#10;AADbAAAADwAAAGRycy9kb3ducmV2LnhtbESPQWsCMRSE7wX/Q3iCt5rdgqWuRpGCsNCTtoLH5+a5&#10;Wdy8xCTV9d83hUKPw8x8wyzXg+3FjULsHCsopwUI4sbpjlsFX5/b5zcQMSFr7B2TggdFWK9GT0us&#10;tLvzjm771IoM4VihApOSr6SMjSGLceo8cfbOLlhMWYZW6oD3DLe9fCmKV2mx47xg0NO7oeay/7YK&#10;0nbnA89wHnx9rK/m8KFLPik1GQ+bBYhEQ/oP/7VrrWBWwu+X/APk6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sHzHrBAAAA2wAAAA8AAAAAAAAAAAAAAAAAmAIAAGRycy9kb3du&#10;cmV2LnhtbFBLBQYAAAAABAAEAPUAAACGAwAAAAA=&#10;" filled="f" stroked="f">
                    <v:textbox inset=".74028mm,.74028mm,.74028mm,.74028mm">
                      <w:txbxContent>
                        <w:p w:rsidR="00315841" w:rsidRDefault="007A23BB">
                          <w:pPr>
                            <w:spacing w:before="0" w:after="0" w:line="215" w:lineRule="auto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14"/>
                            </w:rPr>
                            <w:t>Bevonás</w:t>
                          </w:r>
                        </w:p>
                      </w:txbxContent>
                    </v:textbox>
                  </v:shape>
                  <v:oval id="Ellipszis 52" o:spid="_x0000_s1050" style="position:absolute;left:25727;top:29834;width:1713;height:17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1An8EA&#10;AADbAAAADwAAAGRycy9kb3ducmV2LnhtbESPQYvCMBSE7wv+h/AEb2uioEg1igiCsCyyKoi3R/Ns&#10;i81LSaJt/71ZWNjjMDPfMKtNZ2vxIh8qxxomYwWCOHem4kLD5bz/XIAIEdlg7Zg09BRgsx58rDAz&#10;ruUfep1iIRKEQ4YayhibTMqQl2QxjF1DnLy78xZjkr6QxmOb4LaWU6Xm0mLFaaHEhnYl5Y/T02rw&#10;PbZH9X17HPhrf8XYI6lqrvVo2G2XICJ18T/81z4YDbMp/H5JP0Cu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NQJ/BAAAA2wAAAA8AAAAAAAAAAAAAAAAAmAIAAGRycy9kb3du&#10;cmV2LnhtbFBLBQYAAAAABAAEAPUAAACGAwAAAAA=&#10;" fillcolor="#9ecc91" stroked="f">
                    <v:fill color2="#619f4f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53" o:spid="_x0000_s1051" style="position:absolute;left:15350;top:-625;width:11735;height:117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ecwcUA&#10;AADbAAAADwAAAGRycy9kb3ducmV2LnhtbESPQWvCQBSE7wX/w/IEb3WjtRKiaxBB2tqDGj14fGSf&#10;SUj2bciumv77rlDocZiZb5hl2ptG3KlzlWUFk3EEgji3uuJCwfm0fY1BOI+ssbFMCn7IQboavCwx&#10;0fbBR7pnvhABwi5BBaX3bSKly0sy6Ma2JQ7e1XYGfZBdIXWHjwA3jZxG0VwarDgslNjSpqS8zm5G&#10;wex4OtiPXfF9rb76/TS+bOuZaZQaDfv1AoSn3v+H/9qfWsH7Gzy/hB8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l5zBxQAAANsAAAAPAAAAAAAAAAAAAAAAAJgCAABkcnMv&#10;ZG93bnJldi54bWxQSwUGAAAAAAQABAD1AAAAigMAAAAA&#10;" fillcolor="#91c383" stroked="f">
                    <v:fill color2="#5b934b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shape id="Szövegdoboz 54" o:spid="_x0000_s1052" type="#_x0000_t202" style="position:absolute;left:17068;top:1101;width:8299;height:83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Bv4sIA&#10;AADbAAAADwAAAGRycy9kb3ducmV2LnhtbESPQWsCMRSE74X+h/AK3mpW0dKuRimCsOBJq9Dj6+a5&#10;Wbp5iUnU9d83BcHjMDPfMPNlbztxoRBbxwpGwwIEce10y42C/df69R1ETMgaO8ek4EYRlovnpzmW&#10;2l15S5ddakSGcCxRgUnJl1LG2pDFOHSeOHtHFyymLEMjdcBrhttOjoviTVpsOS8Y9LQyVP/uzlZB&#10;Wm994Cl+BF99Vydz2OgR/yg1eOk/ZyAS9ekRvrcrrWA6gf8v+QfIx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cG/iwgAAANsAAAAPAAAAAAAAAAAAAAAAAJgCAABkcnMvZG93&#10;bnJldi54bWxQSwUGAAAAAAQABAD1AAAAhwMAAAAA&#10;" filled="f" stroked="f">
                    <v:textbox inset=".74028mm,.74028mm,.74028mm,.74028mm">
                      <w:txbxContent>
                        <w:p w:rsidR="00315841" w:rsidRDefault="007A23BB">
                          <w:pPr>
                            <w:spacing w:before="0" w:after="0" w:line="215" w:lineRule="auto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14"/>
                            </w:rPr>
                            <w:t>3. funkció működtetése</w:t>
                          </w:r>
                        </w:p>
                      </w:txbxContent>
                    </v:textbox>
                  </v:shape>
                  <v:oval id="Ellipszis 55" o:spid="_x0000_s1053" style="position:absolute;left:15597;top:10153;width:1713;height:17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e+a8IA&#10;AADbAAAADwAAAGRycy9kb3ducmV2LnhtbESPzWrDMBCE74G+g9hCb4mc1gmta8WU0kKvcfIAW2tj&#10;u7ZWxpL/3r4KBHIcZuYbJs1m04qReldbVrDdRCCIC6trLhWcT9/rVxDOI2tsLZOChRxkh4dViom2&#10;Ex9pzH0pAoRdggoq77tESldUZNBtbEccvIvtDfog+1LqHqcAN618jqK9NFhzWKiwo8+KiiYfjIJ6&#10;sNu3aYp/X5r8bznFLPfj10Wpp8f54x2Ep9nfw7f2j1aw28H1S/gB8vA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975rwgAAANsAAAAPAAAAAAAAAAAAAAAAAJgCAABkcnMvZG93&#10;bnJldi54bWxQSwUGAAAAAAQABAD1AAAAhwMAAAAA&#10;" fillcolor="#84bd74" stroked="f">
                    <v:fill color2="#538b42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oval id="Ellipszis 56" o:spid="_x0000_s1054" style="position:absolute;left:35544;top:2914;width:1713;height:17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y6tcMA&#10;AADbAAAADwAAAGRycy9kb3ducmV2LnhtbESPQWvCQBSE70L/w/IKvemmQoKmrpIWC/ZSMCq9PrLP&#10;JHT3bchuYvz33UKhx2FmvmE2u8kaMVLvW8cKnhcJCOLK6ZZrBefT+3wFwgdkjcYxKbiTh932YbbB&#10;XLsbH2ksQy0ihH2OCpoQulxKXzVk0S9cRxy9q+sthij7WuoebxFujVwmSSYtthwXGuzoraHquxxs&#10;pJjX9EOar0Jm66u57M+fg51IqafHqXgBEWgK/+G/9kErSDP4/RJ/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y6tcMAAADbAAAADwAAAAAAAAAAAAAAAACYAgAAZHJzL2Rv&#10;d25yZXYueG1sUEsFBgAAAAAEAAQA9QAAAIgDAAAAAA==&#10;" fillcolor="#79b16a" stroked="f">
                    <v:fill color2="#4c803c" focus="100%" type="gradient">
                      <o:fill v:ext="view" type="gradientUnscaled"/>
                    </v:fill>
                    <v:shadow on="t" color="black" opacity="29297f" origin=",.5" offset="0"/>
                    <v:textbox inset="2.53958mm,2.53958mm,2.53958mm,2.53958mm">
                      <w:txbxContent>
                        <w:p w:rsidR="00315841" w:rsidRDefault="00315841">
                          <w:pPr>
                            <w:spacing w:before="0"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</v:group>
                <w10:anchorlock/>
              </v:group>
            </w:pict>
          </mc:Fallback>
        </mc:AlternateConten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120" w:after="120"/>
        <w:jc w:val="both"/>
        <w:rPr>
          <w:color w:val="000000"/>
        </w:rPr>
      </w:pPr>
      <w:r>
        <w:rPr>
          <w:color w:val="000000"/>
        </w:rPr>
        <w:t>Az HTCS a következő szerepekkel bírhat az Akcióterv menedzselése valamint az érintettek bevonása terén:</w:t>
      </w:r>
    </w:p>
    <w:p w:rsidR="00315841" w:rsidRDefault="007A23BB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714" w:hanging="357"/>
        <w:jc w:val="both"/>
      </w:pPr>
      <w:r>
        <w:rPr>
          <w:color w:val="000000"/>
        </w:rPr>
        <w:t xml:space="preserve">közösségépítő tevékenységek a terület jelenlegi és jövőbeli bérlői/lakói részére </w:t>
      </w:r>
    </w:p>
    <w:p w:rsidR="00315841" w:rsidRDefault="007A23BB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714" w:hanging="357"/>
        <w:jc w:val="both"/>
      </w:pPr>
      <w:r>
        <w:rPr>
          <w:color w:val="000000"/>
        </w:rPr>
        <w:t>az IAT-akciókat érintő közös tervezési találkozók szervezése</w:t>
      </w:r>
    </w:p>
    <w:p w:rsidR="00315841" w:rsidRDefault="007A23BB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714" w:hanging="357"/>
        <w:jc w:val="both"/>
      </w:pPr>
      <w:r>
        <w:rPr>
          <w:color w:val="000000"/>
        </w:rPr>
        <w:t>párhuzamo</w:t>
      </w:r>
      <w:r>
        <w:rPr>
          <w:color w:val="000000"/>
        </w:rPr>
        <w:t>s tevékenységek koordinációja, szinergiák megteremtése</w:t>
      </w:r>
    </w:p>
    <w:p w:rsidR="00315841" w:rsidRDefault="007A23BB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714" w:hanging="357"/>
        <w:jc w:val="both"/>
      </w:pPr>
      <w:r>
        <w:rPr>
          <w:color w:val="000000"/>
        </w:rPr>
        <w:t>egymásnak ellentmondó kezdeményezések / funkciók közötti közvetítő szerep</w:t>
      </w:r>
    </w:p>
    <w:p w:rsidR="00315841" w:rsidRDefault="007A23BB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közösségi akciókra és kulturális rendezvényekre való évenkénti felhívás intézésében való közreműködés</w:t>
      </w:r>
    </w:p>
    <w:p w:rsidR="00315841" w:rsidRDefault="007A23BB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714" w:hanging="357"/>
        <w:jc w:val="both"/>
      </w:pPr>
      <w:r>
        <w:rPr>
          <w:color w:val="000000"/>
        </w:rPr>
        <w:t>az IAT céljainak kommunik</w:t>
      </w:r>
      <w:r>
        <w:rPr>
          <w:color w:val="000000"/>
        </w:rPr>
        <w:t>álása</w:t>
      </w:r>
    </w:p>
    <w:p w:rsidR="00315841" w:rsidRDefault="007A23BB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714" w:hanging="357"/>
        <w:jc w:val="both"/>
      </w:pPr>
      <w:r>
        <w:rPr>
          <w:color w:val="000000"/>
        </w:rPr>
        <w:t>az IAT megvalósításának monitoringozása és értékelése</w:t>
      </w:r>
    </w:p>
    <w:p w:rsidR="00315841" w:rsidRDefault="007A23BB">
      <w:r>
        <w:br w:type="page"/>
      </w:r>
    </w:p>
    <w:p w:rsidR="00315841" w:rsidRDefault="007A23BB">
      <w:pPr>
        <w:pStyle w:val="Cmsor1"/>
        <w:rPr>
          <w:b/>
        </w:rPr>
      </w:pPr>
      <w:bookmarkStart w:id="34" w:name="_23ckvvd" w:colFirst="0" w:colLast="0"/>
      <w:bookmarkEnd w:id="34"/>
      <w:r>
        <w:t>7. Fejezet / Monitoring tevékenység</w:t>
      </w:r>
    </w:p>
    <w:p w:rsidR="00315841" w:rsidRDefault="007A23BB">
      <w:pPr>
        <w:pStyle w:val="Cmsor2"/>
        <w:spacing w:after="240"/>
      </w:pPr>
      <w:bookmarkStart w:id="35" w:name="_ihv636" w:colFirst="0" w:colLast="0"/>
      <w:bookmarkEnd w:id="35"/>
      <w:r>
        <w:t>7.1 Várt társadalmi-gazdasági eredmények / hatások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Az IAT outputjainak monitoringozása során objektív verifikációs források kerülnek alkalmazásra, míg a folyamat (a kívánt eredmények szempontjából) objektív és szubjektív (kvalitatív) módszerek (pl. felmérések) vegyes alkalmazásának segítségével kerül monit</w:t>
      </w:r>
      <w:r>
        <w:rPr>
          <w:color w:val="000000"/>
        </w:rPr>
        <w:t>oringozásra és kiértékelésre. Az alábbi táblázatok az akciók 2. fejezetben tárgyalt outputjainak és eredményeinek indikátorait, az információk forrását és a monitoring tervezett gyakoriságát foglalják össze.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360"/>
        <w:jc w:val="both"/>
        <w:rPr>
          <w:color w:val="000000"/>
        </w:rPr>
      </w:pPr>
      <w:r>
        <w:rPr>
          <w:color w:val="000000"/>
        </w:rPr>
        <w:t>Szombathely város felmérésekkel és az eredmények</w:t>
      </w:r>
      <w:r>
        <w:rPr>
          <w:color w:val="000000"/>
        </w:rPr>
        <w:t xml:space="preserve"> terjesztésével vonja be az HTCS tagjait és az IAT célcsoportjait a folyamatba.</w:t>
      </w:r>
    </w:p>
    <w:tbl>
      <w:tblPr>
        <w:tblStyle w:val="afe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4714"/>
        <w:gridCol w:w="1684"/>
        <w:gridCol w:w="1332"/>
        <w:gridCol w:w="1332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714" w:type="dxa"/>
            <w:vAlign w:val="center"/>
          </w:tcPr>
          <w:p w:rsidR="00315841" w:rsidRDefault="007A23BB">
            <w:pPr>
              <w:keepNext/>
              <w:jc w:val="center"/>
            </w:pPr>
            <w:r>
              <w:rPr>
                <w:b w:val="0"/>
              </w:rPr>
              <w:t>Output-indikátor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keepNext/>
              <w:jc w:val="center"/>
            </w:pPr>
            <w:r>
              <w:rPr>
                <w:b w:val="0"/>
              </w:rPr>
              <w:t>Információ-</w:t>
            </w:r>
          </w:p>
          <w:p w:rsidR="00315841" w:rsidRDefault="007A23BB">
            <w:pPr>
              <w:keepNext/>
              <w:jc w:val="center"/>
            </w:pPr>
            <w:r>
              <w:rPr>
                <w:b w:val="0"/>
              </w:rPr>
              <w:t>forrás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keepNext/>
              <w:jc w:val="center"/>
            </w:pPr>
            <w:r>
              <w:rPr>
                <w:b w:val="0"/>
              </w:rPr>
              <w:t>Jelentés gyakorisága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keepNext/>
              <w:jc w:val="center"/>
            </w:pPr>
            <w:r>
              <w:rPr>
                <w:b w:val="0"/>
              </w:rPr>
              <w:t>2024-es cél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14" w:type="dxa"/>
            <w:vAlign w:val="center"/>
          </w:tcPr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Közösségi célra újrahasznosított terület négyzetméterben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Városi önkormányzati hivatal nyilvántartása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évente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keepNext/>
              <w:jc w:val="right"/>
            </w:pPr>
            <w:r>
              <w:t>12 600 m</w:t>
            </w:r>
            <w:r>
              <w:rPr>
                <w:vertAlign w:val="superscript"/>
              </w:rPr>
              <w:t>2</w:t>
            </w:r>
          </w:p>
        </w:tc>
      </w:tr>
      <w:tr w:rsidR="00315841" w:rsidTr="00315841">
        <w:tc>
          <w:tcPr>
            <w:tcW w:w="4714" w:type="dxa"/>
            <w:vAlign w:val="center"/>
          </w:tcPr>
          <w:p w:rsidR="00315841" w:rsidRDefault="007A23BB">
            <w:pPr>
              <w:keepNext/>
            </w:pPr>
            <w:r>
              <w:t>Befogadott civil szervezetek / művészek / művészeti csoportok / kreatív KKV-k száma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Az inkubátor/coworking terek működtetéséért felelős szervezet nyilvántartása/szerződései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évente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keepNext/>
              <w:jc w:val="right"/>
            </w:pPr>
            <w:r>
              <w:t>35 KKV</w:t>
            </w:r>
          </w:p>
          <w:p w:rsidR="00315841" w:rsidRDefault="007A23BB">
            <w:pPr>
              <w:keepNext/>
              <w:jc w:val="right"/>
            </w:pPr>
            <w:r>
              <w:t>10 NGO</w:t>
            </w:r>
          </w:p>
          <w:p w:rsidR="00315841" w:rsidRDefault="007A23BB">
            <w:pPr>
              <w:keepNext/>
              <w:jc w:val="right"/>
            </w:pPr>
            <w:r>
              <w:t>30 műv. csop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14" w:type="dxa"/>
            <w:vAlign w:val="center"/>
          </w:tcPr>
          <w:p w:rsidR="00315841" w:rsidRDefault="007A23BB">
            <w:r>
              <w:t>Irodák / co-working terek számára kialakított alapterület négyzetméterben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jc w:val="center"/>
            </w:pPr>
            <w:r>
              <w:t>Városi önkormányzati hivatal nyilvántartása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right"/>
            </w:pPr>
            <w:r>
              <w:t>2 600 m</w:t>
            </w:r>
            <w:r>
              <w:rPr>
                <w:vertAlign w:val="superscript"/>
              </w:rPr>
              <w:t>2</w:t>
            </w:r>
          </w:p>
        </w:tc>
      </w:tr>
      <w:tr w:rsidR="00315841" w:rsidTr="00315841">
        <w:tc>
          <w:tcPr>
            <w:tcW w:w="4714" w:type="dxa"/>
            <w:vAlign w:val="center"/>
          </w:tcPr>
          <w:p w:rsidR="00315841" w:rsidRDefault="007A23BB">
            <w:r>
              <w:t>Újrahasznosított / újra kialakított zöld közösségi terek mérete (A területen)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jc w:val="center"/>
            </w:pPr>
            <w:r>
              <w:t>SZOMPARK</w:t>
            </w:r>
          </w:p>
          <w:p w:rsidR="00315841" w:rsidRDefault="007A23BB">
            <w:pPr>
              <w:jc w:val="center"/>
            </w:pPr>
            <w:r>
              <w:t>(a város parkfenntartási intézmény</w:t>
            </w:r>
            <w:r>
              <w:t>e)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right"/>
            </w:pPr>
            <w:r>
              <w:t>8,6 ha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14" w:type="dxa"/>
            <w:vAlign w:val="center"/>
          </w:tcPr>
          <w:p w:rsidR="00315841" w:rsidRDefault="007A23BB">
            <w:r>
              <w:t>Múzeumi kiállítótérként létrehozott alapterület négyzetméterben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jc w:val="center"/>
            </w:pPr>
            <w:r>
              <w:t>Savaria Múzeum nyilvántartása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right"/>
            </w:pPr>
            <w:r>
              <w:t>600 m</w:t>
            </w:r>
            <w:r>
              <w:rPr>
                <w:vertAlign w:val="superscript"/>
              </w:rPr>
              <w:t>2</w:t>
            </w:r>
          </w:p>
        </w:tc>
      </w:tr>
      <w:tr w:rsidR="00315841" w:rsidTr="00315841">
        <w:tc>
          <w:tcPr>
            <w:tcW w:w="4714" w:type="dxa"/>
            <w:vAlign w:val="center"/>
          </w:tcPr>
          <w:p w:rsidR="00315841" w:rsidRDefault="007A23BB">
            <w:r>
              <w:t>Árusítóhelyek száma a szabadtéri helyitermék-piacon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jc w:val="center"/>
            </w:pPr>
            <w:r>
              <w:t>A Pannon Helyi Termék Klaszter (a piac működtetőjének) nyilvántartása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right"/>
            </w:pPr>
            <w:r>
              <w:t>30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14" w:type="dxa"/>
            <w:vAlign w:val="center"/>
          </w:tcPr>
          <w:p w:rsidR="00315841" w:rsidRDefault="007A23BB">
            <w:r>
              <w:t>Lakhatási célra újrahasznosított terület mérete négyzetméterben / aránya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jc w:val="center"/>
            </w:pPr>
            <w:r>
              <w:t>Városi önkormányzati hivatal nyilvántartása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right"/>
            </w:pPr>
            <w:r>
              <w:t>87 000 m</w:t>
            </w:r>
            <w:r>
              <w:rPr>
                <w:vertAlign w:val="superscript"/>
              </w:rPr>
              <w:t>2</w:t>
            </w:r>
          </w:p>
        </w:tc>
      </w:tr>
      <w:tr w:rsidR="00315841" w:rsidTr="00315841">
        <w:tc>
          <w:tcPr>
            <w:tcW w:w="4714" w:type="dxa"/>
            <w:vAlign w:val="center"/>
          </w:tcPr>
          <w:p w:rsidR="00315841" w:rsidRDefault="007A23BB">
            <w:r>
              <w:t>Sport, rekreációs és közösségi célra újrahasznosított terület mérete négyzetméterben / aránya (B területen)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jc w:val="center"/>
            </w:pPr>
            <w:r>
              <w:t>Városi ön</w:t>
            </w:r>
            <w:r>
              <w:t>kormányzati hivatal nyilvántartása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right"/>
            </w:pPr>
            <w:r>
              <w:t>25 000 m</w:t>
            </w:r>
            <w:r>
              <w:rPr>
                <w:vertAlign w:val="superscript"/>
              </w:rPr>
              <w:t>2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14" w:type="dxa"/>
            <w:vAlign w:val="center"/>
          </w:tcPr>
          <w:p w:rsidR="00315841" w:rsidRDefault="007A23BB">
            <w:r>
              <w:t>Közösségi kertek számára kialakított terek területe négyzetméterben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jc w:val="center"/>
            </w:pPr>
            <w:r>
              <w:t>Városi önkormányzati hivatal nyilvántartása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right"/>
            </w:pPr>
            <w:r>
              <w:t>3 000 m</w:t>
            </w:r>
            <w:r>
              <w:rPr>
                <w:vertAlign w:val="superscript"/>
              </w:rPr>
              <w:t>2</w:t>
            </w:r>
          </w:p>
        </w:tc>
      </w:tr>
      <w:tr w:rsidR="00315841" w:rsidTr="00315841">
        <w:tc>
          <w:tcPr>
            <w:tcW w:w="4714" w:type="dxa"/>
            <w:vAlign w:val="center"/>
          </w:tcPr>
          <w:p w:rsidR="00315841" w:rsidRDefault="007A23BB">
            <w:r>
              <w:t>A gyaloglás / kerékpározás céljára kialakított infrastruktúra hossza</w:t>
            </w:r>
          </w:p>
        </w:tc>
        <w:tc>
          <w:tcPr>
            <w:tcW w:w="1684" w:type="dxa"/>
            <w:vAlign w:val="center"/>
          </w:tcPr>
          <w:p w:rsidR="00315841" w:rsidRDefault="007A23BB">
            <w:pPr>
              <w:jc w:val="center"/>
            </w:pPr>
            <w:r>
              <w:t>Városi önkormányzati hivatal nyilvántartása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32" w:type="dxa"/>
            <w:vAlign w:val="center"/>
          </w:tcPr>
          <w:p w:rsidR="00315841" w:rsidRDefault="007A23BB">
            <w:pPr>
              <w:jc w:val="right"/>
            </w:pPr>
            <w:r>
              <w:t>5 km</w:t>
            </w:r>
          </w:p>
        </w:tc>
      </w:tr>
    </w:tbl>
    <w:p w:rsidR="00315841" w:rsidRDefault="00315841">
      <w:pPr>
        <w:spacing w:after="0"/>
      </w:pPr>
    </w:p>
    <w:tbl>
      <w:tblPr>
        <w:tblStyle w:val="aff"/>
        <w:tblW w:w="9062" w:type="dxa"/>
        <w:tblInd w:w="0" w:type="dxa"/>
        <w:tblBorders>
          <w:top w:val="single" w:sz="4" w:space="0" w:color="DBE6B6"/>
          <w:left w:val="single" w:sz="4" w:space="0" w:color="DBE6B6"/>
          <w:bottom w:val="single" w:sz="4" w:space="0" w:color="DBE6B6"/>
          <w:right w:val="single" w:sz="4" w:space="0" w:color="DBE6B6"/>
          <w:insideH w:val="single" w:sz="4" w:space="0" w:color="DBE6B6"/>
          <w:insideV w:val="single" w:sz="4" w:space="0" w:color="DBE6B6"/>
        </w:tblBorders>
        <w:tblLayout w:type="fixed"/>
        <w:tblLook w:val="0420" w:firstRow="1" w:lastRow="0" w:firstColumn="0" w:lastColumn="0" w:noHBand="0" w:noVBand="1"/>
      </w:tblPr>
      <w:tblGrid>
        <w:gridCol w:w="4724"/>
        <w:gridCol w:w="1698"/>
        <w:gridCol w:w="1321"/>
        <w:gridCol w:w="1319"/>
      </w:tblGrid>
      <w:tr w:rsidR="00315841" w:rsidTr="00315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724" w:type="dxa"/>
            <w:vAlign w:val="center"/>
          </w:tcPr>
          <w:p w:rsidR="00315841" w:rsidRDefault="007A23BB">
            <w:pPr>
              <w:keepNext/>
              <w:jc w:val="center"/>
            </w:pPr>
            <w:r>
              <w:rPr>
                <w:b w:val="0"/>
              </w:rPr>
              <w:t>Eredményindikátor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keepNext/>
              <w:jc w:val="center"/>
            </w:pPr>
            <w:r>
              <w:rPr>
                <w:b w:val="0"/>
              </w:rPr>
              <w:t>Információ-</w:t>
            </w:r>
          </w:p>
          <w:p w:rsidR="00315841" w:rsidRDefault="007A23BB">
            <w:pPr>
              <w:keepNext/>
              <w:jc w:val="center"/>
            </w:pPr>
            <w:r>
              <w:rPr>
                <w:b w:val="0"/>
              </w:rPr>
              <w:t>forrás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keepNext/>
              <w:jc w:val="center"/>
            </w:pPr>
            <w:r>
              <w:rPr>
                <w:b w:val="0"/>
              </w:rPr>
              <w:t>Monitoring gyakorisága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keepNext/>
              <w:jc w:val="center"/>
            </w:pPr>
            <w:r>
              <w:rPr>
                <w:b w:val="0"/>
              </w:rPr>
              <w:t>2024-es cél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24" w:type="dxa"/>
            <w:vAlign w:val="center"/>
          </w:tcPr>
          <w:p w:rsidR="00315841" w:rsidRDefault="007A23BB">
            <w:pPr>
              <w:keepNext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13"/>
              <w:contextualSpacing/>
            </w:pPr>
            <w:r>
              <w:rPr>
                <w:color w:val="000000"/>
              </w:rPr>
              <w:t>Az új városközponti funkciókat használó lakosok száma /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200" w:line="276" w:lineRule="auto"/>
              <w:ind w:left="312" w:hanging="720"/>
              <w:rPr>
                <w:color w:val="000000"/>
              </w:rPr>
            </w:pPr>
            <w:r>
              <w:rPr>
                <w:color w:val="000000"/>
              </w:rPr>
              <w:t>Elégedettségi ráta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Online felmérés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évente, a terület megnyitása után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50 000</w:t>
            </w:r>
          </w:p>
          <w:p w:rsidR="00315841" w:rsidRDefault="007A23BB">
            <w:pPr>
              <w:keepNext/>
              <w:jc w:val="center"/>
            </w:pPr>
            <w:r>
              <w:t>Jó / 4</w:t>
            </w:r>
            <w:r>
              <w:br/>
              <w:t>(5-ös skálán)</w:t>
            </w:r>
          </w:p>
        </w:tc>
      </w:tr>
      <w:tr w:rsidR="00315841" w:rsidTr="00315841">
        <w:tc>
          <w:tcPr>
            <w:tcW w:w="4724" w:type="dxa"/>
            <w:vAlign w:val="center"/>
          </w:tcPr>
          <w:p w:rsidR="00315841" w:rsidRDefault="007A23BB">
            <w:pPr>
              <w:keepNext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13"/>
              <w:contextualSpacing/>
              <w:rPr>
                <w:color w:val="000000"/>
              </w:rPr>
            </w:pPr>
            <w:r>
              <w:rPr>
                <w:color w:val="000000"/>
              </w:rPr>
              <w:t>Helyi civil szervezetek és társadalmi csoportok aktivitási rátája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Online felmérés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évente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+10%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24" w:type="dxa"/>
            <w:vAlign w:val="center"/>
          </w:tcPr>
          <w:p w:rsidR="00315841" w:rsidRDefault="007A23BB">
            <w:pPr>
              <w:keepNext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13"/>
              <w:contextualSpacing/>
              <w:rPr>
                <w:color w:val="000000"/>
              </w:rPr>
            </w:pPr>
            <w:r>
              <w:rPr>
                <w:color w:val="000000"/>
              </w:rPr>
              <w:t>Művészek és kreatív KKV-k közötti együttműködések, kulturális együttműködések száma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Online felmérés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évente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30</w:t>
            </w:r>
          </w:p>
        </w:tc>
      </w:tr>
      <w:tr w:rsidR="00315841" w:rsidTr="00315841">
        <w:tc>
          <w:tcPr>
            <w:tcW w:w="4724" w:type="dxa"/>
            <w:vAlign w:val="center"/>
          </w:tcPr>
          <w:p w:rsidR="00315841" w:rsidRDefault="007A23BB">
            <w:pPr>
              <w:keepNext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13"/>
              <w:contextualSpacing/>
              <w:rPr>
                <w:color w:val="000000"/>
              </w:rPr>
            </w:pPr>
            <w:r>
              <w:rPr>
                <w:color w:val="000000"/>
              </w:rPr>
              <w:t>Események látogatottsága (közösség, kultúra)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A rendezvényszervezők beszámolói</w:t>
            </w:r>
          </w:p>
        </w:tc>
        <w:tc>
          <w:tcPr>
            <w:tcW w:w="1321" w:type="dxa"/>
            <w:vAlign w:val="center"/>
          </w:tcPr>
          <w:p w:rsidR="00315841" w:rsidRDefault="00315841">
            <w:pPr>
              <w:keepNext/>
              <w:jc w:val="center"/>
            </w:pPr>
          </w:p>
        </w:tc>
        <w:tc>
          <w:tcPr>
            <w:tcW w:w="1319" w:type="dxa"/>
            <w:vAlign w:val="center"/>
          </w:tcPr>
          <w:p w:rsidR="00315841" w:rsidRDefault="007A23BB">
            <w:pPr>
              <w:keepNext/>
              <w:jc w:val="center"/>
            </w:pPr>
            <w:r>
              <w:t>20 000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24" w:type="dxa"/>
            <w:vAlign w:val="center"/>
          </w:tcPr>
          <w:p w:rsidR="00315841" w:rsidRDefault="007A23BB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13"/>
              <w:contextualSpacing/>
              <w:rPr>
                <w:color w:val="000000"/>
              </w:rPr>
            </w:pPr>
            <w:r>
              <w:rPr>
                <w:color w:val="000000"/>
              </w:rPr>
              <w:t>A terület kulturális öröksége iránti felkeltett figyelem (felmérés)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jc w:val="center"/>
            </w:pPr>
            <w:r>
              <w:t>Online felmérés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jc w:val="center"/>
            </w:pPr>
            <w:r>
              <w:t>+20%</w:t>
            </w:r>
          </w:p>
        </w:tc>
      </w:tr>
      <w:tr w:rsidR="00315841" w:rsidTr="00315841">
        <w:tc>
          <w:tcPr>
            <w:tcW w:w="4724" w:type="dxa"/>
            <w:vAlign w:val="center"/>
          </w:tcPr>
          <w:p w:rsidR="00315841" w:rsidRDefault="007A23BB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13"/>
              <w:contextualSpacing/>
              <w:rPr>
                <w:color w:val="000000"/>
              </w:rPr>
            </w:pPr>
            <w:r>
              <w:rPr>
                <w:color w:val="000000"/>
              </w:rPr>
              <w:t>A múzeum látogatóinak a száma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jc w:val="center"/>
            </w:pPr>
            <w:r>
              <w:t>Savaria Múzeum nyilvántartása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jc w:val="center"/>
            </w:pPr>
            <w:r>
              <w:t>15 000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24" w:type="dxa"/>
            <w:vAlign w:val="center"/>
          </w:tcPr>
          <w:p w:rsidR="00315841" w:rsidRDefault="007A23BB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13"/>
              <w:contextualSpacing/>
              <w:rPr>
                <w:color w:val="000000"/>
              </w:rPr>
            </w:pPr>
            <w:r>
              <w:rPr>
                <w:color w:val="000000"/>
              </w:rPr>
              <w:t>Helyi termékeket árusító árusok száma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jc w:val="center"/>
            </w:pPr>
            <w:r>
              <w:t>A Pannon Helyi Termék Klaszter (a piac működtetőjének) nyilvántartása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jc w:val="center"/>
            </w:pPr>
            <w:r>
              <w:t>30</w:t>
            </w:r>
          </w:p>
        </w:tc>
      </w:tr>
      <w:tr w:rsidR="00315841" w:rsidTr="00315841">
        <w:tc>
          <w:tcPr>
            <w:tcW w:w="4724" w:type="dxa"/>
            <w:vAlign w:val="center"/>
          </w:tcPr>
          <w:p w:rsidR="00315841" w:rsidRDefault="007A23BB">
            <w:pPr>
              <w:keepNext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ind w:left="313"/>
            </w:pPr>
            <w:r>
              <w:rPr>
                <w:color w:val="000000"/>
              </w:rPr>
              <w:t xml:space="preserve">A területen lakó személyek száma (családok száma) / </w:t>
            </w:r>
          </w:p>
          <w:p w:rsidR="00315841" w:rsidRDefault="007A23BB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ind w:left="313"/>
              <w:rPr>
                <w:color w:val="000000"/>
              </w:rPr>
            </w:pPr>
            <w:r>
              <w:rPr>
                <w:color w:val="000000"/>
              </w:rPr>
              <w:t>Elégedettségi arány (felmérés)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jc w:val="center"/>
            </w:pPr>
            <w:r>
              <w:t>Városi önkormányzati hivatal nyilvántartása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jc w:val="center"/>
            </w:pPr>
            <w:r>
              <w:t>750 fő / 250 család</w:t>
            </w:r>
          </w:p>
          <w:p w:rsidR="00315841" w:rsidRDefault="007A23BB">
            <w:pPr>
              <w:jc w:val="center"/>
            </w:pPr>
            <w:r>
              <w:t>Jó / 4</w:t>
            </w:r>
            <w:r>
              <w:br/>
              <w:t>(5-ös skálán)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24" w:type="dxa"/>
            <w:vAlign w:val="center"/>
          </w:tcPr>
          <w:p w:rsidR="00315841" w:rsidRDefault="007A23BB">
            <w:pPr>
              <w:keepNext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6" w:lineRule="auto"/>
              <w:ind w:left="313"/>
            </w:pPr>
            <w:r>
              <w:rPr>
                <w:color w:val="000000"/>
              </w:rPr>
              <w:t>Új sport- és rekreációs helyszíneket használó városlakók aránya /</w:t>
            </w:r>
          </w:p>
          <w:p w:rsidR="00315841" w:rsidRDefault="007A23B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13" w:hanging="720"/>
              <w:rPr>
                <w:color w:val="000000"/>
              </w:rPr>
            </w:pPr>
            <w:r>
              <w:rPr>
                <w:color w:val="000000"/>
              </w:rPr>
              <w:t>Elégedettségi arány (felmérés)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jc w:val="center"/>
            </w:pPr>
            <w:r>
              <w:t>Online felmérés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jc w:val="center"/>
            </w:pPr>
            <w:r>
              <w:t>80%</w:t>
            </w:r>
          </w:p>
          <w:p w:rsidR="00315841" w:rsidRDefault="007A23BB">
            <w:pPr>
              <w:jc w:val="center"/>
            </w:pPr>
            <w:r>
              <w:t>Jó / 4</w:t>
            </w:r>
            <w:r>
              <w:br/>
              <w:t>(5-ös skálán)</w:t>
            </w:r>
          </w:p>
        </w:tc>
      </w:tr>
      <w:tr w:rsidR="00315841" w:rsidTr="00315841">
        <w:tc>
          <w:tcPr>
            <w:tcW w:w="4724" w:type="dxa"/>
            <w:vAlign w:val="center"/>
          </w:tcPr>
          <w:p w:rsidR="00315841" w:rsidRDefault="007A23BB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13"/>
              <w:contextualSpacing/>
              <w:rPr>
                <w:color w:val="000000"/>
              </w:rPr>
            </w:pPr>
            <w:r>
              <w:rPr>
                <w:color w:val="000000"/>
              </w:rPr>
              <w:t>A közösségi kertészkedésbe bevont háztartások száma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jc w:val="center"/>
            </w:pPr>
            <w:r>
              <w:t>Online felmérés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jc w:val="center"/>
            </w:pPr>
            <w:r>
              <w:t>évente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jc w:val="center"/>
            </w:pPr>
            <w:r>
              <w:t>50</w:t>
            </w:r>
          </w:p>
        </w:tc>
      </w:tr>
      <w:tr w:rsidR="00315841" w:rsidTr="00315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724" w:type="dxa"/>
            <w:vAlign w:val="center"/>
          </w:tcPr>
          <w:p w:rsidR="00315841" w:rsidRDefault="007A23BB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13"/>
              <w:contextualSpacing/>
              <w:rPr>
                <w:color w:val="000000"/>
              </w:rPr>
            </w:pPr>
            <w:r>
              <w:rPr>
                <w:color w:val="000000"/>
              </w:rPr>
              <w:t>Az aktív mobilitás (gyaloglás, kerékpározás) modális részaránya a projektterületen</w:t>
            </w:r>
          </w:p>
        </w:tc>
        <w:tc>
          <w:tcPr>
            <w:tcW w:w="1698" w:type="dxa"/>
            <w:vAlign w:val="center"/>
          </w:tcPr>
          <w:p w:rsidR="00315841" w:rsidRDefault="007A23BB">
            <w:pPr>
              <w:jc w:val="center"/>
            </w:pPr>
            <w:r>
              <w:t>Városi önkormányzati hivatal felmérése</w:t>
            </w:r>
          </w:p>
        </w:tc>
        <w:tc>
          <w:tcPr>
            <w:tcW w:w="1321" w:type="dxa"/>
            <w:vAlign w:val="center"/>
          </w:tcPr>
          <w:p w:rsidR="00315841" w:rsidRDefault="007A23BB">
            <w:pPr>
              <w:jc w:val="center"/>
            </w:pPr>
            <w:r>
              <w:t>kétévente</w:t>
            </w:r>
          </w:p>
        </w:tc>
        <w:tc>
          <w:tcPr>
            <w:tcW w:w="1319" w:type="dxa"/>
            <w:vAlign w:val="center"/>
          </w:tcPr>
          <w:p w:rsidR="00315841" w:rsidRDefault="007A23BB">
            <w:pPr>
              <w:jc w:val="center"/>
            </w:pPr>
            <w:r>
              <w:t>40% gyalog</w:t>
            </w:r>
          </w:p>
          <w:p w:rsidR="00315841" w:rsidRDefault="007A23BB">
            <w:pPr>
              <w:jc w:val="center"/>
            </w:pPr>
            <w:r>
              <w:t>25% kerékpár</w:t>
            </w:r>
          </w:p>
        </w:tc>
      </w:tr>
    </w:tbl>
    <w:p w:rsidR="00315841" w:rsidRDefault="007A23BB">
      <w:pPr>
        <w:pStyle w:val="Cmsor2"/>
        <w:spacing w:before="360" w:after="240"/>
      </w:pPr>
      <w:bookmarkStart w:id="36" w:name="_32hioqz" w:colFirst="0" w:colLast="0"/>
      <w:bookmarkEnd w:id="36"/>
      <w:r>
        <w:t>7.2 Működtetéssel kapcsolatos egyéb információk</w:t>
      </w:r>
    </w:p>
    <w:p w:rsidR="00315841" w:rsidRDefault="007A23BB">
      <w:pPr>
        <w:spacing w:after="0"/>
        <w:jc w:val="both"/>
      </w:pPr>
      <w:r>
        <w:t>Minden további releváns információ a tervezési típusú akciók és a megvalósítás során merül majd fel, és az akciók / célok tartalmának és az IAT ütemtervének felülvizsgálatához vezethet.</w:t>
      </w:r>
    </w:p>
    <w:p w:rsidR="00315841" w:rsidRDefault="007A23BB">
      <w:pPr>
        <w:spacing w:after="0"/>
        <w:jc w:val="both"/>
      </w:pPr>
      <w:r>
        <w:t>Az inputokról (tervek, engedélyek, költségvetés) szóló információkat s</w:t>
      </w:r>
      <w:r>
        <w:t>zintén szükséges monitoringozni, és az HTCS-vel megosztani.</w:t>
      </w:r>
    </w:p>
    <w:p w:rsidR="00315841" w:rsidRDefault="007A23BB">
      <w:pPr>
        <w:pStyle w:val="Cmsor2"/>
        <w:spacing w:before="360" w:after="120"/>
      </w:pPr>
      <w:bookmarkStart w:id="37" w:name="_1hmsyys" w:colFirst="0" w:colLast="0"/>
      <w:bookmarkEnd w:id="37"/>
      <w:r>
        <w:t xml:space="preserve">7.3 Az HTCS önértékelése </w:t>
      </w:r>
    </w:p>
    <w:p w:rsidR="00315841" w:rsidRDefault="007A23BB">
      <w:pPr>
        <w:spacing w:before="120" w:after="120"/>
        <w:jc w:val="both"/>
      </w:pPr>
      <w:r>
        <w:t>Jövőbeli működésének részeként az HTCS rendszeres önértékelést hajt végre, az URBACT által nyújtott eszközök segítségével. Ez a művelet kapcsolódni fog az IAT outputjaina</w:t>
      </w:r>
      <w:r>
        <w:t>k / eredményeinek fent leírt monitoringjához és a következő témákra fog kiterjedni:</w:t>
      </w:r>
    </w:p>
    <w:p w:rsidR="00315841" w:rsidRDefault="007A23BB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ind w:left="760" w:hanging="357"/>
        <w:contextualSpacing/>
        <w:jc w:val="both"/>
        <w:rPr>
          <w:color w:val="000000"/>
        </w:rPr>
      </w:pPr>
      <w:r>
        <w:rPr>
          <w:color w:val="000000"/>
        </w:rPr>
        <w:t xml:space="preserve">az IAT tervezett tartalmától és ütemtervétől való eltérések monitoringozása és értékelése </w:t>
      </w:r>
    </w:p>
    <w:p w:rsidR="00315841" w:rsidRDefault="007A23BB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ind w:left="760" w:hanging="357"/>
        <w:contextualSpacing/>
        <w:jc w:val="both"/>
        <w:rPr>
          <w:color w:val="000000"/>
        </w:rPr>
      </w:pPr>
      <w:r>
        <w:rPr>
          <w:color w:val="000000"/>
        </w:rPr>
        <w:t>a helyi / térségi szereplők bevonása és kapacitása az IAT-tal összhangban lévő akciók tervezése és megvalósítása céljából</w:t>
      </w:r>
    </w:p>
    <w:p w:rsidR="00315841" w:rsidRDefault="007A23BB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before="0" w:after="120"/>
        <w:ind w:left="760" w:hanging="357"/>
        <w:contextualSpacing/>
        <w:jc w:val="both"/>
        <w:rPr>
          <w:color w:val="000000"/>
        </w:rPr>
      </w:pPr>
      <w:r>
        <w:rPr>
          <w:color w:val="000000"/>
        </w:rPr>
        <w:t>az IAT-ot érintő lehetséges korrekciós intézkedések vagy változtatások azonosítása</w:t>
      </w:r>
    </w:p>
    <w:p w:rsidR="00315841" w:rsidRDefault="007A23BB">
      <w:pPr>
        <w:spacing w:after="0"/>
        <w:jc w:val="both"/>
      </w:pPr>
      <w:r>
        <w:t xml:space="preserve">Az HTCS a csoport Facebook-oldala és a nyílt napok </w:t>
      </w:r>
      <w:r>
        <w:t xml:space="preserve">segítségével gyűjt visszajelzéseket az IAT megvalósulásának folyamatáról arra fogja </w:t>
      </w:r>
    </w:p>
    <w:p w:rsidR="00315841" w:rsidRDefault="007A23BB">
      <w:pPr>
        <w:spacing w:after="0"/>
        <w:jc w:val="both"/>
      </w:pPr>
      <w:r>
        <w:t>Az HTCS a saját tevékenysége révén a következő területeken tud Szombathely városának a segítségére lenni:</w:t>
      </w:r>
    </w:p>
    <w:p w:rsidR="00315841" w:rsidRDefault="007A23BB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/>
        <w:contextualSpacing/>
        <w:jc w:val="both"/>
      </w:pPr>
      <w:r>
        <w:rPr>
          <w:color w:val="000000"/>
        </w:rPr>
        <w:t>Döntéselőkészítés – különböző témák megvitatása a szélesebb közönséggel</w:t>
      </w:r>
    </w:p>
    <w:p w:rsidR="00315841" w:rsidRDefault="007A23BB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az IAT megvalósulási folyamatának részvételi monitoringozása és értékelése, visszacsatolás a döntéshozók számára</w:t>
      </w:r>
    </w:p>
    <w:p w:rsidR="00315841" w:rsidRDefault="007A23BB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contextualSpacing/>
        <w:jc w:val="both"/>
      </w:pPr>
      <w:r>
        <w:rPr>
          <w:color w:val="000000"/>
        </w:rPr>
        <w:t>szélesebb közönség elérése a kommunikációs tevékenység révén</w:t>
      </w:r>
    </w:p>
    <w:p w:rsidR="00315841" w:rsidRDefault="007A23BB">
      <w:r>
        <w:br w:type="page"/>
      </w:r>
    </w:p>
    <w:p w:rsidR="00315841" w:rsidRDefault="007A23BB">
      <w:pPr>
        <w:pStyle w:val="Cmsor1"/>
      </w:pPr>
      <w:bookmarkStart w:id="38" w:name="_41mghml" w:colFirst="0" w:colLast="0"/>
      <w:bookmarkEnd w:id="38"/>
      <w:r>
        <w:t>8. Fejez</w:t>
      </w:r>
      <w:r>
        <w:t>et / Kommunikáció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before="240" w:after="0"/>
        <w:jc w:val="both"/>
        <w:rPr>
          <w:color w:val="000000"/>
        </w:rPr>
      </w:pPr>
      <w:r>
        <w:rPr>
          <w:color w:val="000000"/>
        </w:rPr>
        <w:t>Minden kommunikációs stratégia célja az, hogy releváns információkat juttasson el azokhoz a releváns érintettekhez és résztvevőkhöz, akiknek érdeke fűződik az IAT-hoz, és az abban megfogalmazott ötletekhez. Kihívást jelent annak a kommuni</w:t>
      </w:r>
      <w:r>
        <w:rPr>
          <w:color w:val="000000"/>
        </w:rPr>
        <w:t>kálása, hogy az IAT milyen célt kíván elérni a kommunikációs eszközrendszere révén, amelynek része az internet használata, a közösségi média, a helyi újság és rádió, a nyilvános információs napok és műhelytalálkozók, és végül a négyszemközti kommunikáció a</w:t>
      </w:r>
      <w:r>
        <w:rPr>
          <w:color w:val="000000"/>
        </w:rPr>
        <w:t>zokkal az érintettekkel és résztvevőkkel, akik szerintünk a témánk szempontjából a legnagyobb értékkel és befolyással bírnak. A terület tulajdonosaként Szombathely városa lesz felelős az IAT kommunikációjáért. Eseti döntések alapján a belső HTCS és más HTC</w:t>
      </w:r>
      <w:r>
        <w:rPr>
          <w:color w:val="000000"/>
        </w:rPr>
        <w:t>S-tagok bevonásra kerülnek a konkrét akciókhoz kötődő kommunikációs tevékenységekbe. Mivel az HTCS kulcsszereplő volt az IAT kidolgozása során, így a népszerűsítésnek és terjesztésnek is hatékony eszköze lehet.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</w:rPr>
      </w:pPr>
      <w:r>
        <w:rPr>
          <w:color w:val="000000"/>
        </w:rPr>
        <w:t>A kommunikációs csatornák két fő típusát lehet megkülönböztetni:</w:t>
      </w:r>
    </w:p>
    <w:p w:rsidR="00315841" w:rsidRDefault="007A23BB">
      <w:pPr>
        <w:spacing w:before="360" w:after="0"/>
        <w:jc w:val="both"/>
        <w:rPr>
          <w:smallCaps/>
          <w:color w:val="073762"/>
        </w:rPr>
      </w:pPr>
      <w:r>
        <w:rPr>
          <w:smallCaps/>
          <w:color w:val="073762"/>
        </w:rPr>
        <w:t>Külső kommunikáció</w:t>
      </w:r>
    </w:p>
    <w:p w:rsidR="00315841" w:rsidRDefault="007A23BB">
      <w:pPr>
        <w:spacing w:after="0"/>
        <w:jc w:val="both"/>
      </w:pPr>
      <w:r>
        <w:t>Az HTCS-tagok és a szélesebb helyi közönség között: a lakosok tájékoztatása az HTCS munkájáról, az IAT tartalmáról és a megvalósítás előre haladásáról, továbbá inputok, vél</w:t>
      </w:r>
      <w:r>
        <w:t>emények gyűjtése. A célcsoport a város összes lakója, a fókuszban azokkal, akik terület közelében élnek, dolgoznak és tanulnak, valamint a fiatal korosztály. Az HTCS a 3.4 pontban (Az érintettek bevonásának módszerei) foglaltak szerint kívánja végezni a te</w:t>
      </w:r>
      <w:r>
        <w:t>vékenységét. A közösségi média lesz a kommunikáció fő csatornája, elsősorban a Facebook. Ezek az eszközök azt a célt fogják szolgálni, hogy tájékoztatást adjanak az akciók megvalósításáról és hogy folyamatosan növelhető legyen az érdekelteknek az IAT megva</w:t>
      </w:r>
      <w:r>
        <w:t>lósításába történő bevonásának mértéke. Az egyes akciók szintjén: kommunikációs tevékenységre is szükség van a részletes tervezés (pl. együtt-alkotási találkozók a résztvevőkkel és érintettekkel, célcsoportokkal) és a megvalósítás során. A figyelemfelhívás</w:t>
      </w:r>
      <w:r>
        <w:t xml:space="preserve"> és bevonás mértékének növelése érdekében az egyes akciók során megvalósított kommunikációs tevékenységeknek tehát – amennyire lehet – interaktívnak kell lennie.</w:t>
      </w:r>
    </w:p>
    <w:p w:rsidR="00315841" w:rsidRDefault="007A23BB">
      <w:pPr>
        <w:spacing w:before="240" w:after="0"/>
        <w:jc w:val="both"/>
      </w:pPr>
      <w:r>
        <w:rPr>
          <w:smallCaps/>
          <w:color w:val="073762"/>
        </w:rPr>
        <w:t>Belső kommunikáció</w:t>
      </w:r>
      <w:r>
        <w:t xml:space="preserve"> </w:t>
      </w:r>
    </w:p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</w:rPr>
      </w:pPr>
      <w:r>
        <w:rPr>
          <w:color w:val="000000"/>
        </w:rPr>
        <w:t>Az HTCS-tagok között: az HTCS-tagok aktivitása úgy érhető el, ha motiválta</w:t>
      </w:r>
      <w:r>
        <w:rPr>
          <w:color w:val="000000"/>
        </w:rPr>
        <w:t>k a közös munkában, és ha konkrétak a szerepek az akciók tervezése és megvalósítása terén. HTCS-találkozókat ezért rendszeres időközönként kell tartani, az akciók és a következő lépések megvitatása, valamint az IAT előre haladásának monitoringozása érdekéb</w:t>
      </w:r>
      <w:r>
        <w:rPr>
          <w:color w:val="000000"/>
        </w:rPr>
        <w:t>en.</w:t>
      </w:r>
    </w:p>
    <w:sectPr w:rsidR="00315841">
      <w:type w:val="continuous"/>
      <w:pgSz w:w="11906" w:h="16838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7A23BB">
      <w:pPr>
        <w:spacing w:before="0" w:after="0" w:line="240" w:lineRule="auto"/>
      </w:pPr>
      <w:r>
        <w:separator/>
      </w:r>
    </w:p>
  </w:endnote>
  <w:endnote w:type="continuationSeparator" w:id="0">
    <w:p w:rsidR="00000000" w:rsidRDefault="007A23B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5841" w:rsidRDefault="007A23BB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noProof/>
        <w:color w:val="000000"/>
      </w:rPr>
      <w:t>1</w:t>
    </w:r>
    <w:r>
      <w:rPr>
        <w:color w:val="000000"/>
      </w:rPr>
      <w:fldChar w:fldCharType="end"/>
    </w:r>
  </w:p>
  <w:p w:rsidR="00315841" w:rsidRDefault="00315841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7A23BB">
      <w:pPr>
        <w:spacing w:before="0" w:after="0" w:line="240" w:lineRule="auto"/>
      </w:pPr>
      <w:r>
        <w:separator/>
      </w:r>
    </w:p>
  </w:footnote>
  <w:footnote w:type="continuationSeparator" w:id="0">
    <w:p w:rsidR="00000000" w:rsidRDefault="007A23BB">
      <w:pPr>
        <w:spacing w:before="0" w:after="0" w:line="240" w:lineRule="auto"/>
      </w:pPr>
      <w:r>
        <w:continuationSeparator/>
      </w:r>
    </w:p>
  </w:footnote>
  <w:footnote w:id="1">
    <w:p w:rsidR="00315841" w:rsidRDefault="007A23B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</w:rPr>
      </w:pPr>
      <w:r>
        <w:rPr>
          <w:vertAlign w:val="superscript"/>
        </w:rPr>
        <w:footnoteRef/>
      </w:r>
      <w:r>
        <w:rPr>
          <w:rFonts w:ascii="Calibri" w:eastAsia="Calibri" w:hAnsi="Calibri" w:cs="Calibri"/>
          <w:color w:val="000000"/>
        </w:rPr>
        <w:t xml:space="preserve"> Kiss Attila: A tudatos városfejlesztés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5841" w:rsidRDefault="007A23B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rFonts w:ascii="Calibri" w:eastAsia="Calibri" w:hAnsi="Calibri" w:cs="Calibri"/>
        <w:color w:val="000000"/>
      </w:rPr>
    </w:pPr>
    <w:r>
      <w:rPr>
        <w:rFonts w:ascii="Calibri" w:eastAsia="Calibri" w:hAnsi="Calibri" w:cs="Calibri"/>
        <w:color w:val="000000"/>
      </w:rPr>
      <w:tab/>
    </w:r>
    <w:r>
      <w:rPr>
        <w:rFonts w:ascii="Calibri" w:eastAsia="Calibri" w:hAnsi="Calibri" w:cs="Calibri"/>
        <w:color w:val="000000"/>
      </w:rPr>
      <w:tab/>
    </w:r>
  </w:p>
  <w:p w:rsidR="00315841" w:rsidRDefault="00315841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rFonts w:ascii="Calibri" w:eastAsia="Calibri" w:hAnsi="Calibri" w:cs="Calibri"/>
        <w:color w:val="00000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6B51F6"/>
    <w:multiLevelType w:val="multilevel"/>
    <w:tmpl w:val="3D8E059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57163E3"/>
    <w:multiLevelType w:val="multilevel"/>
    <w:tmpl w:val="B2226A0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62A2B76"/>
    <w:multiLevelType w:val="multilevel"/>
    <w:tmpl w:val="14E60EC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F5C7D70"/>
    <w:multiLevelType w:val="multilevel"/>
    <w:tmpl w:val="030AFFB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11923071"/>
    <w:multiLevelType w:val="multilevel"/>
    <w:tmpl w:val="22FEC6F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5701393"/>
    <w:multiLevelType w:val="multilevel"/>
    <w:tmpl w:val="242E7CF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23DD7CD3"/>
    <w:multiLevelType w:val="multilevel"/>
    <w:tmpl w:val="09F445F8"/>
    <w:lvl w:ilvl="0">
      <w:start w:val="1"/>
      <w:numFmt w:val="bullet"/>
      <w:lvlText w:val="●"/>
      <w:lvlJc w:val="left"/>
      <w:pPr>
        <w:ind w:left="765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85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0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2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45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6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8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05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25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2470240B"/>
    <w:multiLevelType w:val="multilevel"/>
    <w:tmpl w:val="0AE42EC4"/>
    <w:lvl w:ilvl="0">
      <w:start w:val="1"/>
      <w:numFmt w:val="bullet"/>
      <w:lvlText w:val="▪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26721490"/>
    <w:multiLevelType w:val="multilevel"/>
    <w:tmpl w:val="FB3AA1E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720" w:hanging="360"/>
      </w:p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080" w:hanging="72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1800" w:hanging="1440"/>
      </w:pPr>
    </w:lvl>
    <w:lvl w:ilvl="8">
      <w:start w:val="1"/>
      <w:numFmt w:val="decimal"/>
      <w:lvlText w:val="%1.%2.%3.%4.%5.%6.%7.%8.%9"/>
      <w:lvlJc w:val="left"/>
      <w:pPr>
        <w:ind w:left="1800" w:hanging="1440"/>
      </w:pPr>
    </w:lvl>
  </w:abstractNum>
  <w:abstractNum w:abstractNumId="9" w15:restartNumberingAfterBreak="0">
    <w:nsid w:val="27EF48D6"/>
    <w:multiLevelType w:val="multilevel"/>
    <w:tmpl w:val="DE0ACB2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2B4356E3"/>
    <w:multiLevelType w:val="multilevel"/>
    <w:tmpl w:val="37EE259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2CBD1009"/>
    <w:multiLevelType w:val="multilevel"/>
    <w:tmpl w:val="D66A365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lvlText w:val="%1.%2.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1"/>
      <w:numFmt w:val="decimal"/>
      <w:lvlText w:val="%1.%2.%3.%4."/>
      <w:lvlJc w:val="left"/>
      <w:pPr>
        <w:ind w:left="1080" w:hanging="720"/>
      </w:pPr>
    </w:lvl>
    <w:lvl w:ilvl="4">
      <w:start w:val="1"/>
      <w:numFmt w:val="decimal"/>
      <w:lvlText w:val="%1.%2.%3.%4.%5."/>
      <w:lvlJc w:val="left"/>
      <w:pPr>
        <w:ind w:left="1440" w:hanging="1080"/>
      </w:pPr>
    </w:lvl>
    <w:lvl w:ilvl="5">
      <w:start w:val="1"/>
      <w:numFmt w:val="decimal"/>
      <w:lvlText w:val="%1.%2.%3.%4.%5.%6."/>
      <w:lvlJc w:val="left"/>
      <w:pPr>
        <w:ind w:left="1440" w:hanging="1080"/>
      </w:pPr>
    </w:lvl>
    <w:lvl w:ilvl="6">
      <w:start w:val="1"/>
      <w:numFmt w:val="decimal"/>
      <w:lvlText w:val="%1.%2.%3.%4.%5.%6.%7."/>
      <w:lvlJc w:val="left"/>
      <w:pPr>
        <w:ind w:left="1800" w:hanging="1440"/>
      </w:pPr>
    </w:lvl>
    <w:lvl w:ilvl="7">
      <w:start w:val="1"/>
      <w:numFmt w:val="decimal"/>
      <w:lvlText w:val="%1.%2.%3.%4.%5.%6.%7.%8."/>
      <w:lvlJc w:val="left"/>
      <w:pPr>
        <w:ind w:left="1800" w:hanging="1440"/>
      </w:pPr>
    </w:lvl>
    <w:lvl w:ilvl="8">
      <w:start w:val="1"/>
      <w:numFmt w:val="decimal"/>
      <w:lvlText w:val="%1.%2.%3.%4.%5.%6.%7.%8.%9."/>
      <w:lvlJc w:val="left"/>
      <w:pPr>
        <w:ind w:left="2160" w:hanging="1800"/>
      </w:pPr>
    </w:lvl>
  </w:abstractNum>
  <w:abstractNum w:abstractNumId="12" w15:restartNumberingAfterBreak="0">
    <w:nsid w:val="2E53640F"/>
    <w:multiLevelType w:val="multilevel"/>
    <w:tmpl w:val="D4FEC5A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2EDD1791"/>
    <w:multiLevelType w:val="multilevel"/>
    <w:tmpl w:val="A02EA83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30E86CD8"/>
    <w:multiLevelType w:val="multilevel"/>
    <w:tmpl w:val="E526935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31D5670B"/>
    <w:multiLevelType w:val="multilevel"/>
    <w:tmpl w:val="CB3A138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349D2716"/>
    <w:multiLevelType w:val="multilevel"/>
    <w:tmpl w:val="7980C1C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34E329B8"/>
    <w:multiLevelType w:val="multilevel"/>
    <w:tmpl w:val="4FB2C0CA"/>
    <w:lvl w:ilvl="0">
      <w:start w:val="1"/>
      <w:numFmt w:val="bullet"/>
      <w:lvlText w:val="●"/>
      <w:lvlJc w:val="left"/>
      <w:pPr>
        <w:ind w:left="765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85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0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2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45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6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8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05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25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36256E06"/>
    <w:multiLevelType w:val="multilevel"/>
    <w:tmpl w:val="3DBCC3C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E405AB"/>
    <w:multiLevelType w:val="multilevel"/>
    <w:tmpl w:val="3872CC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78A798D"/>
    <w:multiLevelType w:val="multilevel"/>
    <w:tmpl w:val="E562A6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8D20251"/>
    <w:multiLevelType w:val="multilevel"/>
    <w:tmpl w:val="19843B0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3ADC46DC"/>
    <w:multiLevelType w:val="multilevel"/>
    <w:tmpl w:val="5540C98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3BCD6FC4"/>
    <w:multiLevelType w:val="multilevel"/>
    <w:tmpl w:val="0D62B5C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45243DD6"/>
    <w:multiLevelType w:val="multilevel"/>
    <w:tmpl w:val="111A7D4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4A45790A"/>
    <w:multiLevelType w:val="multilevel"/>
    <w:tmpl w:val="7338A41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4DB90203"/>
    <w:multiLevelType w:val="multilevel"/>
    <w:tmpl w:val="A1E0B97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509764FF"/>
    <w:multiLevelType w:val="multilevel"/>
    <w:tmpl w:val="B0E854B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541A3669"/>
    <w:multiLevelType w:val="multilevel"/>
    <w:tmpl w:val="1E6EB89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5B3A78CF"/>
    <w:multiLevelType w:val="multilevel"/>
    <w:tmpl w:val="E7A07AA2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4"/>
      <w:numFmt w:val="bullet"/>
      <w:lvlText w:val="•"/>
      <w:lvlJc w:val="left"/>
      <w:pPr>
        <w:ind w:left="1440" w:hanging="360"/>
      </w:pPr>
      <w:rPr>
        <w:rFonts w:ascii="Century Gothic" w:eastAsia="Century Gothic" w:hAnsi="Century Gothic" w:cs="Century Gothic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5C7F2FE1"/>
    <w:multiLevelType w:val="multilevel"/>
    <w:tmpl w:val="F2F68D1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1" w15:restartNumberingAfterBreak="0">
    <w:nsid w:val="5D432AC2"/>
    <w:multiLevelType w:val="multilevel"/>
    <w:tmpl w:val="046ACF0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5F6D26C8"/>
    <w:multiLevelType w:val="multilevel"/>
    <w:tmpl w:val="F736925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3" w15:restartNumberingAfterBreak="0">
    <w:nsid w:val="653031E5"/>
    <w:multiLevelType w:val="multilevel"/>
    <w:tmpl w:val="C3B6AFD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lvlText w:val="%1.%2"/>
      <w:lvlJc w:val="left"/>
      <w:pPr>
        <w:ind w:left="750" w:hanging="390"/>
      </w:p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080" w:hanging="72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1800" w:hanging="1440"/>
      </w:pPr>
    </w:lvl>
    <w:lvl w:ilvl="8">
      <w:start w:val="1"/>
      <w:numFmt w:val="decimal"/>
      <w:lvlText w:val="%1.%2.%3.%4.%5.%6.%7.%8.%9"/>
      <w:lvlJc w:val="left"/>
      <w:pPr>
        <w:ind w:left="1800" w:hanging="1440"/>
      </w:pPr>
    </w:lvl>
  </w:abstractNum>
  <w:abstractNum w:abstractNumId="34" w15:restartNumberingAfterBreak="0">
    <w:nsid w:val="67B37CEB"/>
    <w:multiLevelType w:val="multilevel"/>
    <w:tmpl w:val="275C7DB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5" w15:restartNumberingAfterBreak="0">
    <w:nsid w:val="68817137"/>
    <w:multiLevelType w:val="multilevel"/>
    <w:tmpl w:val="2A6243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6" w15:restartNumberingAfterBreak="0">
    <w:nsid w:val="68CA52AF"/>
    <w:multiLevelType w:val="multilevel"/>
    <w:tmpl w:val="9BD019C8"/>
    <w:lvl w:ilvl="0">
      <w:start w:val="1"/>
      <w:numFmt w:val="bullet"/>
      <w:lvlText w:val="●"/>
      <w:lvlJc w:val="left"/>
      <w:pPr>
        <w:ind w:left="765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85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0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2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45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6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8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05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25" w:hanging="360"/>
      </w:pPr>
      <w:rPr>
        <w:rFonts w:ascii="Noto Sans Symbols" w:eastAsia="Noto Sans Symbols" w:hAnsi="Noto Sans Symbols" w:cs="Noto Sans Symbols"/>
      </w:rPr>
    </w:lvl>
  </w:abstractNum>
  <w:abstractNum w:abstractNumId="37" w15:restartNumberingAfterBreak="0">
    <w:nsid w:val="6A773229"/>
    <w:multiLevelType w:val="multilevel"/>
    <w:tmpl w:val="F8A0A5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8" w15:restartNumberingAfterBreak="0">
    <w:nsid w:val="79AF0870"/>
    <w:multiLevelType w:val="multilevel"/>
    <w:tmpl w:val="CEB0E8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9" w15:restartNumberingAfterBreak="0">
    <w:nsid w:val="7A0C6E30"/>
    <w:multiLevelType w:val="multilevel"/>
    <w:tmpl w:val="04EC0C9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A486D60"/>
    <w:multiLevelType w:val="multilevel"/>
    <w:tmpl w:val="8C8AF85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390" w:hanging="390"/>
      </w:pPr>
      <w:rPr>
        <w:rFonts w:ascii="Century Gothic" w:eastAsia="Century Gothic" w:hAnsi="Century Gothic" w:cs="Century Gothic"/>
        <w:color w:val="000000"/>
      </w:r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080" w:hanging="72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1800" w:hanging="1440"/>
      </w:pPr>
    </w:lvl>
    <w:lvl w:ilvl="8">
      <w:start w:val="1"/>
      <w:numFmt w:val="decimal"/>
      <w:lvlText w:val="%1.%2.%3.%4.%5.%6.%7.%8.%9"/>
      <w:lvlJc w:val="left"/>
      <w:pPr>
        <w:ind w:left="1800" w:hanging="1440"/>
      </w:pPr>
    </w:lvl>
  </w:abstractNum>
  <w:abstractNum w:abstractNumId="41" w15:restartNumberingAfterBreak="0">
    <w:nsid w:val="7C3E3AB9"/>
    <w:multiLevelType w:val="multilevel"/>
    <w:tmpl w:val="F5E8677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2" w15:restartNumberingAfterBreak="0">
    <w:nsid w:val="7C813770"/>
    <w:multiLevelType w:val="multilevel"/>
    <w:tmpl w:val="11346886"/>
    <w:lvl w:ilvl="0">
      <w:start w:val="1"/>
      <w:numFmt w:val="bullet"/>
      <w:lvlText w:val="●"/>
      <w:lvlJc w:val="left"/>
      <w:pPr>
        <w:ind w:left="765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85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0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2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45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6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8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05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25" w:hanging="360"/>
      </w:pPr>
      <w:rPr>
        <w:rFonts w:ascii="Noto Sans Symbols" w:eastAsia="Noto Sans Symbols" w:hAnsi="Noto Sans Symbols" w:cs="Noto Sans Symbols"/>
      </w:rPr>
    </w:lvl>
  </w:abstractNum>
  <w:num w:numId="1">
    <w:abstractNumId w:val="14"/>
  </w:num>
  <w:num w:numId="2">
    <w:abstractNumId w:val="33"/>
  </w:num>
  <w:num w:numId="3">
    <w:abstractNumId w:val="16"/>
  </w:num>
  <w:num w:numId="4">
    <w:abstractNumId w:val="7"/>
  </w:num>
  <w:num w:numId="5">
    <w:abstractNumId w:val="26"/>
  </w:num>
  <w:num w:numId="6">
    <w:abstractNumId w:val="9"/>
  </w:num>
  <w:num w:numId="7">
    <w:abstractNumId w:val="3"/>
  </w:num>
  <w:num w:numId="8">
    <w:abstractNumId w:val="35"/>
  </w:num>
  <w:num w:numId="9">
    <w:abstractNumId w:val="42"/>
  </w:num>
  <w:num w:numId="10">
    <w:abstractNumId w:val="15"/>
  </w:num>
  <w:num w:numId="11">
    <w:abstractNumId w:val="5"/>
  </w:num>
  <w:num w:numId="12">
    <w:abstractNumId w:val="8"/>
  </w:num>
  <w:num w:numId="13">
    <w:abstractNumId w:val="27"/>
  </w:num>
  <w:num w:numId="14">
    <w:abstractNumId w:val="37"/>
  </w:num>
  <w:num w:numId="15">
    <w:abstractNumId w:val="21"/>
  </w:num>
  <w:num w:numId="16">
    <w:abstractNumId w:val="18"/>
  </w:num>
  <w:num w:numId="17">
    <w:abstractNumId w:val="12"/>
  </w:num>
  <w:num w:numId="18">
    <w:abstractNumId w:val="2"/>
  </w:num>
  <w:num w:numId="19">
    <w:abstractNumId w:val="20"/>
  </w:num>
  <w:num w:numId="20">
    <w:abstractNumId w:val="22"/>
  </w:num>
  <w:num w:numId="21">
    <w:abstractNumId w:val="11"/>
  </w:num>
  <w:num w:numId="22">
    <w:abstractNumId w:val="1"/>
  </w:num>
  <w:num w:numId="23">
    <w:abstractNumId w:val="0"/>
  </w:num>
  <w:num w:numId="24">
    <w:abstractNumId w:val="41"/>
  </w:num>
  <w:num w:numId="25">
    <w:abstractNumId w:val="32"/>
  </w:num>
  <w:num w:numId="26">
    <w:abstractNumId w:val="17"/>
  </w:num>
  <w:num w:numId="27">
    <w:abstractNumId w:val="31"/>
  </w:num>
  <w:num w:numId="28">
    <w:abstractNumId w:val="28"/>
  </w:num>
  <w:num w:numId="29">
    <w:abstractNumId w:val="39"/>
  </w:num>
  <w:num w:numId="30">
    <w:abstractNumId w:val="4"/>
  </w:num>
  <w:num w:numId="31">
    <w:abstractNumId w:val="24"/>
  </w:num>
  <w:num w:numId="32">
    <w:abstractNumId w:val="29"/>
  </w:num>
  <w:num w:numId="33">
    <w:abstractNumId w:val="40"/>
  </w:num>
  <w:num w:numId="34">
    <w:abstractNumId w:val="19"/>
  </w:num>
  <w:num w:numId="35">
    <w:abstractNumId w:val="30"/>
  </w:num>
  <w:num w:numId="36">
    <w:abstractNumId w:val="34"/>
  </w:num>
  <w:num w:numId="37">
    <w:abstractNumId w:val="38"/>
  </w:num>
  <w:num w:numId="38">
    <w:abstractNumId w:val="6"/>
  </w:num>
  <w:num w:numId="39">
    <w:abstractNumId w:val="36"/>
  </w:num>
  <w:num w:numId="40">
    <w:abstractNumId w:val="23"/>
  </w:num>
  <w:num w:numId="41">
    <w:abstractNumId w:val="13"/>
  </w:num>
  <w:num w:numId="42">
    <w:abstractNumId w:val="10"/>
  </w:num>
  <w:num w:numId="4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5841"/>
    <w:rsid w:val="00315841"/>
    <w:rsid w:val="007A23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208F9B2-0E9F-4C68-8765-8A3FFC1E9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 Gothic" w:eastAsia="Century Gothic" w:hAnsi="Century Gothic" w:cs="Century Gothic"/>
        <w:lang w:val="hu-HU" w:eastAsia="hu-HU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</w:style>
  <w:style w:type="paragraph" w:styleId="Cmsor1">
    <w:name w:val="heading 1"/>
    <w:basedOn w:val="Norml"/>
    <w:next w:val="Norml"/>
    <w:pPr>
      <w:pBdr>
        <w:top w:val="single" w:sz="24" w:space="0" w:color="0F6FC6"/>
        <w:left w:val="single" w:sz="24" w:space="0" w:color="0F6FC6"/>
        <w:bottom w:val="single" w:sz="24" w:space="0" w:color="0F6FC6"/>
        <w:right w:val="single" w:sz="24" w:space="0" w:color="0F6FC6"/>
      </w:pBdr>
      <w:shd w:val="clear" w:color="auto" w:fill="0F6FC6"/>
      <w:spacing w:after="0"/>
      <w:outlineLvl w:val="0"/>
    </w:pPr>
    <w:rPr>
      <w:smallCaps/>
      <w:color w:val="FFFFFF"/>
      <w:sz w:val="22"/>
      <w:szCs w:val="22"/>
    </w:rPr>
  </w:style>
  <w:style w:type="paragraph" w:styleId="Cmsor2">
    <w:name w:val="heading 2"/>
    <w:basedOn w:val="Norml"/>
    <w:next w:val="Norml"/>
    <w:pPr>
      <w:pBdr>
        <w:top w:val="single" w:sz="24" w:space="0" w:color="C7E2FA"/>
        <w:left w:val="single" w:sz="24" w:space="0" w:color="C7E2FA"/>
        <w:bottom w:val="single" w:sz="24" w:space="0" w:color="C7E2FA"/>
        <w:right w:val="single" w:sz="24" w:space="0" w:color="C7E2FA"/>
      </w:pBdr>
      <w:shd w:val="clear" w:color="auto" w:fill="C7E2FA"/>
      <w:spacing w:after="0"/>
      <w:outlineLvl w:val="1"/>
    </w:pPr>
    <w:rPr>
      <w:smallCaps/>
    </w:rPr>
  </w:style>
  <w:style w:type="paragraph" w:styleId="Cmsor3">
    <w:name w:val="heading 3"/>
    <w:basedOn w:val="Norml"/>
    <w:next w:val="Norml"/>
    <w:pPr>
      <w:pBdr>
        <w:top w:val="single" w:sz="6" w:space="2" w:color="0F6FC6"/>
      </w:pBdr>
      <w:spacing w:before="300" w:after="0"/>
      <w:outlineLvl w:val="2"/>
    </w:pPr>
    <w:rPr>
      <w:smallCaps/>
      <w:color w:val="073762"/>
    </w:rPr>
  </w:style>
  <w:style w:type="paragraph" w:styleId="Cmsor4">
    <w:name w:val="heading 4"/>
    <w:basedOn w:val="Norml"/>
    <w:next w:val="Norml"/>
    <w:pPr>
      <w:pBdr>
        <w:top w:val="dotted" w:sz="6" w:space="2" w:color="0F6FC6"/>
      </w:pBdr>
      <w:spacing w:before="200" w:after="0"/>
      <w:outlineLvl w:val="3"/>
    </w:pPr>
    <w:rPr>
      <w:smallCaps/>
      <w:color w:val="0B5394"/>
    </w:rPr>
  </w:style>
  <w:style w:type="paragraph" w:styleId="Cmsor5">
    <w:name w:val="heading 5"/>
    <w:basedOn w:val="Norml"/>
    <w:next w:val="Norml"/>
    <w:pPr>
      <w:pBdr>
        <w:bottom w:val="single" w:sz="6" w:space="1" w:color="0F6FC6"/>
      </w:pBdr>
      <w:spacing w:before="200" w:after="0"/>
      <w:outlineLvl w:val="4"/>
    </w:pPr>
    <w:rPr>
      <w:smallCaps/>
      <w:color w:val="0B5394"/>
    </w:rPr>
  </w:style>
  <w:style w:type="paragraph" w:styleId="Cmsor6">
    <w:name w:val="heading 6"/>
    <w:basedOn w:val="Norml"/>
    <w:next w:val="Norml"/>
    <w:pPr>
      <w:pBdr>
        <w:bottom w:val="dotted" w:sz="6" w:space="1" w:color="0F6FC6"/>
      </w:pBdr>
      <w:spacing w:before="200" w:after="0"/>
      <w:outlineLvl w:val="5"/>
    </w:pPr>
    <w:rPr>
      <w:smallCaps/>
      <w:color w:val="0B539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m">
    <w:name w:val="Title"/>
    <w:basedOn w:val="Norml"/>
    <w:next w:val="Norml"/>
    <w:pPr>
      <w:spacing w:before="0" w:after="0"/>
    </w:pPr>
    <w:rPr>
      <w:smallCaps/>
      <w:color w:val="0F6FC6"/>
      <w:sz w:val="52"/>
      <w:szCs w:val="52"/>
    </w:rPr>
  </w:style>
  <w:style w:type="paragraph" w:styleId="Alcm">
    <w:name w:val="Subtitle"/>
    <w:basedOn w:val="Norml"/>
    <w:next w:val="Norml"/>
    <w:pPr>
      <w:spacing w:before="0" w:after="500" w:line="240" w:lineRule="auto"/>
    </w:pPr>
    <w:rPr>
      <w:smallCaps/>
      <w:color w:val="595959"/>
      <w:sz w:val="21"/>
      <w:szCs w:val="21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</w:rPr>
      <w:tblPr/>
      <w:tcPr>
        <w:tcBorders>
          <w:bottom w:val="single" w:sz="4" w:space="0" w:color="7F7F7F"/>
        </w:tcBorders>
      </w:tcPr>
    </w:tblStylePr>
    <w:tblStylePr w:type="lastRow">
      <w:rPr>
        <w:b/>
      </w:rPr>
      <w:tblPr/>
      <w:tcPr>
        <w:tcBorders>
          <w:top w:val="single" w:sz="4" w:space="0" w:color="7F7F7F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A5C249"/>
          <w:left w:val="single" w:sz="4" w:space="0" w:color="A5C249"/>
          <w:bottom w:val="single" w:sz="4" w:space="0" w:color="A5C249"/>
          <w:right w:val="single" w:sz="4" w:space="0" w:color="A5C249"/>
          <w:insideH w:val="nil"/>
          <w:insideV w:val="nil"/>
        </w:tcBorders>
        <w:shd w:val="clear" w:color="auto" w:fill="A5C249"/>
      </w:tcPr>
    </w:tblStylePr>
    <w:tblStylePr w:type="lastRow">
      <w:rPr>
        <w:b/>
      </w:rPr>
      <w:tblPr/>
      <w:tcPr>
        <w:tcBorders>
          <w:top w:val="single" w:sz="4" w:space="0" w:color="A5C249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F2DA"/>
      </w:tcPr>
    </w:tblStylePr>
    <w:tblStylePr w:type="band1Horz">
      <w:tblPr/>
      <w:tcPr>
        <w:shd w:val="clear" w:color="auto" w:fill="EDF2DA"/>
      </w:tcPr>
    </w:tblStylePr>
  </w:style>
  <w:style w:type="table" w:customStyle="1" w:styleId="a3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A5C249"/>
          <w:left w:val="single" w:sz="4" w:space="0" w:color="A5C249"/>
          <w:bottom w:val="single" w:sz="4" w:space="0" w:color="A5C249"/>
          <w:right w:val="single" w:sz="4" w:space="0" w:color="A5C249"/>
          <w:insideH w:val="nil"/>
          <w:insideV w:val="nil"/>
        </w:tcBorders>
        <w:shd w:val="clear" w:color="auto" w:fill="A5C249"/>
      </w:tcPr>
    </w:tblStylePr>
    <w:tblStylePr w:type="lastRow">
      <w:rPr>
        <w:b/>
      </w:rPr>
      <w:tblPr/>
      <w:tcPr>
        <w:tcBorders>
          <w:top w:val="single" w:sz="4" w:space="0" w:color="A5C249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F2DA"/>
      </w:tcPr>
    </w:tblStylePr>
    <w:tblStylePr w:type="band1Horz">
      <w:tblPr/>
      <w:tcPr>
        <w:shd w:val="clear" w:color="auto" w:fill="EDF2DA"/>
      </w:tcPr>
    </w:tblStylePr>
  </w:style>
  <w:style w:type="table" w:customStyle="1" w:styleId="a4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8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9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</w:style>
  <w:style w:type="table" w:customStyle="1" w:styleId="a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</w:style>
  <w:style w:type="table" w:customStyle="1" w:styleId="ab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</w:style>
  <w:style w:type="table" w:customStyle="1" w:styleId="ac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</w:style>
  <w:style w:type="table" w:customStyle="1" w:styleId="ad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2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3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4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5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6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8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9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b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c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d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</w:rPr>
      <w:tblPr/>
      <w:tcPr>
        <w:tcBorders>
          <w:bottom w:val="single" w:sz="12" w:space="0" w:color="C9DA91"/>
        </w:tcBorders>
      </w:tcPr>
    </w:tblStylePr>
    <w:tblStylePr w:type="lastRow">
      <w:rPr>
        <w:b/>
      </w:rPr>
      <w:tblPr/>
      <w:tcPr>
        <w:tcBorders>
          <w:top w:val="single" w:sz="4" w:space="0" w:color="C9DA91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e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  <w:style w:type="table" w:customStyle="1" w:styleId="aff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EDF2DA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C249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C249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C249"/>
      </w:tcPr>
    </w:tblStylePr>
    <w:tblStylePr w:type="band1Vert">
      <w:tblPr/>
      <w:tcPr>
        <w:shd w:val="clear" w:color="auto" w:fill="DBE6B6"/>
      </w:tcPr>
    </w:tblStylePr>
    <w:tblStylePr w:type="band1Horz">
      <w:tblPr/>
      <w:tcPr>
        <w:shd w:val="clear" w:color="auto" w:fill="DBE6B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g"/><Relationship Id="rId18" Type="http://schemas.openxmlformats.org/officeDocument/2006/relationships/footer" Target="footer1.xml"/><Relationship Id="rId26" Type="http://schemas.openxmlformats.org/officeDocument/2006/relationships/image" Target="media/image16.jpg"/><Relationship Id="rId3" Type="http://schemas.openxmlformats.org/officeDocument/2006/relationships/settings" Target="settings.xml"/><Relationship Id="rId21" Type="http://schemas.openxmlformats.org/officeDocument/2006/relationships/image" Target="media/image11.jpg"/><Relationship Id="rId34" Type="http://schemas.openxmlformats.org/officeDocument/2006/relationships/image" Target="media/image22.png"/><Relationship Id="rId7" Type="http://schemas.openxmlformats.org/officeDocument/2006/relationships/image" Target="media/image1.png"/><Relationship Id="rId12" Type="http://schemas.openxmlformats.org/officeDocument/2006/relationships/hyperlink" Target="https://www.facebook.com/huszarlaktanya.ujratoltve/" TargetMode="External"/><Relationship Id="rId17" Type="http://schemas.openxmlformats.org/officeDocument/2006/relationships/header" Target="header1.xml"/><Relationship Id="rId25" Type="http://schemas.openxmlformats.org/officeDocument/2006/relationships/image" Target="media/image15.jpg"/><Relationship Id="rId33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10.jp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muveszetiszhely.hu/" TargetMode="External"/><Relationship Id="rId24" Type="http://schemas.openxmlformats.org/officeDocument/2006/relationships/image" Target="media/image14.jpg"/><Relationship Id="rId32" Type="http://schemas.openxmlformats.org/officeDocument/2006/relationships/image" Target="media/image20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3.jpg"/><Relationship Id="rId28" Type="http://schemas.openxmlformats.org/officeDocument/2006/relationships/image" Target="media/image18.png"/><Relationship Id="rId36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9.png"/><Relationship Id="rId31" Type="http://schemas.openxmlformats.org/officeDocument/2006/relationships/hyperlink" Target="https://www.facebook.com/Grundkert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hyperlink" Target="http://kozossegikertek.hu/" TargetMode="External"/><Relationship Id="rId35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65</Pages>
  <Words>13721</Words>
  <Characters>94677</Characters>
  <Application>Microsoft Office Word</Application>
  <DocSecurity>0</DocSecurity>
  <Lines>788</Lines>
  <Paragraphs>216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108182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Győrffy Ágnes</dc:creator>
  <cp:lastModifiedBy>Győrffy Ágnes</cp:lastModifiedBy>
  <cp:revision>2</cp:revision>
  <dcterms:created xsi:type="dcterms:W3CDTF">2018-05-16T06:50:00Z</dcterms:created>
  <dcterms:modified xsi:type="dcterms:W3CDTF">2018-05-16T06:50:00Z</dcterms:modified>
</cp:coreProperties>
</file>