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24C" w:rsidRPr="004B524C" w:rsidRDefault="004B524C" w:rsidP="004B524C">
      <w:pPr>
        <w:spacing w:before="240"/>
        <w:jc w:val="center"/>
        <w:rPr>
          <w:b/>
          <w:sz w:val="28"/>
          <w:szCs w:val="28"/>
        </w:rPr>
      </w:pPr>
      <w:r w:rsidRPr="004B524C">
        <w:rPr>
          <w:b/>
          <w:sz w:val="28"/>
          <w:szCs w:val="28"/>
        </w:rPr>
        <w:t>URBACT III</w:t>
      </w:r>
      <w:r w:rsidR="00793AEF">
        <w:rPr>
          <w:b/>
          <w:sz w:val="28"/>
          <w:szCs w:val="28"/>
        </w:rPr>
        <w:t xml:space="preserve"> </w:t>
      </w:r>
      <w:r w:rsidRPr="004B524C">
        <w:rPr>
          <w:b/>
          <w:sz w:val="28"/>
          <w:szCs w:val="28"/>
        </w:rPr>
        <w:t xml:space="preserve">MAPS – </w:t>
      </w:r>
    </w:p>
    <w:p w:rsidR="004B524C" w:rsidRPr="004B524C" w:rsidRDefault="004B524C" w:rsidP="004B524C">
      <w:pPr>
        <w:spacing w:before="0"/>
        <w:jc w:val="center"/>
        <w:rPr>
          <w:b/>
          <w:sz w:val="28"/>
          <w:szCs w:val="28"/>
        </w:rPr>
      </w:pPr>
      <w:r w:rsidRPr="004B524C">
        <w:rPr>
          <w:b/>
          <w:sz w:val="28"/>
          <w:szCs w:val="28"/>
        </w:rPr>
        <w:t>Katonai objektumok, mint közösségi terek projekt</w:t>
      </w:r>
    </w:p>
    <w:p w:rsidR="004B524C" w:rsidRDefault="004B524C" w:rsidP="004B524C">
      <w:pPr>
        <w:spacing w:before="240"/>
        <w:jc w:val="center"/>
        <w:rPr>
          <w:b/>
          <w:sz w:val="24"/>
          <w:szCs w:val="24"/>
        </w:rPr>
      </w:pPr>
    </w:p>
    <w:p w:rsidR="004B524C" w:rsidRPr="004B524C" w:rsidRDefault="004B524C" w:rsidP="004B524C">
      <w:pPr>
        <w:spacing w:before="240"/>
        <w:jc w:val="center"/>
        <w:rPr>
          <w:b/>
          <w:sz w:val="32"/>
          <w:szCs w:val="32"/>
        </w:rPr>
      </w:pPr>
      <w:r w:rsidRPr="004B524C">
        <w:rPr>
          <w:b/>
          <w:sz w:val="32"/>
          <w:szCs w:val="32"/>
        </w:rPr>
        <w:t>Integrált Akcióterv</w:t>
      </w:r>
    </w:p>
    <w:p w:rsidR="004B524C" w:rsidRPr="004B524C" w:rsidRDefault="004A4587" w:rsidP="004B524C">
      <w:pPr>
        <w:spacing w:before="240"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r w:rsidR="004B524C">
        <w:rPr>
          <w:sz w:val="24"/>
          <w:szCs w:val="24"/>
        </w:rPr>
        <w:t>kivonat</w:t>
      </w:r>
      <w:r>
        <w:rPr>
          <w:sz w:val="24"/>
          <w:szCs w:val="24"/>
        </w:rPr>
        <w:t>)</w:t>
      </w:r>
    </w:p>
    <w:p w:rsidR="004B524C" w:rsidRDefault="004B524C" w:rsidP="00FD05CF">
      <w:pPr>
        <w:spacing w:before="240"/>
        <w:jc w:val="both"/>
      </w:pPr>
    </w:p>
    <w:p w:rsidR="004A4587" w:rsidRPr="004A4587" w:rsidRDefault="004A4587" w:rsidP="00FD05CF">
      <w:pPr>
        <w:spacing w:before="240"/>
        <w:jc w:val="both"/>
        <w:rPr>
          <w:b/>
          <w:sz w:val="22"/>
          <w:szCs w:val="22"/>
        </w:rPr>
      </w:pPr>
      <w:r w:rsidRPr="004A4587">
        <w:rPr>
          <w:b/>
          <w:sz w:val="22"/>
          <w:szCs w:val="22"/>
        </w:rPr>
        <w:t>I. Leírás</w:t>
      </w:r>
    </w:p>
    <w:p w:rsidR="004A4587" w:rsidRDefault="00FD05CF" w:rsidP="00FD05CF">
      <w:pPr>
        <w:spacing w:before="240"/>
        <w:jc w:val="both"/>
        <w:rPr>
          <w:sz w:val="22"/>
          <w:szCs w:val="22"/>
        </w:rPr>
      </w:pPr>
      <w:r w:rsidRPr="004B524C">
        <w:rPr>
          <w:sz w:val="22"/>
          <w:szCs w:val="22"/>
        </w:rPr>
        <w:t xml:space="preserve">A Császári és Királyi 11. Huszárezrednek otthont adó épületegyüttest 1889. október 22-én adták </w:t>
      </w:r>
      <w:r w:rsidRPr="004A4587">
        <w:rPr>
          <w:sz w:val="22"/>
          <w:szCs w:val="22"/>
        </w:rPr>
        <w:t>át, akkoriban az egyik legnagyobb ilyen jellegű komplexum volt Magyarországon. Parancsnoki épületén kívül három tiszti lakóépület, hat legénységi és további húsz kiszolgáló épület – többek között istálló, raktár és kórház – állt a területén. A második világháború idején több épületét is bombatalálat érte, majd 1945-től kezdve szovjet csapatok állomásoztak a területén. Az 1945</w:t>
      </w:r>
      <w:r w:rsidRPr="004B524C">
        <w:rPr>
          <w:sz w:val="22"/>
          <w:szCs w:val="22"/>
        </w:rPr>
        <w:t xml:space="preserve"> és 1990 közötti időszakban az épületek állapota a folyamatos szakszerűtlen használat, valamint a karbantartás hiánya miatt jelentősen leromlott. </w:t>
      </w:r>
    </w:p>
    <w:p w:rsidR="00FD05CF" w:rsidRPr="004A4587" w:rsidRDefault="00FD05CF" w:rsidP="00FD05CF">
      <w:pPr>
        <w:spacing w:before="240"/>
        <w:jc w:val="both"/>
        <w:rPr>
          <w:sz w:val="22"/>
          <w:szCs w:val="22"/>
        </w:rPr>
      </w:pPr>
      <w:r w:rsidRPr="004A4587">
        <w:rPr>
          <w:sz w:val="22"/>
          <w:szCs w:val="22"/>
        </w:rPr>
        <w:t xml:space="preserve">A </w:t>
      </w:r>
      <w:r w:rsidR="004A4587">
        <w:rPr>
          <w:sz w:val="22"/>
          <w:szCs w:val="22"/>
        </w:rPr>
        <w:t xml:space="preserve">szovjet </w:t>
      </w:r>
      <w:r w:rsidRPr="004A4587">
        <w:rPr>
          <w:sz w:val="22"/>
          <w:szCs w:val="22"/>
        </w:rPr>
        <w:t xml:space="preserve">csapatok kivonulása óta </w:t>
      </w:r>
      <w:r w:rsidRPr="004A4587">
        <w:rPr>
          <w:b/>
          <w:sz w:val="22"/>
          <w:szCs w:val="22"/>
        </w:rPr>
        <w:t>a komplexum nagy része</w:t>
      </w:r>
      <w:r w:rsidRPr="004A4587">
        <w:rPr>
          <w:sz w:val="22"/>
          <w:szCs w:val="22"/>
        </w:rPr>
        <w:t xml:space="preserve"> – az Apáczai Csere János Alapítvány által felújít</w:t>
      </w:r>
      <w:r w:rsidR="004A4587">
        <w:rPr>
          <w:sz w:val="22"/>
          <w:szCs w:val="22"/>
        </w:rPr>
        <w:t xml:space="preserve">ott Parancsnoki </w:t>
      </w:r>
      <w:r w:rsidRPr="004A4587">
        <w:rPr>
          <w:sz w:val="22"/>
          <w:szCs w:val="22"/>
        </w:rPr>
        <w:t xml:space="preserve">épületen kívül – </w:t>
      </w:r>
      <w:r w:rsidRPr="004A4587">
        <w:rPr>
          <w:b/>
          <w:sz w:val="22"/>
          <w:szCs w:val="22"/>
        </w:rPr>
        <w:t>üresen és kihasználatlanul áll</w:t>
      </w:r>
      <w:r w:rsidRPr="004A4587">
        <w:rPr>
          <w:sz w:val="22"/>
          <w:szCs w:val="22"/>
        </w:rPr>
        <w:t>. A dualizmus idején felépült lovassági laktanyából mára csak néhán</w:t>
      </w:r>
      <w:r w:rsidR="004A4587">
        <w:rPr>
          <w:sz w:val="22"/>
          <w:szCs w:val="22"/>
        </w:rPr>
        <w:t>y épület maradt meg, így a fő</w:t>
      </w:r>
      <w:r w:rsidRPr="004A4587">
        <w:rPr>
          <w:sz w:val="22"/>
          <w:szCs w:val="22"/>
        </w:rPr>
        <w:t>épület, a két tiszti, az altiszti, valamint a hat legénységi épület mellett mindössze egy istálló, az egykori markotányos épület, mosókonyha, pótraktár és börtön épülete.</w:t>
      </w:r>
    </w:p>
    <w:p w:rsidR="00FD05CF" w:rsidRDefault="00FD05CF" w:rsidP="00FD05CF">
      <w:pPr>
        <w:spacing w:before="240"/>
        <w:jc w:val="both"/>
        <w:rPr>
          <w:sz w:val="22"/>
          <w:szCs w:val="22"/>
        </w:rPr>
      </w:pPr>
      <w:r w:rsidRPr="004B524C">
        <w:rPr>
          <w:sz w:val="22"/>
          <w:szCs w:val="22"/>
        </w:rPr>
        <w:t xml:space="preserve">A hatályos rendezési terv, valamint a korábbi funkcionális felosztás </w:t>
      </w:r>
      <w:r w:rsidRPr="00432367">
        <w:rPr>
          <w:sz w:val="22"/>
          <w:szCs w:val="22"/>
        </w:rPr>
        <w:t>alapján a terület két részre osztható:</w:t>
      </w:r>
    </w:p>
    <w:p w:rsidR="00793AEF" w:rsidRPr="00432367" w:rsidRDefault="00793AEF" w:rsidP="00FD05CF">
      <w:pPr>
        <w:spacing w:before="240"/>
        <w:jc w:val="both"/>
        <w:rPr>
          <w:sz w:val="22"/>
          <w:szCs w:val="22"/>
        </w:rPr>
      </w:pPr>
    </w:p>
    <w:p w:rsidR="00FD05CF" w:rsidRPr="004B524C" w:rsidRDefault="00FD05CF" w:rsidP="00FD05CF">
      <w:pPr>
        <w:pStyle w:val="Cmsor3"/>
        <w:rPr>
          <w:smallCaps w:val="0"/>
          <w:sz w:val="22"/>
          <w:szCs w:val="22"/>
        </w:rPr>
      </w:pPr>
      <w:r w:rsidRPr="004B524C">
        <w:rPr>
          <w:sz w:val="22"/>
          <w:szCs w:val="22"/>
        </w:rPr>
        <w:t>„A” terület</w:t>
      </w:r>
    </w:p>
    <w:p w:rsidR="00FD05CF" w:rsidRPr="004B524C" w:rsidRDefault="00FD05CF" w:rsidP="00FD05CF">
      <w:pPr>
        <w:spacing w:before="240"/>
        <w:jc w:val="both"/>
        <w:rPr>
          <w:sz w:val="22"/>
          <w:szCs w:val="22"/>
        </w:rPr>
      </w:pPr>
      <w:r w:rsidRPr="004B524C">
        <w:rPr>
          <w:sz w:val="22"/>
          <w:szCs w:val="22"/>
        </w:rPr>
        <w:t xml:space="preserve">Az úgynevezett „A” terület a délnyugati oldalon található, közel tíz hektárt foglal magában. A „B” területhez viszonyítva </w:t>
      </w:r>
      <w:r w:rsidRPr="004B524C">
        <w:rPr>
          <w:b/>
          <w:sz w:val="22"/>
          <w:szCs w:val="22"/>
        </w:rPr>
        <w:t>jobb állapotban van, igaz ez a rajta található tíz épületre, valamint a zöldterületekre is</w:t>
      </w:r>
      <w:r w:rsidRPr="004B524C">
        <w:rPr>
          <w:sz w:val="22"/>
          <w:szCs w:val="22"/>
        </w:rPr>
        <w:t xml:space="preserve">. Itt található a parancsnoki épület, amely felújítása óta folyamatosan használatban van. A többi épület a szovjetek távozása óta használaton kívül van, azonban még </w:t>
      </w:r>
      <w:r w:rsidRPr="004B524C">
        <w:rPr>
          <w:b/>
          <w:sz w:val="22"/>
          <w:szCs w:val="22"/>
        </w:rPr>
        <w:t>felújíthatók, a tetőszerkezet javításával a további állapotromlás megelőzhető</w:t>
      </w:r>
      <w:r w:rsidRPr="004B524C">
        <w:rPr>
          <w:sz w:val="22"/>
          <w:szCs w:val="22"/>
        </w:rPr>
        <w:t>. A zöldterületek alapszintű gondozásáról a város gondoskodik (SZOVA Szombathelyi Vagyonhasznosító és Városgazdálkodási Zrt.</w:t>
      </w:r>
      <w:r w:rsidR="00432367">
        <w:rPr>
          <w:sz w:val="22"/>
          <w:szCs w:val="22"/>
        </w:rPr>
        <w:t>)</w:t>
      </w:r>
      <w:r w:rsidRPr="004B524C">
        <w:rPr>
          <w:sz w:val="22"/>
          <w:szCs w:val="22"/>
        </w:rPr>
        <w:t>. A terület főbb adatai: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contextualSpacing/>
        <w:jc w:val="both"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lastRenderedPageBreak/>
        <w:t>területe: 9,4 ha;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/>
        <w:jc w:val="both"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t>teljes beépített terület: 8 253 m</w:t>
      </w:r>
      <w:r w:rsidRPr="004B524C">
        <w:rPr>
          <w:color w:val="000000"/>
          <w:sz w:val="22"/>
          <w:szCs w:val="22"/>
          <w:vertAlign w:val="superscript"/>
        </w:rPr>
        <w:t>2</w:t>
      </w:r>
      <w:r w:rsidRPr="004B524C">
        <w:rPr>
          <w:color w:val="000000"/>
          <w:sz w:val="22"/>
          <w:szCs w:val="22"/>
        </w:rPr>
        <w:t>;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/>
        <w:jc w:val="both"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t>beépítési arány (a meglévő épületekkel): 8,8%;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/>
        <w:jc w:val="both"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t>rendezési terv szerinti besorolás: településközpont vegyes terület;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/>
        <w:jc w:val="both"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t>beépítési mód: szabadon álló;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/>
        <w:jc w:val="both"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t>beépíthetőségi arány: 40%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jc w:val="both"/>
        <w:rPr>
          <w:sz w:val="22"/>
          <w:szCs w:val="22"/>
        </w:rPr>
      </w:pPr>
      <w:proofErr w:type="spellStart"/>
      <w:r w:rsidRPr="004B524C">
        <w:rPr>
          <w:color w:val="000000"/>
          <w:sz w:val="22"/>
          <w:szCs w:val="22"/>
        </w:rPr>
        <w:t>max</w:t>
      </w:r>
      <w:proofErr w:type="spellEnd"/>
      <w:r w:rsidRPr="004B524C">
        <w:rPr>
          <w:color w:val="000000"/>
          <w:sz w:val="22"/>
          <w:szCs w:val="22"/>
        </w:rPr>
        <w:t>. magasság: 12 m.</w:t>
      </w:r>
    </w:p>
    <w:p w:rsidR="00FD05CF" w:rsidRPr="004B524C" w:rsidRDefault="00FD05CF" w:rsidP="00FD05CF">
      <w:pPr>
        <w:pStyle w:val="Cmsor3"/>
        <w:rPr>
          <w:smallCaps w:val="0"/>
          <w:sz w:val="22"/>
          <w:szCs w:val="22"/>
        </w:rPr>
      </w:pPr>
      <w:r w:rsidRPr="004B524C">
        <w:rPr>
          <w:sz w:val="22"/>
          <w:szCs w:val="22"/>
        </w:rPr>
        <w:t>„B” terület</w:t>
      </w:r>
    </w:p>
    <w:p w:rsidR="00FD05CF" w:rsidRPr="004B524C" w:rsidRDefault="00FD05CF" w:rsidP="00FD05CF">
      <w:pPr>
        <w:spacing w:before="240"/>
        <w:jc w:val="both"/>
        <w:rPr>
          <w:sz w:val="22"/>
          <w:szCs w:val="22"/>
        </w:rPr>
      </w:pPr>
      <w:r w:rsidRPr="004B524C">
        <w:rPr>
          <w:b/>
          <w:sz w:val="22"/>
          <w:szCs w:val="22"/>
        </w:rPr>
        <w:t>A „B” terület állapota összességében rosszabb. A rajta található három épület nem</w:t>
      </w:r>
      <w:r w:rsidRPr="004B524C">
        <w:rPr>
          <w:sz w:val="22"/>
          <w:szCs w:val="22"/>
        </w:rPr>
        <w:t xml:space="preserve"> – vagy csak aránytalan mértékű többletforrás igénybevételével – </w:t>
      </w:r>
      <w:r w:rsidRPr="004B524C">
        <w:rPr>
          <w:b/>
          <w:sz w:val="22"/>
          <w:szCs w:val="22"/>
        </w:rPr>
        <w:t>menthető meg</w:t>
      </w:r>
      <w:r w:rsidRPr="004B524C">
        <w:rPr>
          <w:sz w:val="22"/>
          <w:szCs w:val="22"/>
        </w:rPr>
        <w:t xml:space="preserve">. A zöldterületek nagy részén javarészt </w:t>
      </w:r>
      <w:proofErr w:type="spellStart"/>
      <w:r w:rsidRPr="004B524C">
        <w:rPr>
          <w:sz w:val="22"/>
          <w:szCs w:val="22"/>
        </w:rPr>
        <w:t>invazív</w:t>
      </w:r>
      <w:proofErr w:type="spellEnd"/>
      <w:r w:rsidRPr="004B524C">
        <w:rPr>
          <w:sz w:val="22"/>
          <w:szCs w:val="22"/>
        </w:rPr>
        <w:t xml:space="preserve"> fajokból álló, gyorsan terjeszkedő bozótos, erdős foltok alakultak ki. Az alapszintű karbantartását – hulladék összegyűjtése, kisebb tisztítások – ezen a területen is a SZOVA végzi. A terület főbb adatai: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contextualSpacing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t>területe: 11,9 ha;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/>
        <w:jc w:val="both"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t>teljes beépített terület: 6 021 m</w:t>
      </w:r>
      <w:r w:rsidRPr="004B524C">
        <w:rPr>
          <w:color w:val="000000"/>
          <w:sz w:val="22"/>
          <w:szCs w:val="22"/>
          <w:vertAlign w:val="superscript"/>
        </w:rPr>
        <w:t>2</w:t>
      </w:r>
      <w:r w:rsidRPr="004B524C">
        <w:rPr>
          <w:color w:val="000000"/>
          <w:sz w:val="22"/>
          <w:szCs w:val="22"/>
        </w:rPr>
        <w:t>;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/>
        <w:jc w:val="both"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t>beépítési arány (a meglévő épületekkel): 5,07%;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contextualSpacing/>
        <w:jc w:val="both"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t>Mikszáth utca vonalától délre: kisvárosias lakóterület, szabadon álló beépítés (</w:t>
      </w:r>
      <w:proofErr w:type="spellStart"/>
      <w:r w:rsidRPr="004B524C">
        <w:rPr>
          <w:color w:val="000000"/>
          <w:sz w:val="22"/>
          <w:szCs w:val="22"/>
        </w:rPr>
        <w:t>max</w:t>
      </w:r>
      <w:proofErr w:type="spellEnd"/>
      <w:r w:rsidRPr="004B524C">
        <w:rPr>
          <w:color w:val="000000"/>
          <w:sz w:val="22"/>
          <w:szCs w:val="22"/>
        </w:rPr>
        <w:t>. magasság: 12,5 m, 40%, beépítettség, 4 000 m</w:t>
      </w:r>
      <w:r w:rsidRPr="004B524C">
        <w:rPr>
          <w:color w:val="000000"/>
          <w:sz w:val="22"/>
          <w:szCs w:val="22"/>
          <w:vertAlign w:val="superscript"/>
        </w:rPr>
        <w:t>2</w:t>
      </w:r>
      <w:r w:rsidRPr="004B524C">
        <w:rPr>
          <w:color w:val="000000"/>
          <w:sz w:val="22"/>
          <w:szCs w:val="22"/>
        </w:rPr>
        <w:t xml:space="preserve"> lehetséges építési terület);</w:t>
      </w:r>
    </w:p>
    <w:p w:rsidR="00FD05CF" w:rsidRPr="004B524C" w:rsidRDefault="00FD05CF" w:rsidP="00FD05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contextualSpacing/>
        <w:jc w:val="both"/>
        <w:rPr>
          <w:sz w:val="22"/>
          <w:szCs w:val="22"/>
        </w:rPr>
      </w:pPr>
      <w:r w:rsidRPr="004B524C">
        <w:rPr>
          <w:color w:val="000000"/>
          <w:sz w:val="22"/>
          <w:szCs w:val="22"/>
        </w:rPr>
        <w:t>Mikszáth utca vonalától északra: kertvárosias lakóterület, szabadon álló beépítés (</w:t>
      </w:r>
      <w:proofErr w:type="spellStart"/>
      <w:r w:rsidRPr="004B524C">
        <w:rPr>
          <w:color w:val="000000"/>
          <w:sz w:val="22"/>
          <w:szCs w:val="22"/>
        </w:rPr>
        <w:t>max</w:t>
      </w:r>
      <w:proofErr w:type="spellEnd"/>
      <w:r w:rsidRPr="004B524C">
        <w:rPr>
          <w:color w:val="000000"/>
          <w:sz w:val="22"/>
          <w:szCs w:val="22"/>
        </w:rPr>
        <w:t>. magasság: 5 m, 30%, beépítettség, 900 m</w:t>
      </w:r>
      <w:r w:rsidRPr="004B524C">
        <w:rPr>
          <w:color w:val="000000"/>
          <w:sz w:val="22"/>
          <w:szCs w:val="22"/>
          <w:vertAlign w:val="superscript"/>
        </w:rPr>
        <w:t>2</w:t>
      </w:r>
      <w:r w:rsidRPr="004B524C">
        <w:rPr>
          <w:color w:val="000000"/>
          <w:sz w:val="22"/>
          <w:szCs w:val="22"/>
        </w:rPr>
        <w:t xml:space="preserve"> lehetséges építési terület).</w:t>
      </w:r>
    </w:p>
    <w:p w:rsidR="00B06322" w:rsidRPr="004B524C" w:rsidRDefault="00B06322">
      <w:pPr>
        <w:rPr>
          <w:sz w:val="22"/>
          <w:szCs w:val="22"/>
        </w:rPr>
      </w:pPr>
    </w:p>
    <w:p w:rsidR="00FD05CF" w:rsidRPr="004B524C" w:rsidRDefault="00FD05CF" w:rsidP="00FD05CF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  <w:sz w:val="22"/>
          <w:szCs w:val="22"/>
        </w:rPr>
      </w:pPr>
      <w:r w:rsidRPr="004B524C">
        <w:rPr>
          <w:color w:val="000000"/>
          <w:sz w:val="22"/>
          <w:szCs w:val="22"/>
        </w:rPr>
        <w:t xml:space="preserve">Az Akcióterv alapja az a közös vízió, hogy </w:t>
      </w:r>
      <w:r w:rsidRPr="004B524C">
        <w:rPr>
          <w:b/>
          <w:color w:val="000000"/>
          <w:sz w:val="22"/>
          <w:szCs w:val="22"/>
        </w:rPr>
        <w:t>a terület a város szerves részévé válik</w:t>
      </w:r>
      <w:r w:rsidRPr="004B524C">
        <w:rPr>
          <w:color w:val="000000"/>
          <w:sz w:val="22"/>
          <w:szCs w:val="22"/>
        </w:rPr>
        <w:t xml:space="preserve">, és </w:t>
      </w:r>
      <w:r w:rsidRPr="004B524C">
        <w:rPr>
          <w:b/>
          <w:color w:val="000000"/>
          <w:sz w:val="22"/>
          <w:szCs w:val="22"/>
        </w:rPr>
        <w:t>épületei, terei hasznosításán keresztül hozzájárul Szombathely fenntartható fejlődéséhez</w:t>
      </w:r>
      <w:r w:rsidRPr="004B524C">
        <w:rPr>
          <w:color w:val="000000"/>
          <w:sz w:val="22"/>
          <w:szCs w:val="22"/>
        </w:rPr>
        <w:t>.</w:t>
      </w:r>
    </w:p>
    <w:p w:rsidR="00432367" w:rsidRPr="004B524C" w:rsidRDefault="00FD05CF" w:rsidP="00FD05CF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color w:val="000000"/>
          <w:sz w:val="22"/>
          <w:szCs w:val="22"/>
        </w:rPr>
      </w:pPr>
      <w:r w:rsidRPr="004B524C">
        <w:rPr>
          <w:color w:val="000000"/>
          <w:sz w:val="22"/>
          <w:szCs w:val="22"/>
        </w:rPr>
        <w:t xml:space="preserve">A cél egy olyan, </w:t>
      </w:r>
      <w:r w:rsidRPr="004B524C">
        <w:rPr>
          <w:b/>
          <w:color w:val="000000"/>
          <w:sz w:val="22"/>
          <w:szCs w:val="22"/>
        </w:rPr>
        <w:t xml:space="preserve">alulról építkező lakossági részvételen alapuló folyamat elindítása, mely által a terület egy új zöld városi alközponttá alakul </w:t>
      </w:r>
      <w:r w:rsidR="00432367">
        <w:rPr>
          <w:b/>
          <w:color w:val="000000"/>
          <w:sz w:val="22"/>
          <w:szCs w:val="22"/>
        </w:rPr>
        <w:t>át.</w:t>
      </w:r>
    </w:p>
    <w:p w:rsidR="004A4587" w:rsidRDefault="004A4587" w:rsidP="00D9679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color w:val="000000"/>
          <w:sz w:val="22"/>
          <w:szCs w:val="22"/>
        </w:rPr>
      </w:pPr>
    </w:p>
    <w:p w:rsidR="004A4587" w:rsidRDefault="004A4587" w:rsidP="00D9679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II. Akciók</w:t>
      </w:r>
    </w:p>
    <w:p w:rsidR="00D9679D" w:rsidRPr="004B524C" w:rsidRDefault="00D9679D" w:rsidP="00D9679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color w:val="000000"/>
          <w:sz w:val="22"/>
          <w:szCs w:val="22"/>
        </w:rPr>
      </w:pPr>
      <w:r w:rsidRPr="00D9679D">
        <w:rPr>
          <w:b/>
          <w:color w:val="000000"/>
          <w:sz w:val="22"/>
          <w:szCs w:val="22"/>
        </w:rPr>
        <w:t>A tervezett akciók áttekintése a területfelosztásnak megfelelően:</w:t>
      </w:r>
    </w:p>
    <w:p w:rsidR="00F21975" w:rsidRPr="004B524C" w:rsidRDefault="00F21975" w:rsidP="00D9679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color w:val="000000"/>
          <w:sz w:val="22"/>
          <w:szCs w:val="22"/>
        </w:rPr>
      </w:pPr>
    </w:p>
    <w:tbl>
      <w:tblPr>
        <w:tblW w:w="9048" w:type="dxa"/>
        <w:tblBorders>
          <w:top w:val="single" w:sz="4" w:space="0" w:color="DBE6B6"/>
          <w:left w:val="single" w:sz="4" w:space="0" w:color="DBE6B6"/>
          <w:bottom w:val="single" w:sz="4" w:space="0" w:color="DBE6B6"/>
          <w:right w:val="single" w:sz="4" w:space="0" w:color="DBE6B6"/>
          <w:insideH w:val="single" w:sz="4" w:space="0" w:color="DBE6B6"/>
          <w:insideV w:val="single" w:sz="4" w:space="0" w:color="DBE6B6"/>
        </w:tblBorders>
        <w:tblLayout w:type="fixed"/>
        <w:tblLook w:val="04A0" w:firstRow="1" w:lastRow="0" w:firstColumn="1" w:lastColumn="0" w:noHBand="0" w:noVBand="1"/>
      </w:tblPr>
      <w:tblGrid>
        <w:gridCol w:w="1576"/>
        <w:gridCol w:w="3380"/>
        <w:gridCol w:w="4092"/>
      </w:tblGrid>
      <w:tr w:rsidR="00F21975" w:rsidRPr="004B524C" w:rsidTr="00F01257">
        <w:tc>
          <w:tcPr>
            <w:tcW w:w="1576" w:type="dxa"/>
            <w:vAlign w:val="center"/>
          </w:tcPr>
          <w:p w:rsidR="00F21975" w:rsidRPr="004B524C" w:rsidRDefault="00F21975" w:rsidP="00F01257">
            <w:pPr>
              <w:keepNext/>
              <w:spacing w:before="120" w:after="120"/>
              <w:jc w:val="center"/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Modul</w:t>
            </w:r>
          </w:p>
        </w:tc>
        <w:tc>
          <w:tcPr>
            <w:tcW w:w="3380" w:type="dxa"/>
            <w:vAlign w:val="center"/>
          </w:tcPr>
          <w:p w:rsidR="00F21975" w:rsidRPr="004B524C" w:rsidRDefault="00F21975" w:rsidP="00F01257">
            <w:pPr>
              <w:keepNext/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Projekt</w:t>
            </w:r>
          </w:p>
        </w:tc>
        <w:tc>
          <w:tcPr>
            <w:tcW w:w="4092" w:type="dxa"/>
            <w:vAlign w:val="center"/>
          </w:tcPr>
          <w:p w:rsidR="00F21975" w:rsidRPr="004B524C" w:rsidRDefault="00F21975" w:rsidP="00F01257">
            <w:pPr>
              <w:keepNext/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Akció</w:t>
            </w:r>
          </w:p>
        </w:tc>
      </w:tr>
      <w:tr w:rsidR="00F21975" w:rsidRPr="004B524C" w:rsidTr="00793AEF">
        <w:tc>
          <w:tcPr>
            <w:tcW w:w="1576" w:type="dxa"/>
            <w:vMerge w:val="restart"/>
            <w:vAlign w:val="center"/>
          </w:tcPr>
          <w:p w:rsidR="00F21975" w:rsidRPr="004B524C" w:rsidRDefault="00F21975" w:rsidP="00F01257">
            <w:pPr>
              <w:keepNext/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1. modul:</w:t>
            </w:r>
          </w:p>
          <w:p w:rsidR="00F21975" w:rsidRPr="004B524C" w:rsidRDefault="00F21975" w:rsidP="00F01257">
            <w:pPr>
              <w:keepNext/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 xml:space="preserve">“A” terület </w:t>
            </w:r>
          </w:p>
        </w:tc>
        <w:tc>
          <w:tcPr>
            <w:tcW w:w="3380" w:type="dxa"/>
            <w:vMerge w:val="restart"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keepNext/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1.1 9 db rossz állapotú műemlék épület megújítása</w:t>
            </w:r>
          </w:p>
        </w:tc>
        <w:tc>
          <w:tcPr>
            <w:tcW w:w="4092" w:type="dxa"/>
            <w:vAlign w:val="center"/>
          </w:tcPr>
          <w:p w:rsidR="00F21975" w:rsidRPr="004B524C" w:rsidRDefault="00F21975" w:rsidP="00F01257">
            <w:pPr>
              <w:keepNext/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1.1.1 Az „A” területtel és az azon elhelyezkedő műemléki épületekkel kapcsolatos felmérési és tervezési tevékenység</w:t>
            </w:r>
          </w:p>
        </w:tc>
      </w:tr>
      <w:tr w:rsidR="00F21975" w:rsidRPr="004B524C" w:rsidTr="00793AEF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3380" w:type="dxa"/>
            <w:vMerge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4092" w:type="dxa"/>
            <w:vAlign w:val="center"/>
          </w:tcPr>
          <w:p w:rsidR="00F21975" w:rsidRPr="004B524C" w:rsidRDefault="00F21975" w:rsidP="00F01257">
            <w:pPr>
              <w:keepNext/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1.1.2 A Huszárlaktanya történetét bemutató történeti kiállítás</w:t>
            </w:r>
          </w:p>
        </w:tc>
      </w:tr>
      <w:tr w:rsidR="00F21975" w:rsidRPr="004B524C" w:rsidTr="00793AEF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3380" w:type="dxa"/>
            <w:vMerge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4092" w:type="dxa"/>
          </w:tcPr>
          <w:p w:rsidR="00F21975" w:rsidRPr="004B524C" w:rsidRDefault="00F21975" w:rsidP="00F01257">
            <w:pPr>
              <w:spacing w:before="120" w:after="120"/>
              <w:jc w:val="both"/>
              <w:rPr>
                <w:color w:val="000000"/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1.1.3 Civil inkubátor helyi civil és önkéntes szervezetek számára</w:t>
            </w:r>
          </w:p>
        </w:tc>
      </w:tr>
      <w:tr w:rsidR="00F21975" w:rsidRPr="004B524C" w:rsidTr="00793AEF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2"/>
                <w:szCs w:val="22"/>
              </w:rPr>
            </w:pPr>
          </w:p>
        </w:tc>
        <w:tc>
          <w:tcPr>
            <w:tcW w:w="3380" w:type="dxa"/>
            <w:vMerge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000000"/>
                <w:sz w:val="22"/>
                <w:szCs w:val="22"/>
              </w:rPr>
            </w:pPr>
          </w:p>
        </w:tc>
        <w:tc>
          <w:tcPr>
            <w:tcW w:w="4092" w:type="dxa"/>
          </w:tcPr>
          <w:p w:rsidR="00F21975" w:rsidRPr="004B524C" w:rsidRDefault="00F21975" w:rsidP="00F0125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 xml:space="preserve">1.1.4 Inkubátor / </w:t>
            </w:r>
            <w:proofErr w:type="spellStart"/>
            <w:r w:rsidRPr="004B524C">
              <w:rPr>
                <w:sz w:val="22"/>
                <w:szCs w:val="22"/>
              </w:rPr>
              <w:t>co-working</w:t>
            </w:r>
            <w:proofErr w:type="spellEnd"/>
            <w:r w:rsidRPr="004B524C">
              <w:rPr>
                <w:sz w:val="22"/>
                <w:szCs w:val="22"/>
              </w:rPr>
              <w:t xml:space="preserve"> irodák kreatív szektorban működő vállalkozásoknak</w:t>
            </w:r>
          </w:p>
        </w:tc>
      </w:tr>
      <w:tr w:rsidR="00F21975" w:rsidRPr="004B524C" w:rsidTr="00793AEF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3380" w:type="dxa"/>
            <w:vMerge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4092" w:type="dxa"/>
          </w:tcPr>
          <w:p w:rsidR="00F21975" w:rsidRPr="004B524C" w:rsidRDefault="00F21975" w:rsidP="00F0125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1.1.5 Waldorf Iskola</w:t>
            </w:r>
          </w:p>
        </w:tc>
      </w:tr>
      <w:tr w:rsidR="00F21975" w:rsidRPr="004B524C" w:rsidTr="00793AEF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3380" w:type="dxa"/>
            <w:vMerge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4092" w:type="dxa"/>
          </w:tcPr>
          <w:p w:rsidR="00F21975" w:rsidRPr="004B524C" w:rsidRDefault="00F21975" w:rsidP="00F0125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1.1.6 Közösségi műtermek / galéria városi és várostérségi képzőművészek számára</w:t>
            </w:r>
          </w:p>
        </w:tc>
      </w:tr>
      <w:tr w:rsidR="00F21975" w:rsidRPr="004B524C" w:rsidTr="00793AEF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3380" w:type="dxa"/>
            <w:vMerge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4092" w:type="dxa"/>
          </w:tcPr>
          <w:p w:rsidR="00F21975" w:rsidRPr="004B524C" w:rsidRDefault="00F21975" w:rsidP="00F0125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1.1.7 Próbatermek: előadó művészet, zene, tánc</w:t>
            </w:r>
          </w:p>
        </w:tc>
      </w:tr>
      <w:tr w:rsidR="00F21975" w:rsidRPr="004B524C" w:rsidTr="00793AEF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3380" w:type="dxa"/>
            <w:vMerge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4092" w:type="dxa"/>
          </w:tcPr>
          <w:p w:rsidR="00F21975" w:rsidRPr="004B524C" w:rsidRDefault="00F21975" w:rsidP="00F0125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1.1.8 Lakó- vagy irodaépületek (0-2)</w:t>
            </w:r>
          </w:p>
        </w:tc>
      </w:tr>
      <w:tr w:rsidR="00F21975" w:rsidRPr="004B524C" w:rsidTr="00F01257">
        <w:tc>
          <w:tcPr>
            <w:tcW w:w="1576" w:type="dxa"/>
            <w:vMerge w:val="restart"/>
            <w:vAlign w:val="center"/>
          </w:tcPr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2. modul:</w:t>
            </w:r>
          </w:p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Szabadtéri területek</w:t>
            </w:r>
          </w:p>
        </w:tc>
        <w:tc>
          <w:tcPr>
            <w:tcW w:w="7472" w:type="dxa"/>
            <w:gridSpan w:val="2"/>
            <w:vAlign w:val="center"/>
          </w:tcPr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2.1 Tájépítészeti és kertészeti tervek elkészítése</w:t>
            </w:r>
          </w:p>
        </w:tc>
      </w:tr>
      <w:tr w:rsidR="00F21975" w:rsidRPr="004B524C" w:rsidTr="00793AEF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3380" w:type="dxa"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2.2 „A” terület</w:t>
            </w:r>
          </w:p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4092" w:type="dxa"/>
            <w:vAlign w:val="center"/>
          </w:tcPr>
          <w:p w:rsidR="00F21975" w:rsidRPr="004B524C" w:rsidRDefault="00F21975" w:rsidP="00F0125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2.2.1 “A” terület zöldfelületeinek és szabadtéri részének hasznosítása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318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 xml:space="preserve">Szabadtéri installációk: </w:t>
            </w:r>
          </w:p>
          <w:p w:rsidR="00F21975" w:rsidRPr="004B524C" w:rsidRDefault="00F21975" w:rsidP="00F2197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Helyi/térségi képzőművészek alkotásainak elhelyezése;</w:t>
            </w:r>
          </w:p>
          <w:p w:rsidR="00F21975" w:rsidRPr="004B524C" w:rsidRDefault="00F21975" w:rsidP="00F2197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Helyi/térségi katonai és kulturális örökségi tárgyak kültéri bemutatása;</w:t>
            </w:r>
          </w:p>
          <w:p w:rsidR="00F21975" w:rsidRPr="004B524C" w:rsidRDefault="00F21975" w:rsidP="00F2197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contextualSpacing/>
              <w:jc w:val="both"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Huszár/ Ló / OM Monarchia kora / Szovjet hadsereg témájú szabadtéri játékok elhelyezése;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318"/>
              <w:contextualSpacing/>
              <w:jc w:val="both"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Szabadtéri színpad kialakítása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318"/>
              <w:contextualSpacing/>
              <w:jc w:val="both"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Kisméretű piac- és rendezvénytér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ind w:left="318"/>
              <w:contextualSpacing/>
              <w:jc w:val="both"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 xml:space="preserve">Huszár hagyományőrző és bemutatóhely, valamint </w:t>
            </w:r>
            <w:proofErr w:type="spellStart"/>
            <w:r w:rsidRPr="004B524C">
              <w:rPr>
                <w:color w:val="000000"/>
                <w:sz w:val="22"/>
                <w:szCs w:val="22"/>
              </w:rPr>
              <w:t>lovaspálya</w:t>
            </w:r>
            <w:proofErr w:type="spellEnd"/>
          </w:p>
          <w:p w:rsidR="00F21975" w:rsidRPr="004B524C" w:rsidRDefault="00F21975" w:rsidP="00F01257">
            <w:pPr>
              <w:spacing w:before="120" w:after="120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Szabadtéri színpad</w:t>
            </w:r>
          </w:p>
        </w:tc>
      </w:tr>
      <w:tr w:rsidR="00F21975" w:rsidRPr="004B524C" w:rsidTr="00793AEF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3380" w:type="dxa"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2.3 „B” terület</w:t>
            </w:r>
          </w:p>
        </w:tc>
        <w:tc>
          <w:tcPr>
            <w:tcW w:w="4092" w:type="dxa"/>
            <w:vAlign w:val="center"/>
          </w:tcPr>
          <w:p w:rsidR="00F21975" w:rsidRPr="004B524C" w:rsidRDefault="00F21975" w:rsidP="00F0125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2.3.1 B terület zöldfelületeinek és szabadtéri részének hasznosítása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318"/>
              <w:contextualSpacing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Központi Park – “Huszár Liget”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318"/>
              <w:contextualSpacing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 xml:space="preserve">Közösségi </w:t>
            </w:r>
            <w:proofErr w:type="gramStart"/>
            <w:r w:rsidRPr="004B524C">
              <w:rPr>
                <w:color w:val="000000"/>
                <w:sz w:val="22"/>
                <w:szCs w:val="22"/>
              </w:rPr>
              <w:t>kert(</w:t>
            </w:r>
            <w:proofErr w:type="spellStart"/>
            <w:proofErr w:type="gramEnd"/>
            <w:r w:rsidRPr="004B524C">
              <w:rPr>
                <w:color w:val="000000"/>
                <w:sz w:val="22"/>
                <w:szCs w:val="22"/>
              </w:rPr>
              <w:t>ek</w:t>
            </w:r>
            <w:proofErr w:type="spellEnd"/>
            <w:r w:rsidRPr="004B524C">
              <w:rPr>
                <w:color w:val="000000"/>
                <w:sz w:val="22"/>
                <w:szCs w:val="22"/>
              </w:rPr>
              <w:t>)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318"/>
              <w:contextualSpacing/>
              <w:jc w:val="both"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Kisebb ligetes zöld közösségi terek kialakítása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318"/>
              <w:contextualSpacing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Tematikus huszár játszótér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318"/>
              <w:contextualSpacing/>
              <w:jc w:val="both"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 xml:space="preserve">Szabadtéri sportpályák, </w:t>
            </w:r>
            <w:proofErr w:type="spellStart"/>
            <w:r w:rsidRPr="004B524C">
              <w:rPr>
                <w:color w:val="000000"/>
                <w:sz w:val="22"/>
                <w:szCs w:val="22"/>
              </w:rPr>
              <w:t>-eszközök</w:t>
            </w:r>
            <w:proofErr w:type="spellEnd"/>
            <w:r w:rsidRPr="004B524C">
              <w:rPr>
                <w:color w:val="000000"/>
                <w:sz w:val="22"/>
                <w:szCs w:val="22"/>
              </w:rPr>
              <w:t xml:space="preserve">: bringapark, </w:t>
            </w:r>
            <w:proofErr w:type="spellStart"/>
            <w:r w:rsidRPr="004B524C">
              <w:rPr>
                <w:color w:val="000000"/>
                <w:sz w:val="22"/>
                <w:szCs w:val="22"/>
              </w:rPr>
              <w:t>street</w:t>
            </w:r>
            <w:proofErr w:type="spellEnd"/>
            <w:r w:rsidRPr="004B524C">
              <w:rPr>
                <w:color w:val="000000"/>
                <w:sz w:val="22"/>
                <w:szCs w:val="22"/>
              </w:rPr>
              <w:t xml:space="preserve"> sportok stb.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318"/>
              <w:contextualSpacing/>
              <w:jc w:val="both"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Közös tárolóépületek az új lakások lakói és a közösségi kertek használói számára</w:t>
            </w:r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ind w:left="318"/>
              <w:contextualSpacing/>
              <w:rPr>
                <w:sz w:val="22"/>
                <w:szCs w:val="22"/>
              </w:rPr>
            </w:pPr>
            <w:proofErr w:type="spellStart"/>
            <w:r w:rsidRPr="004B524C">
              <w:rPr>
                <w:color w:val="000000"/>
                <w:sz w:val="22"/>
                <w:szCs w:val="22"/>
              </w:rPr>
              <w:t>Velodrom</w:t>
            </w:r>
            <w:proofErr w:type="spellEnd"/>
          </w:p>
          <w:p w:rsidR="00F21975" w:rsidRPr="004B524C" w:rsidRDefault="00F21975" w:rsidP="00F2197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20"/>
              <w:ind w:left="318"/>
              <w:contextualSpacing/>
              <w:rPr>
                <w:sz w:val="22"/>
                <w:szCs w:val="22"/>
              </w:rPr>
            </w:pPr>
            <w:r w:rsidRPr="004B524C">
              <w:rPr>
                <w:color w:val="000000"/>
                <w:sz w:val="22"/>
                <w:szCs w:val="22"/>
              </w:rPr>
              <w:t>Vásárterület és csarnok</w:t>
            </w:r>
          </w:p>
        </w:tc>
      </w:tr>
      <w:tr w:rsidR="00F21975" w:rsidRPr="004B524C" w:rsidTr="00793AEF">
        <w:tc>
          <w:tcPr>
            <w:tcW w:w="1576" w:type="dxa"/>
            <w:vMerge w:val="restart"/>
            <w:vAlign w:val="center"/>
          </w:tcPr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3. modul:</w:t>
            </w:r>
          </w:p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“B” terület</w:t>
            </w:r>
          </w:p>
        </w:tc>
        <w:tc>
          <w:tcPr>
            <w:tcW w:w="3380" w:type="dxa"/>
            <w:vMerge w:val="restart"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3.1 Lakóterület</w:t>
            </w:r>
          </w:p>
        </w:tc>
        <w:tc>
          <w:tcPr>
            <w:tcW w:w="4092" w:type="dxa"/>
            <w:vAlign w:val="center"/>
          </w:tcPr>
          <w:p w:rsidR="00F21975" w:rsidRPr="004B524C" w:rsidRDefault="00F21975" w:rsidP="00F0125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3.1.1 Részletes szabályozási terv, telekfelosztás elkészítése, talajszennyezés részletes felmérése, bontási terv a „B” terület értéktelen épületei vonatkozásában</w:t>
            </w:r>
          </w:p>
        </w:tc>
      </w:tr>
      <w:tr w:rsidR="00F21975" w:rsidRPr="004B524C" w:rsidTr="00793AEF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3380" w:type="dxa"/>
            <w:vMerge/>
            <w:shd w:val="clear" w:color="auto" w:fill="C5E0B3" w:themeFill="accent6" w:themeFillTint="66"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4092" w:type="dxa"/>
            <w:vAlign w:val="center"/>
          </w:tcPr>
          <w:p w:rsidR="00F21975" w:rsidRPr="004B524C" w:rsidRDefault="00F21975" w:rsidP="00F0125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3.1.2 Terület értékesítése, belső közlekedési útvonalak, parkolók illetve egyéb közművek tervezése és kiépítése</w:t>
            </w:r>
          </w:p>
        </w:tc>
      </w:tr>
      <w:tr w:rsidR="00F21975" w:rsidRPr="004B524C" w:rsidTr="00F01257">
        <w:tc>
          <w:tcPr>
            <w:tcW w:w="1576" w:type="dxa"/>
            <w:vMerge w:val="restart"/>
            <w:vAlign w:val="center"/>
          </w:tcPr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4. modul:</w:t>
            </w:r>
          </w:p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 xml:space="preserve">Horizontális </w:t>
            </w:r>
            <w:proofErr w:type="spellStart"/>
            <w:r w:rsidRPr="004B524C">
              <w:rPr>
                <w:sz w:val="22"/>
                <w:szCs w:val="22"/>
              </w:rPr>
              <w:t>tevékenysé-gek</w:t>
            </w:r>
            <w:proofErr w:type="spellEnd"/>
          </w:p>
        </w:tc>
        <w:tc>
          <w:tcPr>
            <w:tcW w:w="7472" w:type="dxa"/>
            <w:gridSpan w:val="2"/>
            <w:vAlign w:val="center"/>
          </w:tcPr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4.1. Karbantartás, állagmegóvás</w:t>
            </w:r>
          </w:p>
        </w:tc>
      </w:tr>
      <w:tr w:rsidR="00F21975" w:rsidRPr="004B524C" w:rsidTr="00F01257">
        <w:tc>
          <w:tcPr>
            <w:tcW w:w="1576" w:type="dxa"/>
            <w:vMerge/>
            <w:vAlign w:val="center"/>
          </w:tcPr>
          <w:p w:rsidR="00F21975" w:rsidRPr="004B524C" w:rsidRDefault="00F21975" w:rsidP="00F01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2"/>
                <w:szCs w:val="22"/>
              </w:rPr>
            </w:pPr>
          </w:p>
        </w:tc>
        <w:tc>
          <w:tcPr>
            <w:tcW w:w="7472" w:type="dxa"/>
            <w:gridSpan w:val="2"/>
            <w:vAlign w:val="center"/>
          </w:tcPr>
          <w:p w:rsidR="00F21975" w:rsidRPr="004B524C" w:rsidRDefault="00F21975" w:rsidP="00F0125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4.2. Kommunikációs tevékenységek</w:t>
            </w:r>
          </w:p>
        </w:tc>
      </w:tr>
    </w:tbl>
    <w:p w:rsidR="00432367" w:rsidRDefault="00432367" w:rsidP="00F21975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000000"/>
          <w:sz w:val="22"/>
          <w:szCs w:val="22"/>
        </w:rPr>
      </w:pPr>
    </w:p>
    <w:p w:rsidR="00D9679D" w:rsidRPr="004A4587" w:rsidRDefault="004A4587" w:rsidP="004A4587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III. </w:t>
      </w:r>
      <w:r w:rsidR="00D9679D" w:rsidRPr="00D9679D">
        <w:rPr>
          <w:b/>
          <w:color w:val="000000"/>
          <w:sz w:val="22"/>
          <w:szCs w:val="22"/>
        </w:rPr>
        <w:t>A Helyi Támogató Csoport javaslata a fenti funkciók térbeli elhelyezésére</w:t>
      </w:r>
    </w:p>
    <w:p w:rsidR="004A4587" w:rsidRPr="004A4587" w:rsidRDefault="004A4587" w:rsidP="00F21975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color w:val="000000"/>
          <w:sz w:val="22"/>
          <w:szCs w:val="22"/>
        </w:rPr>
      </w:pPr>
    </w:p>
    <w:p w:rsidR="00BD5B8C" w:rsidRPr="004B524C" w:rsidRDefault="00F21975">
      <w:pPr>
        <w:rPr>
          <w:sz w:val="22"/>
          <w:szCs w:val="22"/>
        </w:rPr>
      </w:pPr>
      <w:r w:rsidRPr="004B524C">
        <w:rPr>
          <w:noProof/>
          <w:sz w:val="22"/>
          <w:szCs w:val="22"/>
        </w:rPr>
        <w:drawing>
          <wp:inline distT="0" distB="0" distL="0" distR="0" wp14:anchorId="00F28D75">
            <wp:extent cx="7645400" cy="5734050"/>
            <wp:effectExtent l="3175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4259" cy="574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B8C" w:rsidRPr="004B524C" w:rsidRDefault="00BD5B8C" w:rsidP="00BD5B8C">
      <w:pPr>
        <w:rPr>
          <w:sz w:val="22"/>
          <w:szCs w:val="22"/>
        </w:rPr>
      </w:pPr>
    </w:p>
    <w:p w:rsidR="00BD5B8C" w:rsidRPr="004A4587" w:rsidRDefault="004A4587" w:rsidP="004A4587">
      <w:pPr>
        <w:rPr>
          <w:b/>
          <w:sz w:val="22"/>
          <w:szCs w:val="22"/>
        </w:rPr>
      </w:pPr>
      <w:r w:rsidRPr="004A4587">
        <w:rPr>
          <w:b/>
          <w:sz w:val="22"/>
          <w:szCs w:val="22"/>
        </w:rPr>
        <w:t xml:space="preserve">IV. </w:t>
      </w:r>
      <w:r w:rsidR="003E4995" w:rsidRPr="004A4587">
        <w:rPr>
          <w:b/>
          <w:sz w:val="22"/>
          <w:szCs w:val="22"/>
        </w:rPr>
        <w:t>A várhatóan felmerülő kiadások és bevételek évenkénti bontásban:</w:t>
      </w:r>
    </w:p>
    <w:p w:rsidR="003E4995" w:rsidRPr="004B524C" w:rsidRDefault="003E4995" w:rsidP="00BD5B8C">
      <w:pPr>
        <w:rPr>
          <w:sz w:val="22"/>
          <w:szCs w:val="22"/>
        </w:rPr>
      </w:pPr>
    </w:p>
    <w:tbl>
      <w:tblPr>
        <w:tblW w:w="9208" w:type="dxa"/>
        <w:tblBorders>
          <w:top w:val="single" w:sz="4" w:space="0" w:color="DBE6B6"/>
          <w:left w:val="single" w:sz="4" w:space="0" w:color="DBE6B6"/>
          <w:bottom w:val="single" w:sz="4" w:space="0" w:color="DBE6B6"/>
          <w:right w:val="single" w:sz="4" w:space="0" w:color="DBE6B6"/>
          <w:insideH w:val="single" w:sz="4" w:space="0" w:color="DBE6B6"/>
          <w:insideV w:val="single" w:sz="4" w:space="0" w:color="DBE6B6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851"/>
        <w:gridCol w:w="741"/>
        <w:gridCol w:w="960"/>
        <w:gridCol w:w="992"/>
        <w:gridCol w:w="992"/>
        <w:gridCol w:w="992"/>
        <w:gridCol w:w="879"/>
        <w:gridCol w:w="963"/>
      </w:tblGrid>
      <w:tr w:rsidR="00BD5B8C" w:rsidRPr="004B524C" w:rsidTr="00432367">
        <w:tc>
          <w:tcPr>
            <w:tcW w:w="1838" w:type="dxa"/>
            <w:shd w:val="clear" w:color="auto" w:fill="A5C249"/>
          </w:tcPr>
          <w:p w:rsidR="00BD5B8C" w:rsidRPr="004B524C" w:rsidRDefault="00BD5B8C" w:rsidP="003E4995">
            <w:pPr>
              <w:spacing w:before="0" w:after="0"/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Becsült bevételek és költségek</w:t>
            </w:r>
            <w:r w:rsidR="003E4995" w:rsidRPr="004B524C">
              <w:rPr>
                <w:b/>
                <w:sz w:val="22"/>
                <w:szCs w:val="22"/>
              </w:rPr>
              <w:t xml:space="preserve"> </w:t>
            </w:r>
          </w:p>
          <w:p w:rsidR="003E4995" w:rsidRPr="004B524C" w:rsidRDefault="003E4995" w:rsidP="00BD5B8C">
            <w:pPr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millió Ft</w:t>
            </w:r>
          </w:p>
        </w:tc>
        <w:tc>
          <w:tcPr>
            <w:tcW w:w="851" w:type="dxa"/>
            <w:shd w:val="clear" w:color="auto" w:fill="A5C249"/>
            <w:vAlign w:val="center"/>
          </w:tcPr>
          <w:p w:rsidR="00BD5B8C" w:rsidRPr="004B524C" w:rsidRDefault="00BD5B8C" w:rsidP="00BD5B8C">
            <w:pPr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2018</w:t>
            </w:r>
          </w:p>
        </w:tc>
        <w:tc>
          <w:tcPr>
            <w:tcW w:w="741" w:type="dxa"/>
            <w:shd w:val="clear" w:color="auto" w:fill="A5C249"/>
            <w:vAlign w:val="center"/>
          </w:tcPr>
          <w:p w:rsidR="00BD5B8C" w:rsidRPr="004B524C" w:rsidRDefault="00BD5B8C" w:rsidP="00BD5B8C">
            <w:pPr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960" w:type="dxa"/>
            <w:shd w:val="clear" w:color="auto" w:fill="A5C249"/>
            <w:vAlign w:val="center"/>
          </w:tcPr>
          <w:p w:rsidR="00BD5B8C" w:rsidRPr="004B524C" w:rsidRDefault="00BD5B8C" w:rsidP="00BD5B8C">
            <w:pPr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992" w:type="dxa"/>
            <w:shd w:val="clear" w:color="auto" w:fill="A5C249"/>
            <w:vAlign w:val="center"/>
          </w:tcPr>
          <w:p w:rsidR="00BD5B8C" w:rsidRPr="004B524C" w:rsidRDefault="00BD5B8C" w:rsidP="00BD5B8C">
            <w:pPr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992" w:type="dxa"/>
            <w:shd w:val="clear" w:color="auto" w:fill="A5C249"/>
            <w:vAlign w:val="center"/>
          </w:tcPr>
          <w:p w:rsidR="00BD5B8C" w:rsidRPr="004B524C" w:rsidRDefault="00BD5B8C" w:rsidP="00BD5B8C">
            <w:pPr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992" w:type="dxa"/>
            <w:shd w:val="clear" w:color="auto" w:fill="A5C249"/>
            <w:vAlign w:val="center"/>
          </w:tcPr>
          <w:p w:rsidR="00BD5B8C" w:rsidRPr="004B524C" w:rsidRDefault="00BD5B8C" w:rsidP="00BD5B8C">
            <w:pPr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2023</w:t>
            </w:r>
          </w:p>
        </w:tc>
        <w:tc>
          <w:tcPr>
            <w:tcW w:w="879" w:type="dxa"/>
            <w:shd w:val="clear" w:color="auto" w:fill="A5C249"/>
            <w:vAlign w:val="center"/>
          </w:tcPr>
          <w:p w:rsidR="00BD5B8C" w:rsidRPr="004B524C" w:rsidRDefault="00BD5B8C" w:rsidP="00BD5B8C">
            <w:pPr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2024</w:t>
            </w:r>
          </w:p>
        </w:tc>
        <w:tc>
          <w:tcPr>
            <w:tcW w:w="963" w:type="dxa"/>
            <w:shd w:val="clear" w:color="auto" w:fill="A5C249"/>
            <w:vAlign w:val="center"/>
          </w:tcPr>
          <w:p w:rsidR="00BD5B8C" w:rsidRPr="004B524C" w:rsidRDefault="00BD5B8C" w:rsidP="00BD5B8C">
            <w:pPr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ÖSSZE-SEN</w:t>
            </w:r>
          </w:p>
          <w:p w:rsidR="003E4995" w:rsidRPr="004B524C" w:rsidRDefault="003E4995" w:rsidP="00BD5B8C">
            <w:pPr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millió Ft</w:t>
            </w:r>
          </w:p>
        </w:tc>
      </w:tr>
      <w:tr w:rsidR="00432367" w:rsidRPr="004B524C" w:rsidTr="00432367">
        <w:tc>
          <w:tcPr>
            <w:tcW w:w="1838" w:type="dxa"/>
          </w:tcPr>
          <w:p w:rsidR="00BD5B8C" w:rsidRPr="004B524C" w:rsidRDefault="00BD5B8C" w:rsidP="00BD5B8C">
            <w:pPr>
              <w:spacing w:before="0"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 xml:space="preserve">Bevételek – </w:t>
            </w:r>
          </w:p>
          <w:p w:rsidR="00BD5B8C" w:rsidRPr="004B524C" w:rsidRDefault="00BD5B8C" w:rsidP="00BD5B8C">
            <w:pPr>
              <w:spacing w:before="0"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ingatlan-eladás</w:t>
            </w:r>
          </w:p>
          <w:p w:rsidR="00BD5B8C" w:rsidRPr="004B524C" w:rsidRDefault="00BD5B8C" w:rsidP="00BD5B8C">
            <w:pPr>
              <w:spacing w:before="0"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(8.7 hektár)</w:t>
            </w:r>
          </w:p>
        </w:tc>
        <w:tc>
          <w:tcPr>
            <w:tcW w:w="85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300</w:t>
            </w:r>
          </w:p>
        </w:tc>
        <w:tc>
          <w:tcPr>
            <w:tcW w:w="74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450</w:t>
            </w:r>
          </w:p>
        </w:tc>
        <w:tc>
          <w:tcPr>
            <w:tcW w:w="960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550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79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C9DA91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1,300</w:t>
            </w:r>
          </w:p>
        </w:tc>
      </w:tr>
      <w:tr w:rsidR="00432367" w:rsidRPr="004B524C" w:rsidTr="00432367">
        <w:tc>
          <w:tcPr>
            <w:tcW w:w="1838" w:type="dxa"/>
          </w:tcPr>
          <w:p w:rsidR="00BD5B8C" w:rsidRPr="004B524C" w:rsidRDefault="00BD5B8C" w:rsidP="00BD5B8C">
            <w:pPr>
              <w:spacing w:before="0"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 xml:space="preserve">Bevételek – </w:t>
            </w:r>
          </w:p>
          <w:p w:rsidR="00BD5B8C" w:rsidRPr="004B524C" w:rsidRDefault="00BD5B8C" w:rsidP="00BD5B8C">
            <w:pPr>
              <w:spacing w:before="0"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bérleti díjak</w:t>
            </w:r>
          </w:p>
        </w:tc>
        <w:tc>
          <w:tcPr>
            <w:tcW w:w="85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4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60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50</w:t>
            </w:r>
          </w:p>
        </w:tc>
        <w:tc>
          <w:tcPr>
            <w:tcW w:w="879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50</w:t>
            </w:r>
          </w:p>
        </w:tc>
        <w:tc>
          <w:tcPr>
            <w:tcW w:w="963" w:type="dxa"/>
            <w:shd w:val="clear" w:color="auto" w:fill="C9DA91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100</w:t>
            </w:r>
          </w:p>
        </w:tc>
      </w:tr>
      <w:tr w:rsidR="00432367" w:rsidRPr="004B524C" w:rsidTr="00432367">
        <w:tc>
          <w:tcPr>
            <w:tcW w:w="1838" w:type="dxa"/>
          </w:tcPr>
          <w:p w:rsidR="00BD5B8C" w:rsidRPr="004B524C" w:rsidRDefault="00BD5B8C" w:rsidP="00BD5B8C">
            <w:pPr>
              <w:spacing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Részletes tervek</w:t>
            </w:r>
          </w:p>
        </w:tc>
        <w:tc>
          <w:tcPr>
            <w:tcW w:w="85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-40</w:t>
            </w:r>
          </w:p>
        </w:tc>
        <w:tc>
          <w:tcPr>
            <w:tcW w:w="74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-30</w:t>
            </w:r>
          </w:p>
        </w:tc>
        <w:tc>
          <w:tcPr>
            <w:tcW w:w="960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-20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79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C9DA91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-90</w:t>
            </w:r>
          </w:p>
        </w:tc>
      </w:tr>
      <w:tr w:rsidR="00432367" w:rsidRPr="004B524C" w:rsidTr="00432367">
        <w:tc>
          <w:tcPr>
            <w:tcW w:w="1838" w:type="dxa"/>
          </w:tcPr>
          <w:p w:rsidR="00BD5B8C" w:rsidRPr="004B524C" w:rsidRDefault="00BD5B8C" w:rsidP="00BD5B8C">
            <w:pPr>
              <w:spacing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Közüzemi szolgáltatások, úthálózat</w:t>
            </w:r>
          </w:p>
        </w:tc>
        <w:tc>
          <w:tcPr>
            <w:tcW w:w="85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4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-800</w:t>
            </w:r>
          </w:p>
        </w:tc>
        <w:tc>
          <w:tcPr>
            <w:tcW w:w="960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-800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-656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79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C9DA91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-2,256</w:t>
            </w:r>
          </w:p>
        </w:tc>
      </w:tr>
      <w:tr w:rsidR="00432367" w:rsidRPr="004B524C" w:rsidTr="00432367">
        <w:tc>
          <w:tcPr>
            <w:tcW w:w="1838" w:type="dxa"/>
          </w:tcPr>
          <w:p w:rsidR="00BD5B8C" w:rsidRPr="004B524C" w:rsidRDefault="00BD5B8C" w:rsidP="00BD5B8C">
            <w:pPr>
              <w:spacing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Az A terület felújítása – főbb szerkezetek</w:t>
            </w:r>
          </w:p>
        </w:tc>
        <w:tc>
          <w:tcPr>
            <w:tcW w:w="85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4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-400</w:t>
            </w:r>
          </w:p>
        </w:tc>
        <w:tc>
          <w:tcPr>
            <w:tcW w:w="960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-800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-1,900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-1,800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-100</w:t>
            </w:r>
          </w:p>
        </w:tc>
        <w:tc>
          <w:tcPr>
            <w:tcW w:w="879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63" w:type="dxa"/>
            <w:shd w:val="clear" w:color="auto" w:fill="C9DA91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-5,000</w:t>
            </w:r>
          </w:p>
        </w:tc>
      </w:tr>
      <w:tr w:rsidR="00432367" w:rsidRPr="004B524C" w:rsidTr="00432367">
        <w:tc>
          <w:tcPr>
            <w:tcW w:w="1838" w:type="dxa"/>
          </w:tcPr>
          <w:p w:rsidR="00BD5B8C" w:rsidRPr="004B524C" w:rsidRDefault="00BD5B8C" w:rsidP="00BD5B8C">
            <w:pPr>
              <w:spacing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Kertészeti feladatok, szabadtéri létesítmények</w:t>
            </w:r>
          </w:p>
        </w:tc>
        <w:tc>
          <w:tcPr>
            <w:tcW w:w="85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4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60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-60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-60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-60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-70</w:t>
            </w:r>
          </w:p>
        </w:tc>
        <w:tc>
          <w:tcPr>
            <w:tcW w:w="879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-20</w:t>
            </w:r>
          </w:p>
        </w:tc>
        <w:tc>
          <w:tcPr>
            <w:tcW w:w="963" w:type="dxa"/>
            <w:shd w:val="clear" w:color="auto" w:fill="C9DA91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-270</w:t>
            </w:r>
          </w:p>
        </w:tc>
      </w:tr>
      <w:tr w:rsidR="00432367" w:rsidRPr="004B524C" w:rsidTr="00432367">
        <w:tc>
          <w:tcPr>
            <w:tcW w:w="1838" w:type="dxa"/>
          </w:tcPr>
          <w:p w:rsidR="00BD5B8C" w:rsidRPr="004B524C" w:rsidRDefault="00BD5B8C" w:rsidP="00BD5B8C">
            <w:pPr>
              <w:spacing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Karbantartás</w:t>
            </w:r>
          </w:p>
        </w:tc>
        <w:tc>
          <w:tcPr>
            <w:tcW w:w="85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-800</w:t>
            </w:r>
          </w:p>
        </w:tc>
        <w:tc>
          <w:tcPr>
            <w:tcW w:w="74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-100</w:t>
            </w:r>
          </w:p>
        </w:tc>
        <w:tc>
          <w:tcPr>
            <w:tcW w:w="960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-100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-40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-40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-40</w:t>
            </w:r>
          </w:p>
        </w:tc>
        <w:tc>
          <w:tcPr>
            <w:tcW w:w="879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-40</w:t>
            </w:r>
          </w:p>
        </w:tc>
        <w:tc>
          <w:tcPr>
            <w:tcW w:w="963" w:type="dxa"/>
            <w:shd w:val="clear" w:color="auto" w:fill="C9DA91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-1,160</w:t>
            </w:r>
          </w:p>
        </w:tc>
      </w:tr>
      <w:tr w:rsidR="00432367" w:rsidRPr="004B524C" w:rsidTr="00432367">
        <w:tc>
          <w:tcPr>
            <w:tcW w:w="1838" w:type="dxa"/>
          </w:tcPr>
          <w:p w:rsidR="00BD5B8C" w:rsidRPr="004B524C" w:rsidRDefault="00BD5B8C" w:rsidP="00BD5B8C">
            <w:pPr>
              <w:spacing w:after="0"/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 xml:space="preserve">Közösségi akciókra és kulturális </w:t>
            </w:r>
            <w:proofErr w:type="spellStart"/>
            <w:r w:rsidRPr="004B524C">
              <w:rPr>
                <w:b/>
                <w:sz w:val="22"/>
                <w:szCs w:val="22"/>
              </w:rPr>
              <w:t>ren</w:t>
            </w:r>
            <w:r w:rsidR="004A4587">
              <w:rPr>
                <w:b/>
                <w:sz w:val="22"/>
                <w:szCs w:val="22"/>
              </w:rPr>
              <w:t>-</w:t>
            </w:r>
            <w:r w:rsidRPr="004B524C">
              <w:rPr>
                <w:b/>
                <w:sz w:val="22"/>
                <w:szCs w:val="22"/>
              </w:rPr>
              <w:t>dezvényekre</w:t>
            </w:r>
            <w:proofErr w:type="spellEnd"/>
            <w:r w:rsidRPr="004B524C">
              <w:rPr>
                <w:b/>
                <w:sz w:val="22"/>
                <w:szCs w:val="22"/>
              </w:rPr>
              <w:t xml:space="preserve"> való évenkénti felhívás</w:t>
            </w:r>
          </w:p>
        </w:tc>
        <w:tc>
          <w:tcPr>
            <w:tcW w:w="85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41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-30</w:t>
            </w:r>
          </w:p>
        </w:tc>
        <w:tc>
          <w:tcPr>
            <w:tcW w:w="960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-30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-30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-30</w:t>
            </w:r>
          </w:p>
        </w:tc>
        <w:tc>
          <w:tcPr>
            <w:tcW w:w="992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-30</w:t>
            </w:r>
          </w:p>
        </w:tc>
        <w:tc>
          <w:tcPr>
            <w:tcW w:w="879" w:type="dxa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-30</w:t>
            </w:r>
          </w:p>
        </w:tc>
        <w:tc>
          <w:tcPr>
            <w:tcW w:w="963" w:type="dxa"/>
            <w:shd w:val="clear" w:color="auto" w:fill="C9DA91"/>
            <w:vAlign w:val="center"/>
          </w:tcPr>
          <w:p w:rsidR="00BD5B8C" w:rsidRPr="004B524C" w:rsidRDefault="00BD5B8C" w:rsidP="003E4995">
            <w:pPr>
              <w:jc w:val="right"/>
              <w:rPr>
                <w:sz w:val="22"/>
                <w:szCs w:val="22"/>
              </w:rPr>
            </w:pPr>
            <w:r w:rsidRPr="004B524C">
              <w:rPr>
                <w:sz w:val="22"/>
                <w:szCs w:val="22"/>
              </w:rPr>
              <w:t>-180</w:t>
            </w:r>
          </w:p>
        </w:tc>
      </w:tr>
      <w:tr w:rsidR="00BD5B8C" w:rsidRPr="004B524C" w:rsidTr="00432367">
        <w:tc>
          <w:tcPr>
            <w:tcW w:w="1838" w:type="dxa"/>
            <w:shd w:val="clear" w:color="auto" w:fill="C9DA91"/>
          </w:tcPr>
          <w:p w:rsidR="00BD5B8C" w:rsidRPr="004B524C" w:rsidRDefault="00BD5B8C" w:rsidP="00BD5B8C">
            <w:pPr>
              <w:rPr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ÖSSZESEN</w:t>
            </w:r>
          </w:p>
        </w:tc>
        <w:tc>
          <w:tcPr>
            <w:tcW w:w="851" w:type="dxa"/>
            <w:shd w:val="clear" w:color="auto" w:fill="C9DA91"/>
            <w:vAlign w:val="bottom"/>
          </w:tcPr>
          <w:p w:rsidR="00BD5B8C" w:rsidRPr="004B524C" w:rsidRDefault="00BD5B8C" w:rsidP="003E4995">
            <w:pPr>
              <w:jc w:val="right"/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-540</w:t>
            </w:r>
          </w:p>
        </w:tc>
        <w:tc>
          <w:tcPr>
            <w:tcW w:w="741" w:type="dxa"/>
            <w:shd w:val="clear" w:color="auto" w:fill="C9DA91"/>
            <w:vAlign w:val="bottom"/>
          </w:tcPr>
          <w:p w:rsidR="00BD5B8C" w:rsidRPr="004B524C" w:rsidRDefault="00BD5B8C" w:rsidP="003E4995">
            <w:pPr>
              <w:jc w:val="right"/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-910</w:t>
            </w:r>
          </w:p>
        </w:tc>
        <w:tc>
          <w:tcPr>
            <w:tcW w:w="960" w:type="dxa"/>
            <w:shd w:val="clear" w:color="auto" w:fill="C9DA91"/>
            <w:vAlign w:val="bottom"/>
          </w:tcPr>
          <w:p w:rsidR="00BD5B8C" w:rsidRPr="004B524C" w:rsidRDefault="00BD5B8C" w:rsidP="003E4995">
            <w:pPr>
              <w:jc w:val="right"/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-1,260</w:t>
            </w:r>
          </w:p>
        </w:tc>
        <w:tc>
          <w:tcPr>
            <w:tcW w:w="992" w:type="dxa"/>
            <w:shd w:val="clear" w:color="auto" w:fill="C9DA91"/>
            <w:vAlign w:val="bottom"/>
          </w:tcPr>
          <w:p w:rsidR="00BD5B8C" w:rsidRPr="004B524C" w:rsidRDefault="00BD5B8C" w:rsidP="003E4995">
            <w:pPr>
              <w:jc w:val="right"/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-2,686</w:t>
            </w:r>
          </w:p>
        </w:tc>
        <w:tc>
          <w:tcPr>
            <w:tcW w:w="992" w:type="dxa"/>
            <w:shd w:val="clear" w:color="auto" w:fill="C9DA91"/>
            <w:vAlign w:val="bottom"/>
          </w:tcPr>
          <w:p w:rsidR="00BD5B8C" w:rsidRPr="004B524C" w:rsidRDefault="00BD5B8C" w:rsidP="003E4995">
            <w:pPr>
              <w:jc w:val="right"/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-1,930</w:t>
            </w:r>
          </w:p>
        </w:tc>
        <w:tc>
          <w:tcPr>
            <w:tcW w:w="992" w:type="dxa"/>
            <w:shd w:val="clear" w:color="auto" w:fill="C9DA91"/>
            <w:vAlign w:val="bottom"/>
          </w:tcPr>
          <w:p w:rsidR="00BD5B8C" w:rsidRPr="004B524C" w:rsidRDefault="00BD5B8C" w:rsidP="003E4995">
            <w:pPr>
              <w:jc w:val="right"/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-190</w:t>
            </w:r>
          </w:p>
        </w:tc>
        <w:tc>
          <w:tcPr>
            <w:tcW w:w="879" w:type="dxa"/>
            <w:shd w:val="clear" w:color="auto" w:fill="C9DA91"/>
            <w:vAlign w:val="bottom"/>
          </w:tcPr>
          <w:p w:rsidR="00BD5B8C" w:rsidRPr="004B524C" w:rsidRDefault="00BD5B8C" w:rsidP="003E4995">
            <w:pPr>
              <w:jc w:val="right"/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-40</w:t>
            </w:r>
          </w:p>
        </w:tc>
        <w:tc>
          <w:tcPr>
            <w:tcW w:w="963" w:type="dxa"/>
            <w:shd w:val="clear" w:color="auto" w:fill="C9DA91"/>
            <w:vAlign w:val="bottom"/>
          </w:tcPr>
          <w:p w:rsidR="00BD5B8C" w:rsidRPr="004B524C" w:rsidRDefault="00BD5B8C" w:rsidP="003E4995">
            <w:pPr>
              <w:jc w:val="right"/>
              <w:rPr>
                <w:b/>
                <w:sz w:val="22"/>
                <w:szCs w:val="22"/>
              </w:rPr>
            </w:pPr>
            <w:r w:rsidRPr="004B524C">
              <w:rPr>
                <w:b/>
                <w:sz w:val="22"/>
                <w:szCs w:val="22"/>
              </w:rPr>
              <w:t>-7,556</w:t>
            </w:r>
          </w:p>
        </w:tc>
      </w:tr>
    </w:tbl>
    <w:p w:rsidR="00D9679D" w:rsidRDefault="00D9679D" w:rsidP="00BD5B8C">
      <w:pPr>
        <w:rPr>
          <w:sz w:val="22"/>
          <w:szCs w:val="22"/>
        </w:rPr>
      </w:pPr>
    </w:p>
    <w:p w:rsidR="00793AEF" w:rsidRDefault="00793AEF" w:rsidP="004A4587">
      <w:pPr>
        <w:rPr>
          <w:sz w:val="22"/>
          <w:szCs w:val="22"/>
        </w:rPr>
      </w:pPr>
    </w:p>
    <w:p w:rsidR="00793AEF" w:rsidRDefault="00793AEF" w:rsidP="004A4587">
      <w:pPr>
        <w:rPr>
          <w:sz w:val="22"/>
          <w:szCs w:val="22"/>
        </w:rPr>
      </w:pPr>
    </w:p>
    <w:p w:rsidR="004A4587" w:rsidRPr="004B524C" w:rsidRDefault="004A4587" w:rsidP="004A4587">
      <w:pPr>
        <w:rPr>
          <w:sz w:val="22"/>
          <w:szCs w:val="22"/>
        </w:rPr>
      </w:pPr>
      <w:r w:rsidRPr="004B524C">
        <w:rPr>
          <w:sz w:val="22"/>
          <w:szCs w:val="22"/>
        </w:rPr>
        <w:t>A tervezett bevételeken túli finanszírozási források lehetnek az alábbiak:</w:t>
      </w:r>
    </w:p>
    <w:p w:rsidR="004A4587" w:rsidRPr="004B524C" w:rsidRDefault="004A4587" w:rsidP="004A4587">
      <w:pPr>
        <w:spacing w:after="0"/>
        <w:rPr>
          <w:sz w:val="22"/>
          <w:szCs w:val="22"/>
        </w:rPr>
      </w:pPr>
      <w:r w:rsidRPr="004B524C">
        <w:rPr>
          <w:sz w:val="22"/>
          <w:szCs w:val="22"/>
        </w:rPr>
        <w:t>1. Európai Uniós pénzügyi források</w:t>
      </w:r>
    </w:p>
    <w:p w:rsidR="004A4587" w:rsidRPr="004B524C" w:rsidRDefault="004A4587" w:rsidP="004A4587">
      <w:pPr>
        <w:spacing w:after="0"/>
        <w:ind w:firstLine="708"/>
        <w:rPr>
          <w:sz w:val="22"/>
          <w:szCs w:val="22"/>
        </w:rPr>
      </w:pPr>
      <w:r w:rsidRPr="004B524C">
        <w:rPr>
          <w:sz w:val="22"/>
          <w:szCs w:val="22"/>
        </w:rPr>
        <w:t>- ERFA, ESZA</w:t>
      </w:r>
    </w:p>
    <w:p w:rsidR="004A4587" w:rsidRPr="004B524C" w:rsidRDefault="004A4587" w:rsidP="004A4587">
      <w:pPr>
        <w:spacing w:after="0"/>
        <w:ind w:firstLine="708"/>
        <w:rPr>
          <w:sz w:val="22"/>
          <w:szCs w:val="22"/>
        </w:rPr>
      </w:pPr>
      <w:r w:rsidRPr="004B524C">
        <w:rPr>
          <w:sz w:val="22"/>
          <w:szCs w:val="22"/>
        </w:rPr>
        <w:t xml:space="preserve">- </w:t>
      </w:r>
      <w:proofErr w:type="spellStart"/>
      <w:r w:rsidRPr="004B524C">
        <w:rPr>
          <w:sz w:val="22"/>
          <w:szCs w:val="22"/>
        </w:rPr>
        <w:t>Interreg</w:t>
      </w:r>
      <w:proofErr w:type="spellEnd"/>
    </w:p>
    <w:p w:rsidR="004A4587" w:rsidRPr="004B524C" w:rsidRDefault="004A4587" w:rsidP="004A4587">
      <w:pPr>
        <w:spacing w:after="0"/>
        <w:ind w:firstLine="708"/>
        <w:rPr>
          <w:sz w:val="22"/>
          <w:szCs w:val="22"/>
        </w:rPr>
      </w:pPr>
      <w:r w:rsidRPr="004B524C">
        <w:rPr>
          <w:sz w:val="22"/>
          <w:szCs w:val="22"/>
        </w:rPr>
        <w:t>- URBACT Városi Innovatív Akciók</w:t>
      </w:r>
    </w:p>
    <w:p w:rsidR="004A4587" w:rsidRPr="004B524C" w:rsidRDefault="004A4587" w:rsidP="004A4587">
      <w:pPr>
        <w:ind w:firstLine="708"/>
        <w:rPr>
          <w:sz w:val="22"/>
          <w:szCs w:val="22"/>
        </w:rPr>
      </w:pPr>
      <w:r w:rsidRPr="004B524C">
        <w:rPr>
          <w:sz w:val="22"/>
          <w:szCs w:val="22"/>
        </w:rPr>
        <w:t>- Feltöltődő alapok (JESSICA)</w:t>
      </w:r>
    </w:p>
    <w:p w:rsidR="004A4587" w:rsidRPr="004B524C" w:rsidRDefault="004A4587" w:rsidP="004A4587">
      <w:pPr>
        <w:rPr>
          <w:sz w:val="22"/>
          <w:szCs w:val="22"/>
        </w:rPr>
      </w:pPr>
      <w:r w:rsidRPr="004B524C">
        <w:rPr>
          <w:sz w:val="22"/>
          <w:szCs w:val="22"/>
        </w:rPr>
        <w:t>2. Állami támogatás: Modern Városok Program</w:t>
      </w:r>
    </w:p>
    <w:p w:rsidR="004A4587" w:rsidRPr="004B524C" w:rsidRDefault="004A4587" w:rsidP="004A4587">
      <w:pPr>
        <w:rPr>
          <w:sz w:val="22"/>
          <w:szCs w:val="22"/>
        </w:rPr>
      </w:pPr>
      <w:r w:rsidRPr="004B524C">
        <w:rPr>
          <w:sz w:val="22"/>
          <w:szCs w:val="22"/>
        </w:rPr>
        <w:t>3. Helyi gazdaságból származó támogatás adókedvezményekkel kapcsolatban</w:t>
      </w:r>
    </w:p>
    <w:p w:rsidR="004A4587" w:rsidRDefault="004A4587" w:rsidP="00BD5B8C">
      <w:pPr>
        <w:rPr>
          <w:sz w:val="22"/>
          <w:szCs w:val="22"/>
        </w:rPr>
      </w:pPr>
    </w:p>
    <w:p w:rsidR="004A4587" w:rsidRDefault="00847EDA" w:rsidP="00BD5B8C">
      <w:pPr>
        <w:rPr>
          <w:b/>
          <w:sz w:val="22"/>
          <w:szCs w:val="22"/>
        </w:rPr>
      </w:pPr>
      <w:bookmarkStart w:id="0" w:name="_GoBack"/>
      <w:bookmarkEnd w:id="0"/>
      <w:r w:rsidRPr="00847EDA">
        <w:rPr>
          <w:b/>
          <w:sz w:val="22"/>
          <w:szCs w:val="22"/>
        </w:rPr>
        <w:t>V. Ütemezés</w:t>
      </w:r>
    </w:p>
    <w:p w:rsidR="00847EDA" w:rsidRPr="00847EDA" w:rsidRDefault="00847EDA" w:rsidP="00BD5B8C">
      <w:pPr>
        <w:rPr>
          <w:b/>
          <w:sz w:val="22"/>
          <w:szCs w:val="22"/>
        </w:rPr>
      </w:pPr>
    </w:p>
    <w:p w:rsidR="004A4587" w:rsidRDefault="004A4587" w:rsidP="00BD5B8C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0F95520">
            <wp:extent cx="5761355" cy="4322445"/>
            <wp:effectExtent l="0" t="0" r="0" b="190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587" w:rsidRDefault="004A4587" w:rsidP="004A4587">
      <w:pPr>
        <w:jc w:val="both"/>
        <w:rPr>
          <w:sz w:val="22"/>
          <w:szCs w:val="22"/>
        </w:rPr>
      </w:pPr>
    </w:p>
    <w:p w:rsidR="003E4995" w:rsidRPr="004B524C" w:rsidRDefault="004A4587" w:rsidP="00847EDA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Az ütemezés nem veszi figyelembe a szükséges előkészítési tevékenységeket (pl. rendezési terv módosítása), mivel ezek átfutási ideje az Akcióterv készítésének ideje alatt nem volt előre látható. Az évszámok így inkább csak a szükséges időtartamot jelölik ki. </w:t>
      </w:r>
    </w:p>
    <w:sectPr w:rsidR="003E4995" w:rsidRPr="004B5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B3FFE"/>
    <w:multiLevelType w:val="multilevel"/>
    <w:tmpl w:val="75C44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6241FA"/>
    <w:multiLevelType w:val="multilevel"/>
    <w:tmpl w:val="A030E9C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4"/>
      <w:numFmt w:val="bullet"/>
      <w:lvlText w:val="•"/>
      <w:lvlJc w:val="left"/>
      <w:pPr>
        <w:ind w:left="1440" w:hanging="360"/>
      </w:pPr>
      <w:rPr>
        <w:rFonts w:ascii="Century Gothic" w:eastAsia="Century Gothic" w:hAnsi="Century Gothic" w:cs="Century Gothic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034647"/>
    <w:multiLevelType w:val="multilevel"/>
    <w:tmpl w:val="8BEA33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AE2A22"/>
    <w:multiLevelType w:val="hybridMultilevel"/>
    <w:tmpl w:val="79DEA0D4"/>
    <w:lvl w:ilvl="0" w:tplc="A788A5B4">
      <w:start w:val="3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94A86"/>
    <w:multiLevelType w:val="hybridMultilevel"/>
    <w:tmpl w:val="D7C09D28"/>
    <w:lvl w:ilvl="0" w:tplc="8CC4E708">
      <w:start w:val="3"/>
      <w:numFmt w:val="bullet"/>
      <w:lvlText w:val="-"/>
      <w:lvlJc w:val="left"/>
      <w:pPr>
        <w:ind w:left="1080" w:hanging="360"/>
      </w:pPr>
      <w:rPr>
        <w:rFonts w:ascii="Century Gothic" w:eastAsia="Century Gothic" w:hAnsi="Century Gothic" w:cs="Century Gothic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5CF"/>
    <w:rsid w:val="001A4ADC"/>
    <w:rsid w:val="003E4995"/>
    <w:rsid w:val="00432367"/>
    <w:rsid w:val="004A4587"/>
    <w:rsid w:val="004B524C"/>
    <w:rsid w:val="004F7135"/>
    <w:rsid w:val="00793AEF"/>
    <w:rsid w:val="00847EDA"/>
    <w:rsid w:val="00A31D84"/>
    <w:rsid w:val="00A4003A"/>
    <w:rsid w:val="00B06322"/>
    <w:rsid w:val="00BD5B8C"/>
    <w:rsid w:val="00D9679D"/>
    <w:rsid w:val="00F21975"/>
    <w:rsid w:val="00FD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E3A4D-979A-4587-BDAE-B067E7852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FD05CF"/>
    <w:pPr>
      <w:spacing w:before="100" w:after="200" w:line="276" w:lineRule="auto"/>
    </w:pPr>
    <w:rPr>
      <w:rFonts w:ascii="Century Gothic" w:eastAsia="Century Gothic" w:hAnsi="Century Gothic" w:cs="Century Gothic"/>
      <w:sz w:val="20"/>
      <w:szCs w:val="20"/>
      <w:lang w:eastAsia="hu-HU"/>
    </w:rPr>
  </w:style>
  <w:style w:type="paragraph" w:styleId="Cmsor3">
    <w:name w:val="heading 3"/>
    <w:basedOn w:val="Norml"/>
    <w:next w:val="Norml"/>
    <w:link w:val="Cmsor3Char"/>
    <w:rsid w:val="00FD05CF"/>
    <w:pPr>
      <w:pBdr>
        <w:top w:val="single" w:sz="6" w:space="2" w:color="0F6FC6"/>
      </w:pBdr>
      <w:spacing w:before="300" w:after="0"/>
      <w:outlineLvl w:val="2"/>
    </w:pPr>
    <w:rPr>
      <w:smallCaps/>
      <w:color w:val="07376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rsid w:val="00FD05CF"/>
    <w:rPr>
      <w:rFonts w:ascii="Century Gothic" w:eastAsia="Century Gothic" w:hAnsi="Century Gothic" w:cs="Century Gothic"/>
      <w:smallCaps/>
      <w:color w:val="073762"/>
      <w:sz w:val="20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4B52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861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Győrffy Ágnes</dc:creator>
  <cp:keywords/>
  <dc:description/>
  <cp:lastModifiedBy>Győrffy Ágnes</cp:lastModifiedBy>
  <cp:revision>2</cp:revision>
  <dcterms:created xsi:type="dcterms:W3CDTF">2018-11-20T13:48:00Z</dcterms:created>
  <dcterms:modified xsi:type="dcterms:W3CDTF">2018-11-20T13:48:00Z</dcterms:modified>
</cp:coreProperties>
</file>