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1AE2" w14:textId="5B078451" w:rsidR="00254F89" w:rsidRPr="006527A0" w:rsidRDefault="00254F89" w:rsidP="006527A0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bookmarkStart w:id="0" w:name="_Toc143922675"/>
      <w:bookmarkStart w:id="1" w:name="_Toc251061678"/>
      <w:r w:rsidRPr="006527A0">
        <w:rPr>
          <w:b/>
        </w:rPr>
        <w:t xml:space="preserve">VASIVÍZ </w:t>
      </w:r>
      <w:proofErr w:type="spellStart"/>
      <w:r w:rsidRPr="006527A0">
        <w:rPr>
          <w:b/>
        </w:rPr>
        <w:t>ZRt</w:t>
      </w:r>
      <w:proofErr w:type="spellEnd"/>
      <w:r w:rsidR="006527A0" w:rsidRPr="006527A0">
        <w:rPr>
          <w:b/>
        </w:rPr>
        <w:t>.</w:t>
      </w:r>
    </w:p>
    <w:p w14:paraId="232800E2" w14:textId="623580F1" w:rsidR="00254F89" w:rsidRPr="006527A0" w:rsidRDefault="00254F89" w:rsidP="006527A0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6527A0">
        <w:rPr>
          <w:b/>
        </w:rPr>
        <w:t>Szombathely</w:t>
      </w:r>
    </w:p>
    <w:p w14:paraId="08F2B5CF" w14:textId="39A086FA" w:rsidR="00254F89" w:rsidRPr="006527A0" w:rsidRDefault="00254F89" w:rsidP="006527A0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6527A0">
        <w:rPr>
          <w:b/>
        </w:rPr>
        <w:t xml:space="preserve">Rákóczi F. </w:t>
      </w:r>
      <w:proofErr w:type="gramStart"/>
      <w:r w:rsidRPr="006527A0">
        <w:rPr>
          <w:b/>
        </w:rPr>
        <w:t>u.</w:t>
      </w:r>
      <w:proofErr w:type="gramEnd"/>
      <w:r w:rsidRPr="006527A0">
        <w:rPr>
          <w:b/>
        </w:rPr>
        <w:t xml:space="preserve"> 19.</w:t>
      </w:r>
    </w:p>
    <w:p w14:paraId="430147B0" w14:textId="77777777" w:rsidR="00254F89" w:rsidRDefault="00254F89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</w:pPr>
    </w:p>
    <w:p w14:paraId="65F9A187" w14:textId="77777777" w:rsidR="009C0EB3" w:rsidRDefault="009C0EB3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</w:pPr>
    </w:p>
    <w:p w14:paraId="5364EDF7" w14:textId="007B40C0" w:rsidR="00192904" w:rsidRPr="009C0EB3" w:rsidRDefault="000861A6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b/>
          <w:sz w:val="26"/>
          <w:szCs w:val="26"/>
        </w:rPr>
      </w:pPr>
      <w:r w:rsidRPr="009C0EB3">
        <w:rPr>
          <w:b/>
          <w:sz w:val="26"/>
          <w:szCs w:val="26"/>
        </w:rPr>
        <w:t xml:space="preserve">Fürdő komplexum </w:t>
      </w:r>
      <w:r w:rsidR="0047045A">
        <w:rPr>
          <w:b/>
          <w:sz w:val="26"/>
          <w:szCs w:val="26"/>
        </w:rPr>
        <w:t xml:space="preserve">tervezett </w:t>
      </w:r>
      <w:r w:rsidRPr="009C0EB3">
        <w:rPr>
          <w:b/>
          <w:sz w:val="26"/>
          <w:szCs w:val="26"/>
        </w:rPr>
        <w:t>működtetési költségei és bevételei 2019. évre</w:t>
      </w:r>
    </w:p>
    <w:p w14:paraId="027DD28A" w14:textId="77777777" w:rsidR="000861A6" w:rsidRDefault="000861A6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</w:pPr>
    </w:p>
    <w:p w14:paraId="35393A36" w14:textId="7A393A37" w:rsidR="00E400CA" w:rsidRPr="00F5610A" w:rsidRDefault="00E400CA" w:rsidP="00E400CA">
      <w:pPr>
        <w:jc w:val="both"/>
      </w:pPr>
      <w:r>
        <w:t xml:space="preserve">Az alábbiakban bemutatjuk a </w:t>
      </w:r>
      <w:r w:rsidRPr="009C0EB3">
        <w:rPr>
          <w:b/>
        </w:rPr>
        <w:t>Fedett Uszoda és Termálfürdő</w:t>
      </w:r>
      <w:r>
        <w:t xml:space="preserve"> </w:t>
      </w:r>
      <w:r w:rsidR="006527A0">
        <w:t xml:space="preserve">(továbbiakban Uszoda), valamint </w:t>
      </w:r>
      <w:r w:rsidR="006527A0">
        <w:t xml:space="preserve">az ún. </w:t>
      </w:r>
      <w:r w:rsidR="006527A0" w:rsidRPr="009C0EB3">
        <w:rPr>
          <w:b/>
        </w:rPr>
        <w:t>TAO beruházás keretében létrejött új létesítmény</w:t>
      </w:r>
      <w:r w:rsidR="006527A0">
        <w:t xml:space="preserve"> </w:t>
      </w:r>
      <w:r>
        <w:t>működésének</w:t>
      </w:r>
      <w:r w:rsidR="005A4910">
        <w:t xml:space="preserve"> </w:t>
      </w:r>
      <w:r w:rsidR="005A4910">
        <w:rPr>
          <w:b/>
        </w:rPr>
        <w:t xml:space="preserve">2019. évre </w:t>
      </w:r>
      <w:r w:rsidRPr="009C0EB3">
        <w:t>vonatkozó</w:t>
      </w:r>
      <w:r>
        <w:t xml:space="preserve"> számított </w:t>
      </w:r>
      <w:r w:rsidR="006527A0">
        <w:t xml:space="preserve">üzemeltetési </w:t>
      </w:r>
      <w:r>
        <w:t xml:space="preserve">költségeit, ráfordításait és </w:t>
      </w:r>
      <w:r w:rsidR="006527A0">
        <w:t>bevételeit a létesítmény</w:t>
      </w:r>
      <w:r w:rsidR="0047045A">
        <w:t>ek</w:t>
      </w:r>
      <w:r w:rsidR="006527A0">
        <w:t xml:space="preserve"> </w:t>
      </w:r>
      <w:r w:rsidR="006527A0" w:rsidRPr="009C0EB3">
        <w:rPr>
          <w:b/>
        </w:rPr>
        <w:t xml:space="preserve">egész </w:t>
      </w:r>
      <w:r w:rsidR="006527A0" w:rsidRPr="00F5610A">
        <w:rPr>
          <w:b/>
        </w:rPr>
        <w:t>éves nyitva tartását feltételezve</w:t>
      </w:r>
      <w:r w:rsidR="006527A0" w:rsidRPr="00F5610A">
        <w:t>.</w:t>
      </w:r>
      <w:r w:rsidR="005D6CD8" w:rsidRPr="00F5610A">
        <w:t xml:space="preserve"> A részletes adatokat az 1. sz. mellék</w:t>
      </w:r>
      <w:r w:rsidR="0047045A" w:rsidRPr="00F5610A">
        <w:t>le</w:t>
      </w:r>
      <w:r w:rsidR="005D6CD8" w:rsidRPr="00F5610A">
        <w:t>t tartalmazza.</w:t>
      </w:r>
    </w:p>
    <w:p w14:paraId="4B529CAB" w14:textId="77777777" w:rsidR="0073553B" w:rsidRPr="00F5610A" w:rsidRDefault="0073553B" w:rsidP="00E400CA">
      <w:pPr>
        <w:jc w:val="both"/>
        <w:rPr>
          <w:sz w:val="12"/>
          <w:szCs w:val="12"/>
        </w:rPr>
      </w:pPr>
    </w:p>
    <w:p w14:paraId="59359FBB" w14:textId="499C86DE" w:rsidR="00E400CA" w:rsidRDefault="0073553B" w:rsidP="00E400CA">
      <w:pPr>
        <w:jc w:val="both"/>
      </w:pPr>
      <w:r w:rsidRPr="00F5610A">
        <w:t>A számítás nem tartalmaz</w:t>
      </w:r>
      <w:r w:rsidR="00E400CA" w:rsidRPr="00F5610A">
        <w:t xml:space="preserve"> bérleti díj</w:t>
      </w:r>
      <w:r w:rsidRPr="00F5610A">
        <w:t>at</w:t>
      </w:r>
      <w:r w:rsidR="00E400CA" w:rsidRPr="00F5610A">
        <w:t xml:space="preserve">, </w:t>
      </w:r>
      <w:r w:rsidR="006527A0" w:rsidRPr="00F5610A">
        <w:t>miután a Működtetési és támogatási szerződés</w:t>
      </w:r>
      <w:r w:rsidR="00F5610A">
        <w:t xml:space="preserve"> szerint</w:t>
      </w:r>
      <w:r w:rsidR="00F5610A" w:rsidRPr="00F5610A">
        <w:t xml:space="preserve"> </w:t>
      </w:r>
      <w:r w:rsidR="006527A0" w:rsidRPr="00F5610A">
        <w:t xml:space="preserve"> ingyenes</w:t>
      </w:r>
      <w:r w:rsidRPr="00F5610A">
        <w:t xml:space="preserve"> </w:t>
      </w:r>
      <w:r w:rsidR="00F5610A" w:rsidRPr="00F5610A">
        <w:t>üzemeltetésben állapodtak meg a szerződő felek.</w:t>
      </w:r>
      <w:bookmarkStart w:id="2" w:name="_GoBack"/>
      <w:bookmarkEnd w:id="2"/>
      <w:r w:rsidR="00E400CA">
        <w:t xml:space="preserve"> </w:t>
      </w:r>
    </w:p>
    <w:p w14:paraId="793DBC3F" w14:textId="77777777" w:rsidR="00E400CA" w:rsidRPr="0073553B" w:rsidRDefault="00E400CA" w:rsidP="00E400CA">
      <w:pPr>
        <w:jc w:val="both"/>
        <w:rPr>
          <w:sz w:val="12"/>
          <w:szCs w:val="12"/>
        </w:rPr>
      </w:pPr>
    </w:p>
    <w:p w14:paraId="4DA42B4F" w14:textId="6CEDE6BB" w:rsidR="00E400CA" w:rsidRDefault="00E400CA" w:rsidP="00E400CA">
      <w:pPr>
        <w:jc w:val="both"/>
      </w:pPr>
      <w:r>
        <w:t xml:space="preserve">Nem számoltunk </w:t>
      </w:r>
      <w:r w:rsidR="005A4910">
        <w:t xml:space="preserve">az </w:t>
      </w:r>
      <w:r w:rsidR="006527A0">
        <w:t>U</w:t>
      </w:r>
      <w:r w:rsidR="005A4910">
        <w:t>szoda veszteségfinanszírozásra</w:t>
      </w:r>
      <w:r w:rsidR="006527A0">
        <w:t xml:space="preserve"> Szombathely MJV Önkormányzatától előző években</w:t>
      </w:r>
      <w:r w:rsidR="005A4910">
        <w:t xml:space="preserve"> kapott </w:t>
      </w:r>
      <w:r>
        <w:t>támogatással.</w:t>
      </w:r>
    </w:p>
    <w:p w14:paraId="75F28AE7" w14:textId="77777777" w:rsidR="00E400CA" w:rsidRPr="008450F3" w:rsidRDefault="00E400CA" w:rsidP="00E400CA">
      <w:pPr>
        <w:jc w:val="both"/>
        <w:rPr>
          <w:sz w:val="18"/>
          <w:szCs w:val="18"/>
        </w:rPr>
      </w:pPr>
    </w:p>
    <w:p w14:paraId="2BD7D164" w14:textId="77777777" w:rsidR="00E400CA" w:rsidRPr="008450F3" w:rsidRDefault="00E400CA" w:rsidP="00E400CA">
      <w:pPr>
        <w:jc w:val="both"/>
        <w:rPr>
          <w:sz w:val="18"/>
          <w:szCs w:val="18"/>
        </w:rPr>
      </w:pPr>
    </w:p>
    <w:p w14:paraId="1188C678" w14:textId="67210717" w:rsidR="00E400CA" w:rsidRPr="0073553B" w:rsidRDefault="005D6CD8" w:rsidP="00787315">
      <w:pPr>
        <w:spacing w:after="60"/>
        <w:jc w:val="both"/>
        <w:rPr>
          <w:b/>
          <w:i/>
          <w:sz w:val="26"/>
          <w:szCs w:val="26"/>
        </w:rPr>
      </w:pPr>
      <w:r w:rsidRPr="0073553B">
        <w:rPr>
          <w:b/>
          <w:i/>
          <w:sz w:val="26"/>
          <w:szCs w:val="26"/>
        </w:rPr>
        <w:t>Bevételek</w:t>
      </w:r>
    </w:p>
    <w:p w14:paraId="0523CAC4" w14:textId="04BFC49E" w:rsidR="00001A54" w:rsidRDefault="00001A54" w:rsidP="00E400CA">
      <w:pPr>
        <w:jc w:val="both"/>
      </w:pPr>
      <w:r>
        <w:t xml:space="preserve">Az Uszoda bevételeket a 2017. 10-12. hónap, valamint a 2018. 1-9. hónap </w:t>
      </w:r>
      <w:r w:rsidR="005D6CD8">
        <w:t xml:space="preserve">analitika </w:t>
      </w:r>
      <w:r>
        <w:t xml:space="preserve">tényadata alapján, az új létesítmény bevételeit a 2018. 1-9. hónap </w:t>
      </w:r>
      <w:r w:rsidR="005D6CD8">
        <w:t xml:space="preserve">analitika </w:t>
      </w:r>
      <w:r>
        <w:t>tényadata illetve az érvényben lévő megállapodások alapján terveztük.</w:t>
      </w:r>
    </w:p>
    <w:p w14:paraId="1E06F60B" w14:textId="2EF5DC83" w:rsidR="00E400CA" w:rsidRDefault="00E400CA" w:rsidP="00E400CA">
      <w:pPr>
        <w:jc w:val="both"/>
      </w:pPr>
      <w:r w:rsidRPr="00064823">
        <w:rPr>
          <w:b/>
        </w:rPr>
        <w:t>A</w:t>
      </w:r>
      <w:r w:rsidR="005A4910">
        <w:rPr>
          <w:b/>
        </w:rPr>
        <w:t>z Uszoda bevételei 87 848</w:t>
      </w:r>
      <w:r w:rsidR="008E2DE0">
        <w:rPr>
          <w:b/>
        </w:rPr>
        <w:t xml:space="preserve"> </w:t>
      </w:r>
      <w:proofErr w:type="spellStart"/>
      <w:r w:rsidRPr="00064823">
        <w:rPr>
          <w:b/>
        </w:rPr>
        <w:t>eFt</w:t>
      </w:r>
      <w:proofErr w:type="spellEnd"/>
      <w:r w:rsidR="00001A54">
        <w:t xml:space="preserve">, amely tartalmazza az </w:t>
      </w:r>
      <w:r>
        <w:t xml:space="preserve">Uszoda eszközhasznosításából származó bérleti díj bevételeket is. </w:t>
      </w:r>
    </w:p>
    <w:p w14:paraId="0C19B7C6" w14:textId="761A5BBD" w:rsidR="00E400CA" w:rsidRDefault="00E400CA" w:rsidP="00E400CA">
      <w:pPr>
        <w:jc w:val="both"/>
      </w:pPr>
      <w:r>
        <w:t xml:space="preserve">A </w:t>
      </w:r>
      <w:r w:rsidRPr="005D6CD8">
        <w:rPr>
          <w:b/>
        </w:rPr>
        <w:t>TAO beruházás bevétele</w:t>
      </w:r>
      <w:r>
        <w:t xml:space="preserve"> a fentie</w:t>
      </w:r>
      <w:r w:rsidR="00001A54">
        <w:t xml:space="preserve">k </w:t>
      </w:r>
      <w:r w:rsidR="00AD1FB0">
        <w:t xml:space="preserve">szerint </w:t>
      </w:r>
      <w:r w:rsidR="00001A54" w:rsidRPr="005D6CD8">
        <w:rPr>
          <w:b/>
        </w:rPr>
        <w:t>32 065</w:t>
      </w:r>
      <w:r w:rsidR="00AD1FB0" w:rsidRPr="005D6CD8">
        <w:rPr>
          <w:b/>
        </w:rPr>
        <w:t xml:space="preserve"> </w:t>
      </w:r>
      <w:proofErr w:type="spellStart"/>
      <w:r w:rsidRPr="005D6CD8">
        <w:rPr>
          <w:b/>
        </w:rPr>
        <w:t>eFt</w:t>
      </w:r>
      <w:proofErr w:type="spellEnd"/>
      <w:r>
        <w:t xml:space="preserve">. </w:t>
      </w:r>
    </w:p>
    <w:p w14:paraId="51ABEE1C" w14:textId="77777777" w:rsidR="00B770C4" w:rsidRDefault="00B770C4" w:rsidP="00787315">
      <w:pPr>
        <w:spacing w:after="60"/>
        <w:jc w:val="both"/>
        <w:rPr>
          <w:b/>
          <w:i/>
        </w:rPr>
      </w:pPr>
    </w:p>
    <w:p w14:paraId="4BDA9771" w14:textId="74665106" w:rsidR="00E400CA" w:rsidRPr="0073553B" w:rsidRDefault="005D6CD8" w:rsidP="00787315">
      <w:pPr>
        <w:spacing w:after="60"/>
        <w:jc w:val="both"/>
        <w:rPr>
          <w:b/>
          <w:i/>
          <w:sz w:val="26"/>
          <w:szCs w:val="26"/>
        </w:rPr>
      </w:pPr>
      <w:r w:rsidRPr="0073553B">
        <w:rPr>
          <w:b/>
          <w:i/>
          <w:sz w:val="26"/>
          <w:szCs w:val="26"/>
        </w:rPr>
        <w:t>Költségek</w:t>
      </w:r>
    </w:p>
    <w:p w14:paraId="1BF099C7" w14:textId="2EA50D23" w:rsidR="00354523" w:rsidRDefault="00E400CA" w:rsidP="00E400CA">
      <w:pPr>
        <w:jc w:val="both"/>
      </w:pPr>
      <w:r>
        <w:t xml:space="preserve">A </w:t>
      </w:r>
      <w:r w:rsidRPr="002348D4">
        <w:rPr>
          <w:b/>
        </w:rPr>
        <w:t>közvetlen anyagköltség</w:t>
      </w:r>
      <w:r>
        <w:t xml:space="preserve"> tartalmazza a szükséges vegyszeranyagok költségét, amely a medencék folyamatos működéséhez, használatához, a medencék jó </w:t>
      </w:r>
      <w:r w:rsidR="007E1AED">
        <w:t>víz</w:t>
      </w:r>
      <w:r>
        <w:t>minőség</w:t>
      </w:r>
      <w:r w:rsidR="007E1AED">
        <w:t>ének megtartásához szükséges</w:t>
      </w:r>
      <w:r>
        <w:t xml:space="preserve">. Az </w:t>
      </w:r>
      <w:r w:rsidRPr="005D6CD8">
        <w:rPr>
          <w:b/>
        </w:rPr>
        <w:t>Uszoda</w:t>
      </w:r>
      <w:r>
        <w:t xml:space="preserve"> vegyszeranyag költsége </w:t>
      </w:r>
      <w:r w:rsidR="00001A54" w:rsidRPr="005D6CD8">
        <w:rPr>
          <w:b/>
        </w:rPr>
        <w:t xml:space="preserve">3 449 </w:t>
      </w:r>
      <w:proofErr w:type="spellStart"/>
      <w:r w:rsidRPr="005D6CD8">
        <w:rPr>
          <w:b/>
        </w:rPr>
        <w:t>eFt</w:t>
      </w:r>
      <w:proofErr w:type="spellEnd"/>
      <w:r>
        <w:t xml:space="preserve">. </w:t>
      </w:r>
    </w:p>
    <w:p w14:paraId="784824F5" w14:textId="1DE90A82" w:rsidR="007B7390" w:rsidRDefault="007B7390" w:rsidP="007B7390">
      <w:pPr>
        <w:jc w:val="both"/>
      </w:pPr>
      <w:r w:rsidRPr="007B7390">
        <w:t xml:space="preserve"> </w:t>
      </w:r>
      <w:r>
        <w:t xml:space="preserve">Az </w:t>
      </w:r>
      <w:r w:rsidRPr="005D6CD8">
        <w:rPr>
          <w:b/>
        </w:rPr>
        <w:t>Új medence</w:t>
      </w:r>
      <w:r>
        <w:t xml:space="preserve"> anyagköltsége a vegyszeranyag szükséglet tekintetében </w:t>
      </w:r>
      <w:r w:rsidRPr="005D6CD8">
        <w:rPr>
          <w:b/>
        </w:rPr>
        <w:t>2</w:t>
      </w:r>
      <w:r w:rsidR="00001A54" w:rsidRPr="005D6CD8">
        <w:rPr>
          <w:b/>
        </w:rPr>
        <w:t xml:space="preserve"> 813 </w:t>
      </w:r>
      <w:proofErr w:type="spellStart"/>
      <w:r w:rsidR="00001A54" w:rsidRPr="005D6CD8">
        <w:rPr>
          <w:b/>
        </w:rPr>
        <w:t>eFt</w:t>
      </w:r>
      <w:proofErr w:type="spellEnd"/>
      <w:r w:rsidR="00001A54">
        <w:t>.</w:t>
      </w:r>
    </w:p>
    <w:p w14:paraId="02BEB7A7" w14:textId="77777777" w:rsidR="00E400CA" w:rsidRPr="0073553B" w:rsidRDefault="00E400CA" w:rsidP="00E400CA">
      <w:pPr>
        <w:jc w:val="both"/>
        <w:rPr>
          <w:sz w:val="20"/>
          <w:szCs w:val="20"/>
        </w:rPr>
      </w:pPr>
    </w:p>
    <w:p w14:paraId="699843D4" w14:textId="143F5256" w:rsidR="00E400CA" w:rsidRDefault="00E400CA" w:rsidP="00E400CA">
      <w:pPr>
        <w:jc w:val="both"/>
      </w:pPr>
      <w:r w:rsidRPr="00CB2DC7">
        <w:rPr>
          <w:b/>
        </w:rPr>
        <w:t>Villamos energia</w:t>
      </w:r>
      <w:r>
        <w:t xml:space="preserve"> költség meghatározásánál </w:t>
      </w:r>
      <w:r w:rsidR="00D371E1">
        <w:t xml:space="preserve">a 2017. 10-12. hónap, valamint a 2018. 1-9. hónap </w:t>
      </w:r>
      <w:r w:rsidR="005D6CD8">
        <w:t xml:space="preserve">analitika </w:t>
      </w:r>
      <w:r w:rsidR="00D371E1">
        <w:t xml:space="preserve">tényadata alapján a 2019. évben érvényes 29,5 Ft/kWh egységárral </w:t>
      </w:r>
      <w:r>
        <w:t xml:space="preserve">az </w:t>
      </w:r>
      <w:r w:rsidRPr="005D6CD8">
        <w:rPr>
          <w:b/>
        </w:rPr>
        <w:t>Uszoda</w:t>
      </w:r>
      <w:r>
        <w:t xml:space="preserve"> </w:t>
      </w:r>
      <w:r w:rsidR="00D371E1">
        <w:t>tervezett</w:t>
      </w:r>
      <w:r>
        <w:t xml:space="preserve"> villamos energia költsé</w:t>
      </w:r>
      <w:r w:rsidR="00D371E1">
        <w:t>ge</w:t>
      </w:r>
      <w:r>
        <w:t xml:space="preserve"> </w:t>
      </w:r>
      <w:r w:rsidR="00D371E1" w:rsidRPr="005D6CD8">
        <w:rPr>
          <w:b/>
        </w:rPr>
        <w:t>17 243</w:t>
      </w:r>
      <w:r w:rsidR="008E2DE0" w:rsidRPr="005D6CD8">
        <w:rPr>
          <w:b/>
        </w:rPr>
        <w:t xml:space="preserve"> </w:t>
      </w:r>
      <w:proofErr w:type="spellStart"/>
      <w:r w:rsidR="00D371E1" w:rsidRPr="005D6CD8">
        <w:rPr>
          <w:b/>
        </w:rPr>
        <w:t>eFt</w:t>
      </w:r>
      <w:proofErr w:type="spellEnd"/>
      <w:r w:rsidR="00D371E1">
        <w:t>, az</w:t>
      </w:r>
      <w:r>
        <w:t xml:space="preserve"> </w:t>
      </w:r>
      <w:r w:rsidRPr="005D6CD8">
        <w:rPr>
          <w:b/>
        </w:rPr>
        <w:t>Új medence és létesítmények</w:t>
      </w:r>
      <w:r>
        <w:t xml:space="preserve"> </w:t>
      </w:r>
      <w:r w:rsidR="00D371E1">
        <w:t xml:space="preserve">tervezett villamos energia </w:t>
      </w:r>
      <w:r>
        <w:t xml:space="preserve">költsége </w:t>
      </w:r>
      <w:r w:rsidR="00D371E1" w:rsidRPr="005D6CD8">
        <w:rPr>
          <w:b/>
        </w:rPr>
        <w:t>8 208</w:t>
      </w:r>
      <w:r w:rsidR="008E2DE0" w:rsidRPr="005D6CD8">
        <w:rPr>
          <w:b/>
        </w:rPr>
        <w:t xml:space="preserve"> </w:t>
      </w:r>
      <w:proofErr w:type="spellStart"/>
      <w:r w:rsidRPr="005D6CD8">
        <w:rPr>
          <w:b/>
        </w:rPr>
        <w:t>eFt</w:t>
      </w:r>
      <w:proofErr w:type="spellEnd"/>
      <w:r>
        <w:t xml:space="preserve">. </w:t>
      </w:r>
    </w:p>
    <w:p w14:paraId="6B16C17F" w14:textId="77777777" w:rsidR="00E400CA" w:rsidRPr="002742E8" w:rsidRDefault="00E400CA" w:rsidP="00E400CA">
      <w:pPr>
        <w:jc w:val="both"/>
        <w:rPr>
          <w:sz w:val="20"/>
          <w:szCs w:val="20"/>
        </w:rPr>
      </w:pPr>
    </w:p>
    <w:p w14:paraId="13AF75BD" w14:textId="72B0E10A" w:rsidR="00E400CA" w:rsidRDefault="00E400CA" w:rsidP="008411B8">
      <w:pPr>
        <w:jc w:val="both"/>
      </w:pPr>
      <w:r w:rsidRPr="00D0224A">
        <w:rPr>
          <w:b/>
        </w:rPr>
        <w:t xml:space="preserve">Gázdíj </w:t>
      </w:r>
      <w:r>
        <w:t xml:space="preserve">esetében </w:t>
      </w:r>
      <w:r w:rsidR="009C10D1">
        <w:t xml:space="preserve">szintén a 2017. 10-12. hónap, valamint a 2018. 1-9. hónap felhasználásából kiindulva </w:t>
      </w:r>
      <w:r w:rsidR="009C10D1" w:rsidRPr="005F3EF9">
        <w:t xml:space="preserve">a </w:t>
      </w:r>
      <w:r w:rsidR="009C10D1">
        <w:t xml:space="preserve">2019. I-III. </w:t>
      </w:r>
      <w:proofErr w:type="gramStart"/>
      <w:r w:rsidR="009C10D1">
        <w:t>negyedévben</w:t>
      </w:r>
      <w:proofErr w:type="gramEnd"/>
      <w:r w:rsidR="009C10D1" w:rsidRPr="005F3EF9">
        <w:t xml:space="preserve"> érvényes szerződés szerinti árakkal</w:t>
      </w:r>
      <w:r w:rsidR="009C10D1">
        <w:t>, valamint a jelenlegi szerződés lejáratát követően, 2019. IV. negyedévben lehetséges</w:t>
      </w:r>
      <w:r w:rsidR="009C10D1" w:rsidRPr="005F3EF9">
        <w:t xml:space="preserve"> </w:t>
      </w:r>
      <w:r w:rsidR="008411B8">
        <w:t>áremelkedéssel számoltunk. A</w:t>
      </w:r>
      <w:r>
        <w:t xml:space="preserve">z </w:t>
      </w:r>
      <w:r w:rsidRPr="005D6CD8">
        <w:rPr>
          <w:b/>
        </w:rPr>
        <w:t xml:space="preserve">Uszoda </w:t>
      </w:r>
      <w:r w:rsidRPr="005D6CD8">
        <w:t>költsége</w:t>
      </w:r>
      <w:r w:rsidRPr="005D6CD8">
        <w:rPr>
          <w:b/>
        </w:rPr>
        <w:t xml:space="preserve"> 3</w:t>
      </w:r>
      <w:r w:rsidR="008411B8" w:rsidRPr="005D6CD8">
        <w:rPr>
          <w:b/>
        </w:rPr>
        <w:t>1 583</w:t>
      </w:r>
      <w:r w:rsidRPr="005D6CD8">
        <w:rPr>
          <w:b/>
        </w:rPr>
        <w:t xml:space="preserve"> </w:t>
      </w:r>
      <w:proofErr w:type="spellStart"/>
      <w:r w:rsidRPr="005D6CD8">
        <w:rPr>
          <w:b/>
        </w:rPr>
        <w:t>eFt</w:t>
      </w:r>
      <w:proofErr w:type="spellEnd"/>
      <w:r w:rsidRPr="005D6CD8">
        <w:rPr>
          <w:b/>
        </w:rPr>
        <w:t xml:space="preserve">, </w:t>
      </w:r>
      <w:r w:rsidR="008411B8" w:rsidRPr="005D6CD8">
        <w:t>a</w:t>
      </w:r>
      <w:r w:rsidRPr="005D6CD8">
        <w:t xml:space="preserve">z </w:t>
      </w:r>
      <w:r w:rsidRPr="005D6CD8">
        <w:rPr>
          <w:b/>
        </w:rPr>
        <w:t xml:space="preserve">Új medence és új létesítmények </w:t>
      </w:r>
      <w:r w:rsidR="008411B8" w:rsidRPr="005D6CD8">
        <w:rPr>
          <w:b/>
        </w:rPr>
        <w:t xml:space="preserve">11 360 </w:t>
      </w:r>
      <w:proofErr w:type="spellStart"/>
      <w:r w:rsidR="008411B8" w:rsidRPr="005D6CD8">
        <w:rPr>
          <w:b/>
        </w:rPr>
        <w:t>eFt</w:t>
      </w:r>
      <w:proofErr w:type="spellEnd"/>
      <w:r w:rsidR="008411B8">
        <w:t>.</w:t>
      </w:r>
    </w:p>
    <w:p w14:paraId="4D449C0A" w14:textId="77777777" w:rsidR="00E400CA" w:rsidRPr="002742E8" w:rsidRDefault="00E400CA" w:rsidP="00E400CA">
      <w:pPr>
        <w:jc w:val="both"/>
        <w:rPr>
          <w:sz w:val="20"/>
          <w:szCs w:val="20"/>
        </w:rPr>
      </w:pPr>
    </w:p>
    <w:p w14:paraId="5C23174E" w14:textId="61F56D26" w:rsidR="00E400CA" w:rsidRDefault="00E400CA" w:rsidP="00E400CA">
      <w:pPr>
        <w:jc w:val="both"/>
      </w:pPr>
      <w:r>
        <w:rPr>
          <w:b/>
        </w:rPr>
        <w:t>Bérköltség</w:t>
      </w:r>
      <w:r w:rsidRPr="005D6CD8">
        <w:t>et</w:t>
      </w:r>
      <w:r>
        <w:rPr>
          <w:b/>
        </w:rPr>
        <w:t xml:space="preserve"> </w:t>
      </w:r>
      <w:r w:rsidR="008411B8" w:rsidRPr="005D6CD8">
        <w:t>a 201</w:t>
      </w:r>
      <w:r w:rsidR="005D6CD8" w:rsidRPr="005D6CD8">
        <w:t>8</w:t>
      </w:r>
      <w:r w:rsidR="008411B8" w:rsidRPr="005D6CD8">
        <w:t>. évi terv összegéből kiindulva számítottuk, 10 %-os béremelést tervezve.</w:t>
      </w:r>
      <w:r w:rsidRPr="005D6CD8">
        <w:t xml:space="preserve"> Az </w:t>
      </w:r>
      <w:r w:rsidRPr="005D6CD8">
        <w:rPr>
          <w:b/>
        </w:rPr>
        <w:t>Uszoda</w:t>
      </w:r>
      <w:r>
        <w:t xml:space="preserve"> bérköltsége</w:t>
      </w:r>
      <w:r w:rsidR="008411B8">
        <w:t xml:space="preserve"> -</w:t>
      </w:r>
      <w:r>
        <w:t xml:space="preserve"> kivéve az üzem vezetőjét és az adminisztrátort</w:t>
      </w:r>
      <w:r w:rsidR="008411B8">
        <w:t xml:space="preserve"> illetve a nyugdíjas szövetkezeten keresztül foglalkoztatott 4 fő fürdőüzemi munkást </w:t>
      </w:r>
      <w:proofErr w:type="gramStart"/>
      <w:r w:rsidR="008411B8">
        <w:t xml:space="preserve">- </w:t>
      </w:r>
      <w:r>
        <w:t xml:space="preserve"> </w:t>
      </w:r>
      <w:r w:rsidRPr="005D6CD8">
        <w:rPr>
          <w:b/>
        </w:rPr>
        <w:t>9</w:t>
      </w:r>
      <w:r w:rsidR="008411B8" w:rsidRPr="005D6CD8">
        <w:rPr>
          <w:b/>
        </w:rPr>
        <w:t>5</w:t>
      </w:r>
      <w:proofErr w:type="gramEnd"/>
      <w:r w:rsidR="008411B8" w:rsidRPr="005D6CD8">
        <w:rPr>
          <w:b/>
        </w:rPr>
        <w:t xml:space="preserve"> 912</w:t>
      </w:r>
      <w:r w:rsidRPr="005D6CD8">
        <w:rPr>
          <w:b/>
        </w:rPr>
        <w:t xml:space="preserve"> </w:t>
      </w:r>
      <w:proofErr w:type="spellStart"/>
      <w:r w:rsidRPr="005D6CD8">
        <w:rPr>
          <w:b/>
        </w:rPr>
        <w:t>eFt</w:t>
      </w:r>
      <w:proofErr w:type="spellEnd"/>
      <w:r w:rsidR="00D15318">
        <w:rPr>
          <w:b/>
        </w:rPr>
        <w:t>.</w:t>
      </w:r>
      <w:r>
        <w:t xml:space="preserve"> Az </w:t>
      </w:r>
      <w:r w:rsidRPr="005D6CD8">
        <w:rPr>
          <w:b/>
        </w:rPr>
        <w:t>Új medence és létesítmények</w:t>
      </w:r>
      <w:r>
        <w:t xml:space="preserve"> </w:t>
      </w:r>
      <w:r w:rsidR="008411B8">
        <w:t>bérköltsége a</w:t>
      </w:r>
      <w:r>
        <w:t xml:space="preserve"> 2 fő úszómester</w:t>
      </w:r>
      <w:r w:rsidR="008411B8">
        <w:t xml:space="preserve"> összes bérét, valamint a karbantartók, a </w:t>
      </w:r>
      <w:r w:rsidR="008411B8">
        <w:lastRenderedPageBreak/>
        <w:t xml:space="preserve">fürdőüzemi munkások és a laboráns erre a létesítményre jutó bérköltségét tartalmazza, összesen </w:t>
      </w:r>
      <w:r w:rsidR="008411B8" w:rsidRPr="005D6CD8">
        <w:rPr>
          <w:b/>
        </w:rPr>
        <w:t xml:space="preserve">8 803 </w:t>
      </w:r>
      <w:proofErr w:type="spellStart"/>
      <w:r w:rsidR="008411B8" w:rsidRPr="005D6CD8">
        <w:rPr>
          <w:b/>
        </w:rPr>
        <w:t>eFt</w:t>
      </w:r>
      <w:proofErr w:type="spellEnd"/>
      <w:r w:rsidR="008411B8">
        <w:t>.</w:t>
      </w:r>
    </w:p>
    <w:p w14:paraId="4941E5D9" w14:textId="77777777" w:rsidR="00E400CA" w:rsidRDefault="00E400CA" w:rsidP="00E400CA">
      <w:pPr>
        <w:jc w:val="both"/>
      </w:pPr>
    </w:p>
    <w:p w14:paraId="001B9FDC" w14:textId="7C6DFE95" w:rsidR="00E400CA" w:rsidRDefault="00E400CA" w:rsidP="00E400CA">
      <w:pPr>
        <w:jc w:val="both"/>
      </w:pPr>
      <w:r w:rsidRPr="0082492D">
        <w:rPr>
          <w:b/>
        </w:rPr>
        <w:t>Személyi jellegű egyéb kifizetések</w:t>
      </w:r>
      <w:r>
        <w:rPr>
          <w:b/>
        </w:rPr>
        <w:t xml:space="preserve"> </w:t>
      </w:r>
      <w:r w:rsidRPr="00994C7D">
        <w:t xml:space="preserve">összege </w:t>
      </w:r>
      <w:r w:rsidR="004F7AFB">
        <w:t>a 201</w:t>
      </w:r>
      <w:r w:rsidR="005D6CD8">
        <w:t>8</w:t>
      </w:r>
      <w:r w:rsidR="004F7AFB">
        <w:t xml:space="preserve">. év terv adatai alapján </w:t>
      </w:r>
      <w:r w:rsidR="005D6CD8">
        <w:t xml:space="preserve">– a jelenlegi jogszabályok mellett - </w:t>
      </w:r>
      <w:r w:rsidR="004F7AFB">
        <w:t>a bérköltség 8,5 %-</w:t>
      </w:r>
      <w:proofErr w:type="gramStart"/>
      <w:r w:rsidR="004F7AFB">
        <w:t>a</w:t>
      </w:r>
      <w:proofErr w:type="gramEnd"/>
      <w:r w:rsidR="004F7AFB">
        <w:t xml:space="preserve">, </w:t>
      </w:r>
      <w:r w:rsidRPr="00994C7D">
        <w:t xml:space="preserve">az </w:t>
      </w:r>
      <w:r w:rsidRPr="005D6CD8">
        <w:rPr>
          <w:b/>
        </w:rPr>
        <w:t>Uszoda</w:t>
      </w:r>
      <w:r w:rsidRPr="00994C7D">
        <w:t xml:space="preserve"> vonatkozásában </w:t>
      </w:r>
      <w:r w:rsidR="004F7AFB" w:rsidRPr="005D6CD8">
        <w:rPr>
          <w:b/>
        </w:rPr>
        <w:t>7 299</w:t>
      </w:r>
      <w:r w:rsidRPr="005D6CD8">
        <w:rPr>
          <w:b/>
        </w:rPr>
        <w:t xml:space="preserve"> </w:t>
      </w:r>
      <w:proofErr w:type="spellStart"/>
      <w:r w:rsidRPr="005D6CD8">
        <w:rPr>
          <w:b/>
        </w:rPr>
        <w:t>eFt</w:t>
      </w:r>
      <w:proofErr w:type="spellEnd"/>
      <w:r>
        <w:t xml:space="preserve">, tartalmazzák a </w:t>
      </w:r>
      <w:proofErr w:type="spellStart"/>
      <w:r>
        <w:t>cafeteria</w:t>
      </w:r>
      <w:proofErr w:type="spellEnd"/>
      <w:r>
        <w:t xml:space="preserve"> elemek költségét, amely 240</w:t>
      </w:r>
      <w:r w:rsidR="008E2DE0">
        <w:t xml:space="preserve"> </w:t>
      </w:r>
      <w:proofErr w:type="spellStart"/>
      <w:r>
        <w:t>eFt</w:t>
      </w:r>
      <w:proofErr w:type="spellEnd"/>
      <w:r>
        <w:t xml:space="preserve">/év/fő, ennek adóvonzatait, valamint a betegszabadság, táppénz hozzájárulás és munkába járás költségeit. </w:t>
      </w:r>
      <w:r w:rsidR="004F7AFB">
        <w:t>A</w:t>
      </w:r>
      <w:r>
        <w:t xml:space="preserve">z </w:t>
      </w:r>
      <w:r w:rsidRPr="005D6CD8">
        <w:rPr>
          <w:b/>
        </w:rPr>
        <w:t>Új medence és létesítményei</w:t>
      </w:r>
      <w:r>
        <w:t xml:space="preserve">hez kapcsolódóan </w:t>
      </w:r>
      <w:r w:rsidR="004F7AFB" w:rsidRPr="005D6CD8">
        <w:rPr>
          <w:b/>
        </w:rPr>
        <w:t xml:space="preserve">748 </w:t>
      </w:r>
      <w:proofErr w:type="spellStart"/>
      <w:r w:rsidRPr="005D6CD8">
        <w:rPr>
          <w:b/>
        </w:rPr>
        <w:t>eFt</w:t>
      </w:r>
      <w:proofErr w:type="spellEnd"/>
      <w:r>
        <w:t>.</w:t>
      </w:r>
    </w:p>
    <w:p w14:paraId="3ED06F39" w14:textId="77777777" w:rsidR="00E400CA" w:rsidRPr="008450F3" w:rsidRDefault="00E400CA" w:rsidP="00E400CA">
      <w:pPr>
        <w:jc w:val="both"/>
        <w:rPr>
          <w:sz w:val="20"/>
          <w:szCs w:val="20"/>
        </w:rPr>
      </w:pPr>
    </w:p>
    <w:p w14:paraId="5D47AF4E" w14:textId="04364522" w:rsidR="00E400CA" w:rsidRDefault="00E400CA" w:rsidP="00E400CA">
      <w:pPr>
        <w:jc w:val="both"/>
      </w:pPr>
      <w:r w:rsidRPr="00371C47">
        <w:rPr>
          <w:b/>
        </w:rPr>
        <w:t>Bérjárulékok</w:t>
      </w:r>
      <w:r>
        <w:t xml:space="preserve"> esetében a 201</w:t>
      </w:r>
      <w:r w:rsidR="004F7AFB">
        <w:t>8</w:t>
      </w:r>
      <w:r>
        <w:t>. évben érvényes járulékokat vettük figyelembe (</w:t>
      </w:r>
      <w:r w:rsidR="004F7AFB">
        <w:t xml:space="preserve">19,5 </w:t>
      </w:r>
      <w:r>
        <w:t>% szociális hozzájárulást és 1,5% szakképzési hozzájárulást)</w:t>
      </w:r>
      <w:r w:rsidR="005D6CD8">
        <w:t>,</w:t>
      </w:r>
      <w:r>
        <w:t xml:space="preserve"> az </w:t>
      </w:r>
      <w:r w:rsidRPr="005D6CD8">
        <w:rPr>
          <w:b/>
        </w:rPr>
        <w:t>Uszoda</w:t>
      </w:r>
      <w:r>
        <w:t xml:space="preserve"> vonatkozásában a </w:t>
      </w:r>
      <w:proofErr w:type="gramStart"/>
      <w:r>
        <w:t xml:space="preserve">költség </w:t>
      </w:r>
      <w:r w:rsidR="00B72120">
        <w:t xml:space="preserve">             </w:t>
      </w:r>
      <w:r w:rsidRPr="005D6CD8">
        <w:rPr>
          <w:b/>
        </w:rPr>
        <w:t>2</w:t>
      </w:r>
      <w:r w:rsidR="004F7AFB" w:rsidRPr="005D6CD8">
        <w:rPr>
          <w:b/>
        </w:rPr>
        <w:t>0</w:t>
      </w:r>
      <w:proofErr w:type="gramEnd"/>
      <w:r w:rsidR="004F7AFB" w:rsidRPr="005D6CD8">
        <w:rPr>
          <w:b/>
        </w:rPr>
        <w:t xml:space="preserve"> 142</w:t>
      </w:r>
      <w:r w:rsidRPr="005D6CD8">
        <w:rPr>
          <w:b/>
        </w:rPr>
        <w:t xml:space="preserve"> </w:t>
      </w:r>
      <w:proofErr w:type="spellStart"/>
      <w:r w:rsidRPr="005D6CD8">
        <w:rPr>
          <w:b/>
        </w:rPr>
        <w:t>eFt</w:t>
      </w:r>
      <w:proofErr w:type="spellEnd"/>
      <w:r>
        <w:t xml:space="preserve">, az </w:t>
      </w:r>
      <w:r w:rsidRPr="005D6CD8">
        <w:rPr>
          <w:b/>
        </w:rPr>
        <w:t>Új medence</w:t>
      </w:r>
      <w:r>
        <w:t xml:space="preserve"> vonatkozásában </w:t>
      </w:r>
      <w:r w:rsidR="004F7AFB" w:rsidRPr="005D6CD8">
        <w:rPr>
          <w:b/>
        </w:rPr>
        <w:t xml:space="preserve">1 849 </w:t>
      </w:r>
      <w:proofErr w:type="spellStart"/>
      <w:r w:rsidRPr="005D6CD8">
        <w:rPr>
          <w:b/>
        </w:rPr>
        <w:t>eFt</w:t>
      </w:r>
      <w:proofErr w:type="spellEnd"/>
      <w:r>
        <w:t xml:space="preserve">. </w:t>
      </w:r>
    </w:p>
    <w:p w14:paraId="221D2425" w14:textId="77777777" w:rsidR="00E400CA" w:rsidRPr="008450F3" w:rsidRDefault="00E400CA" w:rsidP="00E400CA">
      <w:pPr>
        <w:jc w:val="both"/>
        <w:rPr>
          <w:sz w:val="20"/>
          <w:szCs w:val="20"/>
        </w:rPr>
      </w:pPr>
    </w:p>
    <w:p w14:paraId="53006CFE" w14:textId="5FE39FED" w:rsidR="00E400CA" w:rsidRDefault="00E400CA" w:rsidP="00E400CA">
      <w:pPr>
        <w:jc w:val="both"/>
      </w:pPr>
      <w:r w:rsidRPr="000827C9">
        <w:rPr>
          <w:b/>
        </w:rPr>
        <w:t>Közvetlen értékcsökkenés</w:t>
      </w:r>
      <w:r>
        <w:t xml:space="preserve"> számításakor a térítésmentes vagyonátadáshoz nem kapcsolódó mobil eszközöket </w:t>
      </w:r>
      <w:r w:rsidR="00CD2F58">
        <w:t xml:space="preserve">a jelenlegi nyilvántartás szerint </w:t>
      </w:r>
      <w:r>
        <w:t xml:space="preserve">véve alapul, a </w:t>
      </w:r>
      <w:r w:rsidR="00CD2F58">
        <w:t>t</w:t>
      </w:r>
      <w:r>
        <w:t>ársaságunknál maradó eszközök 201</w:t>
      </w:r>
      <w:r w:rsidR="004F7AFB">
        <w:t>9.</w:t>
      </w:r>
      <w:r w:rsidR="00980B97">
        <w:t xml:space="preserve"> évre kalkulált</w:t>
      </w:r>
      <w:r w:rsidR="00F63500">
        <w:t xml:space="preserve"> </w:t>
      </w:r>
      <w:r w:rsidR="004F7AFB">
        <w:t xml:space="preserve">évi értékcsökkenése </w:t>
      </w:r>
      <w:r w:rsidR="004F7AFB" w:rsidRPr="009C3D60">
        <w:rPr>
          <w:b/>
        </w:rPr>
        <w:t xml:space="preserve">6 491 </w:t>
      </w:r>
      <w:proofErr w:type="spellStart"/>
      <w:r w:rsidRPr="009C3D60">
        <w:rPr>
          <w:b/>
        </w:rPr>
        <w:t>eFt</w:t>
      </w:r>
      <w:proofErr w:type="spellEnd"/>
      <w:r>
        <w:t>.</w:t>
      </w:r>
    </w:p>
    <w:p w14:paraId="52622609" w14:textId="77777777" w:rsidR="00E400CA" w:rsidRPr="008450F3" w:rsidRDefault="00E400CA" w:rsidP="00E400CA">
      <w:pPr>
        <w:jc w:val="both"/>
        <w:rPr>
          <w:sz w:val="20"/>
          <w:szCs w:val="20"/>
        </w:rPr>
      </w:pPr>
    </w:p>
    <w:p w14:paraId="1A5A1857" w14:textId="163FB100" w:rsidR="00E400CA" w:rsidRDefault="00E400CA" w:rsidP="00E400CA">
      <w:pPr>
        <w:jc w:val="both"/>
      </w:pPr>
      <w:r w:rsidRPr="00A514D9">
        <w:rPr>
          <w:b/>
        </w:rPr>
        <w:t>Karbantartás (saját)</w:t>
      </w:r>
      <w:r>
        <w:t xml:space="preserve"> az </w:t>
      </w:r>
      <w:r w:rsidRPr="009C3D60">
        <w:rPr>
          <w:b/>
        </w:rPr>
        <w:t>Uszoda</w:t>
      </w:r>
      <w:r>
        <w:t xml:space="preserve"> vonatkozásában a korábbi éveket véve alapul </w:t>
      </w:r>
      <w:r w:rsidR="008E2DE0" w:rsidRPr="009C3D60">
        <w:rPr>
          <w:b/>
        </w:rPr>
        <w:t>12</w:t>
      </w:r>
      <w:r w:rsidR="004F7AFB" w:rsidRPr="009C3D60">
        <w:rPr>
          <w:b/>
        </w:rPr>
        <w:t xml:space="preserve"> </w:t>
      </w:r>
      <w:r w:rsidR="008E2DE0" w:rsidRPr="009C3D60">
        <w:rPr>
          <w:b/>
        </w:rPr>
        <w:t>000</w:t>
      </w:r>
      <w:r w:rsidRPr="009C3D60">
        <w:rPr>
          <w:b/>
        </w:rPr>
        <w:t xml:space="preserve"> </w:t>
      </w:r>
      <w:proofErr w:type="spellStart"/>
      <w:r w:rsidR="008E2DE0" w:rsidRPr="009C3D60">
        <w:rPr>
          <w:b/>
        </w:rPr>
        <w:t>e</w:t>
      </w:r>
      <w:r w:rsidRPr="009C3D60">
        <w:rPr>
          <w:b/>
        </w:rPr>
        <w:t>Ft</w:t>
      </w:r>
      <w:proofErr w:type="spellEnd"/>
      <w:r>
        <w:t xml:space="preserve"> összeggel számoltunk, az </w:t>
      </w:r>
      <w:r w:rsidRPr="009C3D60">
        <w:rPr>
          <w:b/>
        </w:rPr>
        <w:t>Új medence</w:t>
      </w:r>
      <w:r>
        <w:t xml:space="preserve"> </w:t>
      </w:r>
      <w:r w:rsidR="00D15318" w:rsidRPr="00D15318">
        <w:rPr>
          <w:b/>
        </w:rPr>
        <w:t>és létesítmények</w:t>
      </w:r>
      <w:r w:rsidR="00D15318">
        <w:t xml:space="preserve"> </w:t>
      </w:r>
      <w:r>
        <w:t xml:space="preserve">vonatkozásában, figyelembe véve a 2 éves garanciális időszakot, </w:t>
      </w:r>
      <w:r w:rsidR="009C3D60">
        <w:t>mindössze</w:t>
      </w:r>
      <w:r w:rsidR="00567C00">
        <w:t xml:space="preserve"> </w:t>
      </w:r>
      <w:r w:rsidRPr="009C3D60">
        <w:rPr>
          <w:b/>
        </w:rPr>
        <w:t>500</w:t>
      </w:r>
      <w:r w:rsidR="004F7AFB" w:rsidRPr="009C3D60">
        <w:rPr>
          <w:b/>
        </w:rPr>
        <w:t xml:space="preserve"> </w:t>
      </w:r>
      <w:proofErr w:type="spellStart"/>
      <w:r w:rsidR="004F7AFB" w:rsidRPr="009C3D60">
        <w:rPr>
          <w:b/>
        </w:rPr>
        <w:t>eFt</w:t>
      </w:r>
      <w:r w:rsidR="004F7AFB">
        <w:t>-tal</w:t>
      </w:r>
      <w:proofErr w:type="spellEnd"/>
      <w:r w:rsidR="004F7AFB">
        <w:t xml:space="preserve"> </w:t>
      </w:r>
      <w:r>
        <w:t>kalkuláltunk, ami a garanciális időszak lejártát követően várhatóan emelkedni fog.</w:t>
      </w:r>
    </w:p>
    <w:p w14:paraId="0D6478C2" w14:textId="77777777" w:rsidR="00E400CA" w:rsidRPr="008450F3" w:rsidRDefault="00E400CA" w:rsidP="00E400CA">
      <w:pPr>
        <w:jc w:val="both"/>
        <w:rPr>
          <w:sz w:val="20"/>
          <w:szCs w:val="20"/>
        </w:rPr>
      </w:pPr>
    </w:p>
    <w:p w14:paraId="627951F6" w14:textId="48793725" w:rsidR="00E400CA" w:rsidRDefault="00E400CA" w:rsidP="00E400CA">
      <w:pPr>
        <w:jc w:val="both"/>
      </w:pPr>
      <w:r w:rsidRPr="00773B5A">
        <w:rPr>
          <w:b/>
        </w:rPr>
        <w:t>Karbantartás (idegen)</w:t>
      </w:r>
      <w:r>
        <w:t xml:space="preserve"> </w:t>
      </w:r>
      <w:r w:rsidRPr="00D15318">
        <w:rPr>
          <w:b/>
        </w:rPr>
        <w:t>Uszoda</w:t>
      </w:r>
      <w:r>
        <w:t xml:space="preserve"> vonatkozásában az előző éveket véve alapul </w:t>
      </w:r>
      <w:r w:rsidRPr="00D15318">
        <w:rPr>
          <w:b/>
        </w:rPr>
        <w:t>6</w:t>
      </w:r>
      <w:r w:rsidR="004F7AFB" w:rsidRPr="00D15318">
        <w:rPr>
          <w:b/>
        </w:rPr>
        <w:t xml:space="preserve"> 020</w:t>
      </w:r>
      <w:r w:rsidR="001A78A7" w:rsidRPr="00D15318">
        <w:rPr>
          <w:b/>
        </w:rPr>
        <w:t xml:space="preserve"> </w:t>
      </w:r>
      <w:proofErr w:type="spellStart"/>
      <w:r w:rsidRPr="00D15318">
        <w:rPr>
          <w:b/>
        </w:rPr>
        <w:t>eFt</w:t>
      </w:r>
      <w:proofErr w:type="spellEnd"/>
      <w:r>
        <w:t xml:space="preserve"> összeggel számoltunk, az </w:t>
      </w:r>
      <w:r w:rsidRPr="00D15318">
        <w:rPr>
          <w:b/>
        </w:rPr>
        <w:t>Új medence és létesítmények</w:t>
      </w:r>
      <w:r>
        <w:t xml:space="preserve">hez kapcsolódóan a légtechnikához, az új kazánhoz, a lifthez kapcsolódnak, a jelenleg rendelkezésre álló információk alapján, szerviz kötelezettségek, amelynek kalkulált összege </w:t>
      </w:r>
      <w:r w:rsidRPr="00D15318">
        <w:rPr>
          <w:b/>
        </w:rPr>
        <w:t>2</w:t>
      </w:r>
      <w:r w:rsidR="004F7AFB" w:rsidRPr="00D15318">
        <w:rPr>
          <w:b/>
        </w:rPr>
        <w:t xml:space="preserve"> 523 </w:t>
      </w:r>
      <w:proofErr w:type="spellStart"/>
      <w:r w:rsidRPr="00D15318">
        <w:rPr>
          <w:b/>
        </w:rPr>
        <w:t>eFt</w:t>
      </w:r>
      <w:proofErr w:type="spellEnd"/>
      <w:r>
        <w:t>. A költséget a meglévő</w:t>
      </w:r>
      <w:r w:rsidR="004F7AFB">
        <w:t xml:space="preserve"> szerződések</w:t>
      </w:r>
      <w:r>
        <w:t xml:space="preserve"> illetve a folyamatban lévő tárgyalások alapján kalkuláltuk.</w:t>
      </w:r>
    </w:p>
    <w:p w14:paraId="634A4001" w14:textId="77777777" w:rsidR="00E400CA" w:rsidRPr="008450F3" w:rsidRDefault="00E400CA" w:rsidP="00E400CA">
      <w:pPr>
        <w:jc w:val="both"/>
        <w:rPr>
          <w:sz w:val="20"/>
          <w:szCs w:val="20"/>
        </w:rPr>
      </w:pPr>
    </w:p>
    <w:p w14:paraId="328646F2" w14:textId="34E7BAA6" w:rsidR="00E400CA" w:rsidRDefault="00E400CA" w:rsidP="00E400CA">
      <w:pPr>
        <w:jc w:val="both"/>
      </w:pPr>
      <w:r w:rsidRPr="00CF3F22">
        <w:rPr>
          <w:b/>
        </w:rPr>
        <w:t>Távközlés, postai szolgáltatás költsége</w:t>
      </w:r>
      <w:r>
        <w:t xml:space="preserve"> a 201</w:t>
      </w:r>
      <w:r w:rsidR="004F7AFB">
        <w:t>8</w:t>
      </w:r>
      <w:r>
        <w:t>.</w:t>
      </w:r>
      <w:r w:rsidR="004F7AFB">
        <w:t xml:space="preserve"> </w:t>
      </w:r>
      <w:r>
        <w:t xml:space="preserve">év </w:t>
      </w:r>
      <w:r w:rsidR="004F7AFB">
        <w:t xml:space="preserve">várható </w:t>
      </w:r>
      <w:r>
        <w:t>adat</w:t>
      </w:r>
      <w:r w:rsidR="004F7AFB">
        <w:t>a</w:t>
      </w:r>
      <w:r>
        <w:t xml:space="preserve"> alapján került meghatározásra</w:t>
      </w:r>
      <w:r w:rsidR="004F7AFB">
        <w:t>,</w:t>
      </w:r>
      <w:r>
        <w:t xml:space="preserve"> az </w:t>
      </w:r>
      <w:r w:rsidRPr="00D15318">
        <w:rPr>
          <w:b/>
        </w:rPr>
        <w:t>Uszoda</w:t>
      </w:r>
      <w:r>
        <w:t xml:space="preserve"> vonatkozásában összege </w:t>
      </w:r>
      <w:r w:rsidRPr="00D15318">
        <w:rPr>
          <w:b/>
        </w:rPr>
        <w:t>1</w:t>
      </w:r>
      <w:r w:rsidR="004F7AFB" w:rsidRPr="00D15318">
        <w:rPr>
          <w:b/>
        </w:rPr>
        <w:t>00</w:t>
      </w:r>
      <w:r w:rsidR="001A78A7" w:rsidRPr="00D15318">
        <w:rPr>
          <w:b/>
        </w:rPr>
        <w:t xml:space="preserve"> </w:t>
      </w:r>
      <w:proofErr w:type="spellStart"/>
      <w:r w:rsidRPr="00D15318">
        <w:rPr>
          <w:b/>
        </w:rPr>
        <w:t>eFt</w:t>
      </w:r>
      <w:proofErr w:type="spellEnd"/>
      <w:r w:rsidR="004F7AFB">
        <w:t xml:space="preserve">, </w:t>
      </w:r>
      <w:r w:rsidR="004F7AFB" w:rsidRPr="00D15318">
        <w:rPr>
          <w:b/>
        </w:rPr>
        <w:t xml:space="preserve">Új létesítmény 50 </w:t>
      </w:r>
      <w:proofErr w:type="spellStart"/>
      <w:r w:rsidR="004F7AFB" w:rsidRPr="00D15318">
        <w:rPr>
          <w:b/>
        </w:rPr>
        <w:t>eFt</w:t>
      </w:r>
      <w:proofErr w:type="spellEnd"/>
      <w:r>
        <w:t>.</w:t>
      </w:r>
    </w:p>
    <w:p w14:paraId="645C90EC" w14:textId="77777777" w:rsidR="00E400CA" w:rsidRPr="008450F3" w:rsidRDefault="00E400CA" w:rsidP="00E400CA">
      <w:pPr>
        <w:jc w:val="both"/>
        <w:rPr>
          <w:sz w:val="20"/>
          <w:szCs w:val="20"/>
        </w:rPr>
      </w:pPr>
    </w:p>
    <w:p w14:paraId="4E3093DC" w14:textId="6D456D9D" w:rsidR="00E400CA" w:rsidRDefault="00E400CA" w:rsidP="00E400CA">
      <w:pPr>
        <w:jc w:val="both"/>
      </w:pPr>
      <w:r w:rsidRPr="00EA74EF">
        <w:rPr>
          <w:b/>
        </w:rPr>
        <w:t>Egyéb igénybevett szolgáltatások</w:t>
      </w:r>
      <w:r>
        <w:t xml:space="preserve"> között kerül elszámolásra </w:t>
      </w:r>
      <w:r w:rsidR="008728EB">
        <w:t xml:space="preserve">a nyugdíjas szövetkezeten keresztül történő foglalkoztatás, </w:t>
      </w:r>
      <w:r>
        <w:t>a nyári időszakban a termálfürdő üzemeltetéséhez kapcsolódó diákfoglalkoztatás,</w:t>
      </w:r>
      <w:r w:rsidR="008728EB">
        <w:t xml:space="preserve"> </w:t>
      </w:r>
      <w:r>
        <w:t>az uszoda és termálfürdőhöz kapcsolódó őrzés költsége, a tagsági díjak, a köztisztasági díjak, a reklám és hirdetési költségek, a szakértői díjak. Jelentősebb költségek a</w:t>
      </w:r>
      <w:r w:rsidR="008728EB">
        <w:t xml:space="preserve"> nyugdíjas szövetkezet 6 236 </w:t>
      </w:r>
      <w:proofErr w:type="spellStart"/>
      <w:r w:rsidR="008728EB">
        <w:t>eFt</w:t>
      </w:r>
      <w:proofErr w:type="spellEnd"/>
      <w:r w:rsidR="008728EB">
        <w:t>, a</w:t>
      </w:r>
      <w:r>
        <w:t xml:space="preserve"> diákfoglalkoztatás,</w:t>
      </w:r>
      <w:r w:rsidR="008728EB">
        <w:t xml:space="preserve">2 040 </w:t>
      </w:r>
      <w:proofErr w:type="spellStart"/>
      <w:r w:rsidR="008E2DE0">
        <w:t>e</w:t>
      </w:r>
      <w:r w:rsidR="008E2DE0">
        <w:rPr>
          <w:rStyle w:val="Jegyzethivatkozs"/>
        </w:rPr>
        <w:commentReference w:id="3"/>
      </w:r>
      <w:r>
        <w:t>Ft</w:t>
      </w:r>
      <w:proofErr w:type="spellEnd"/>
      <w:r>
        <w:t xml:space="preserve">, a köztisztasági díjak </w:t>
      </w:r>
      <w:r w:rsidR="008728EB">
        <w:t>804</w:t>
      </w:r>
      <w:r w:rsidR="008E2DE0">
        <w:t xml:space="preserve"> </w:t>
      </w:r>
      <w:proofErr w:type="spellStart"/>
      <w:r w:rsidR="008E2DE0">
        <w:t>e</w:t>
      </w:r>
      <w:r w:rsidR="008728EB">
        <w:t>Ft</w:t>
      </w:r>
      <w:proofErr w:type="spellEnd"/>
      <w:r w:rsidR="008728EB">
        <w:t xml:space="preserve">. </w:t>
      </w:r>
      <w:r>
        <w:t>A felsorolt szolgáltatásokat a 201</w:t>
      </w:r>
      <w:r w:rsidR="008728EB">
        <w:t>8. évi várható adatok alapján</w:t>
      </w:r>
      <w:r w:rsidR="00506912">
        <w:t>, illetve a nyugdíjas szövetkezeten keresztül történő foglalkoztatás költségét 3 %-kal emelve</w:t>
      </w:r>
      <w:r w:rsidR="008728EB">
        <w:t xml:space="preserve"> kalkuláltuk, </w:t>
      </w:r>
      <w:r w:rsidR="00506912">
        <w:t xml:space="preserve">így </w:t>
      </w:r>
      <w:r w:rsidR="008728EB">
        <w:t xml:space="preserve">az </w:t>
      </w:r>
      <w:r w:rsidR="00506912" w:rsidRPr="00D15318">
        <w:rPr>
          <w:b/>
        </w:rPr>
        <w:t>U</w:t>
      </w:r>
      <w:r w:rsidR="008728EB" w:rsidRPr="00D15318">
        <w:rPr>
          <w:b/>
        </w:rPr>
        <w:t xml:space="preserve">szoda költsége 8 591 </w:t>
      </w:r>
      <w:proofErr w:type="spellStart"/>
      <w:r w:rsidR="008728EB" w:rsidRPr="00D15318">
        <w:rPr>
          <w:b/>
        </w:rPr>
        <w:t>eFt</w:t>
      </w:r>
      <w:proofErr w:type="spellEnd"/>
      <w:r w:rsidR="008728EB" w:rsidRPr="00D15318">
        <w:rPr>
          <w:b/>
        </w:rPr>
        <w:t xml:space="preserve">, az Új létesítmény 574 </w:t>
      </w:r>
      <w:proofErr w:type="spellStart"/>
      <w:r w:rsidR="008728EB" w:rsidRPr="00D15318">
        <w:rPr>
          <w:b/>
        </w:rPr>
        <w:t>eFt</w:t>
      </w:r>
      <w:proofErr w:type="spellEnd"/>
      <w:r w:rsidR="008728EB">
        <w:t>.</w:t>
      </w:r>
    </w:p>
    <w:p w14:paraId="38A54EDE" w14:textId="77777777" w:rsidR="00E400CA" w:rsidRPr="008450F3" w:rsidRDefault="00E400CA" w:rsidP="00E400CA">
      <w:pPr>
        <w:jc w:val="both"/>
        <w:rPr>
          <w:sz w:val="20"/>
          <w:szCs w:val="20"/>
        </w:rPr>
      </w:pPr>
    </w:p>
    <w:p w14:paraId="38CF5C5C" w14:textId="77777777" w:rsidR="00E400CA" w:rsidRDefault="00E400CA" w:rsidP="00E400CA">
      <w:pPr>
        <w:jc w:val="both"/>
      </w:pPr>
      <w:r w:rsidRPr="001B75FF">
        <w:rPr>
          <w:b/>
        </w:rPr>
        <w:t>Bérleti díj</w:t>
      </w:r>
      <w:r>
        <w:t xml:space="preserve"> nem került meghatározásra.</w:t>
      </w:r>
    </w:p>
    <w:p w14:paraId="06171ABB" w14:textId="77777777" w:rsidR="00E400CA" w:rsidRPr="008450F3" w:rsidRDefault="00E400CA" w:rsidP="00E400CA">
      <w:pPr>
        <w:jc w:val="both"/>
        <w:rPr>
          <w:sz w:val="20"/>
          <w:szCs w:val="20"/>
        </w:rPr>
      </w:pPr>
    </w:p>
    <w:p w14:paraId="3F691B3A" w14:textId="6CF00375" w:rsidR="00E400CA" w:rsidRDefault="00E400CA" w:rsidP="00E400CA">
      <w:pPr>
        <w:jc w:val="both"/>
      </w:pPr>
      <w:r w:rsidRPr="00DF499C">
        <w:rPr>
          <w:b/>
        </w:rPr>
        <w:t>Vízkészlet járulék</w:t>
      </w:r>
      <w:r w:rsidR="008E2DE0">
        <w:t xml:space="preserve"> </w:t>
      </w:r>
      <w:r w:rsidR="008728EB">
        <w:t xml:space="preserve">a medencék teljes és a napi részleges vízcseréjéhez, valamint a vizesblokkokban felhasznált víz mennyiségére számított költség, </w:t>
      </w:r>
      <w:r w:rsidR="008E2DE0" w:rsidRPr="0027488A">
        <w:rPr>
          <w:b/>
        </w:rPr>
        <w:t>Uszoda</w:t>
      </w:r>
      <w:r w:rsidR="008E2DE0">
        <w:t xml:space="preserve"> tekintetében </w:t>
      </w:r>
      <w:r w:rsidR="008728EB" w:rsidRPr="0027488A">
        <w:rPr>
          <w:b/>
        </w:rPr>
        <w:t>601</w:t>
      </w:r>
      <w:r w:rsidR="008E2DE0" w:rsidRPr="0027488A">
        <w:rPr>
          <w:b/>
        </w:rPr>
        <w:t xml:space="preserve"> </w:t>
      </w:r>
      <w:proofErr w:type="spellStart"/>
      <w:r w:rsidR="008E2DE0" w:rsidRPr="0027488A">
        <w:rPr>
          <w:b/>
        </w:rPr>
        <w:t>eFt</w:t>
      </w:r>
      <w:proofErr w:type="spellEnd"/>
      <w:r w:rsidR="008728EB">
        <w:t>, a</w:t>
      </w:r>
      <w:r w:rsidR="00800FC1">
        <w:t xml:space="preserve">z </w:t>
      </w:r>
      <w:r w:rsidR="00800FC1" w:rsidRPr="0027488A">
        <w:rPr>
          <w:b/>
        </w:rPr>
        <w:t>Új medencére</w:t>
      </w:r>
      <w:r w:rsidRPr="0027488A">
        <w:rPr>
          <w:b/>
        </w:rPr>
        <w:t xml:space="preserve"> 2</w:t>
      </w:r>
      <w:r w:rsidR="008728EB" w:rsidRPr="0027488A">
        <w:rPr>
          <w:b/>
        </w:rPr>
        <w:t>67</w:t>
      </w:r>
      <w:r w:rsidRPr="0027488A">
        <w:rPr>
          <w:b/>
        </w:rPr>
        <w:t xml:space="preserve"> </w:t>
      </w:r>
      <w:proofErr w:type="spellStart"/>
      <w:r w:rsidRPr="0027488A">
        <w:rPr>
          <w:b/>
        </w:rPr>
        <w:t>eFt</w:t>
      </w:r>
      <w:proofErr w:type="spellEnd"/>
      <w:r>
        <w:t>.</w:t>
      </w:r>
    </w:p>
    <w:p w14:paraId="3E4648C0" w14:textId="77777777" w:rsidR="00E400CA" w:rsidRDefault="00E400CA" w:rsidP="00E400CA">
      <w:pPr>
        <w:jc w:val="both"/>
      </w:pPr>
    </w:p>
    <w:p w14:paraId="2961CEEF" w14:textId="587E1838" w:rsidR="00E400CA" w:rsidRDefault="00E400CA" w:rsidP="00E400CA">
      <w:pPr>
        <w:jc w:val="both"/>
      </w:pPr>
      <w:r w:rsidRPr="00AD2B29">
        <w:rPr>
          <w:b/>
        </w:rPr>
        <w:t>Egyéb költségek</w:t>
      </w:r>
      <w:r>
        <w:t xml:space="preserve"> között a vagyonbiztosítás és a hatósági díjak kerülnek elszámolásra. A</w:t>
      </w:r>
      <w:r w:rsidR="00984779">
        <w:t xml:space="preserve"> 2018. évi várható költség alapján a</w:t>
      </w:r>
      <w:r>
        <w:t xml:space="preserve">z </w:t>
      </w:r>
      <w:r w:rsidRPr="0027488A">
        <w:rPr>
          <w:b/>
        </w:rPr>
        <w:t>Uszoda</w:t>
      </w:r>
      <w:r>
        <w:t xml:space="preserve"> költség</w:t>
      </w:r>
      <w:r w:rsidR="00984779">
        <w:t xml:space="preserve">e </w:t>
      </w:r>
      <w:r w:rsidR="00984779" w:rsidRPr="0027488A">
        <w:rPr>
          <w:b/>
        </w:rPr>
        <w:t xml:space="preserve">400 </w:t>
      </w:r>
      <w:proofErr w:type="spellStart"/>
      <w:r w:rsidR="00984779" w:rsidRPr="0027488A">
        <w:rPr>
          <w:b/>
        </w:rPr>
        <w:t>e</w:t>
      </w:r>
      <w:r w:rsidRPr="0027488A">
        <w:rPr>
          <w:b/>
        </w:rPr>
        <w:t>Ft</w:t>
      </w:r>
      <w:proofErr w:type="spellEnd"/>
      <w:proofErr w:type="gramStart"/>
      <w:r w:rsidR="00984779">
        <w:t>,  a</w:t>
      </w:r>
      <w:r>
        <w:t>z</w:t>
      </w:r>
      <w:proofErr w:type="gramEnd"/>
      <w:r>
        <w:t xml:space="preserve"> </w:t>
      </w:r>
      <w:r w:rsidRPr="0027488A">
        <w:rPr>
          <w:b/>
        </w:rPr>
        <w:t>Új medence</w:t>
      </w:r>
      <w:r w:rsidR="0027488A">
        <w:t xml:space="preserve"> </w:t>
      </w:r>
      <w:r w:rsidR="0027488A" w:rsidRPr="0027488A">
        <w:rPr>
          <w:b/>
        </w:rPr>
        <w:t>és létesítmények</w:t>
      </w:r>
      <w:r>
        <w:t xml:space="preserve"> biztosítás</w:t>
      </w:r>
      <w:r w:rsidR="00984779">
        <w:t xml:space="preserve">a az érvényes kötvény </w:t>
      </w:r>
      <w:r w:rsidR="002B0281">
        <w:t xml:space="preserve">alapján </w:t>
      </w:r>
      <w:r w:rsidR="00984779" w:rsidRPr="0027488A">
        <w:rPr>
          <w:b/>
        </w:rPr>
        <w:t>517</w:t>
      </w:r>
      <w:r w:rsidR="008E2DE0" w:rsidRPr="0027488A">
        <w:rPr>
          <w:b/>
        </w:rPr>
        <w:t xml:space="preserve"> </w:t>
      </w:r>
      <w:proofErr w:type="spellStart"/>
      <w:r w:rsidRPr="0027488A">
        <w:rPr>
          <w:b/>
        </w:rPr>
        <w:t>eFt</w:t>
      </w:r>
      <w:proofErr w:type="spellEnd"/>
      <w:r>
        <w:t>.</w:t>
      </w:r>
    </w:p>
    <w:p w14:paraId="284C70DB" w14:textId="77777777" w:rsidR="00E400CA" w:rsidRDefault="00E400CA" w:rsidP="00E400CA">
      <w:pPr>
        <w:jc w:val="both"/>
      </w:pPr>
    </w:p>
    <w:p w14:paraId="179246B8" w14:textId="12300242" w:rsidR="00E400CA" w:rsidRDefault="00E400CA" w:rsidP="00E400CA">
      <w:pPr>
        <w:jc w:val="both"/>
      </w:pPr>
      <w:r w:rsidRPr="0004259B">
        <w:rPr>
          <w:b/>
        </w:rPr>
        <w:lastRenderedPageBreak/>
        <w:t>Belső szolgáltatás</w:t>
      </w:r>
      <w:r>
        <w:t xml:space="preserve"> </w:t>
      </w:r>
      <w:r w:rsidRPr="0004259B">
        <w:rPr>
          <w:b/>
        </w:rPr>
        <w:t>(átterhelés)</w:t>
      </w:r>
      <w:r>
        <w:t xml:space="preserve"> a </w:t>
      </w:r>
      <w:r w:rsidR="00984779">
        <w:t>medencék teljes és napi részleges vízcseréjéhez használt</w:t>
      </w:r>
      <w:r>
        <w:t xml:space="preserve"> </w:t>
      </w:r>
      <w:r w:rsidR="00984779">
        <w:t>ipari víz illetve</w:t>
      </w:r>
      <w:r>
        <w:t xml:space="preserve"> ivóvíz felhasználás</w:t>
      </w:r>
      <w:r w:rsidR="00984779">
        <w:t>, a vizesblokkokban felhasznált ivóvíz, másrészt a szennyvízcsatorna ezekhez kapcsolódó</w:t>
      </w:r>
      <w:r>
        <w:t xml:space="preserve"> igénybevételét jelenti. Az </w:t>
      </w:r>
      <w:r w:rsidRPr="00E91B62">
        <w:rPr>
          <w:b/>
        </w:rPr>
        <w:t>Uszoda</w:t>
      </w:r>
      <w:r>
        <w:t xml:space="preserve"> vonatkozásában</w:t>
      </w:r>
      <w:r w:rsidR="00984779">
        <w:t xml:space="preserve"> a tervezett mennyiségekhez kapcsolódóan</w:t>
      </w:r>
      <w:r>
        <w:t xml:space="preserve"> </w:t>
      </w:r>
      <w:r w:rsidR="00984779">
        <w:t xml:space="preserve">a költség </w:t>
      </w:r>
      <w:r w:rsidR="00984779" w:rsidRPr="00E91B62">
        <w:rPr>
          <w:b/>
        </w:rPr>
        <w:t>19 719</w:t>
      </w:r>
      <w:r w:rsidR="008E2DE0" w:rsidRPr="00E91B62">
        <w:rPr>
          <w:b/>
        </w:rPr>
        <w:t xml:space="preserve"> </w:t>
      </w:r>
      <w:proofErr w:type="spellStart"/>
      <w:r w:rsidRPr="00E91B62">
        <w:rPr>
          <w:b/>
        </w:rPr>
        <w:t>eFt</w:t>
      </w:r>
      <w:proofErr w:type="spellEnd"/>
      <w:r w:rsidR="00892BE9">
        <w:t>,</w:t>
      </w:r>
      <w:r>
        <w:t xml:space="preserve"> </w:t>
      </w:r>
      <w:r w:rsidR="00984779">
        <w:t>a</w:t>
      </w:r>
      <w:r>
        <w:t xml:space="preserve">z </w:t>
      </w:r>
      <w:r w:rsidRPr="00E91B62">
        <w:rPr>
          <w:b/>
        </w:rPr>
        <w:t>Új medence</w:t>
      </w:r>
      <w:r>
        <w:t xml:space="preserve"> vonatkozásában </w:t>
      </w:r>
      <w:r w:rsidR="00984779" w:rsidRPr="00E91B62">
        <w:rPr>
          <w:b/>
        </w:rPr>
        <w:t xml:space="preserve">9 846 </w:t>
      </w:r>
      <w:proofErr w:type="spellStart"/>
      <w:r w:rsidR="00984779" w:rsidRPr="00E91B62">
        <w:rPr>
          <w:b/>
        </w:rPr>
        <w:t>eFt</w:t>
      </w:r>
      <w:proofErr w:type="spellEnd"/>
      <w:r>
        <w:t xml:space="preserve">. Árak tekintetében </w:t>
      </w:r>
      <w:r w:rsidR="00826A3E">
        <w:t>az Önköltség</w:t>
      </w:r>
      <w:r w:rsidR="008450F3">
        <w:t>-</w:t>
      </w:r>
      <w:r w:rsidR="00826A3E">
        <w:t>számítási szabályzatban előírtak szerint önköltségi árral számoltunk.</w:t>
      </w:r>
    </w:p>
    <w:p w14:paraId="61AFCD6B" w14:textId="77777777" w:rsidR="00E400CA" w:rsidRPr="008450F3" w:rsidRDefault="00E400CA" w:rsidP="00E400CA">
      <w:pPr>
        <w:jc w:val="both"/>
        <w:rPr>
          <w:sz w:val="16"/>
          <w:szCs w:val="16"/>
        </w:rPr>
      </w:pPr>
    </w:p>
    <w:p w14:paraId="30687423" w14:textId="378C839E" w:rsidR="00E400CA" w:rsidRDefault="00E400CA" w:rsidP="00E400CA">
      <w:pPr>
        <w:jc w:val="both"/>
      </w:pPr>
      <w:r w:rsidRPr="00806641">
        <w:rPr>
          <w:b/>
        </w:rPr>
        <w:t>Belső szolgáltatás (labor)</w:t>
      </w:r>
      <w:r>
        <w:t xml:space="preserve"> a szükséges mintavételek miatt a labor költségek számbavétele is elkerülhetetlen. Ezen költségtényezőt a kalkulációban önköltségen vettük figyelembe az Uszoda, valamint az Új medence vonatkozásában egyaránt, a 201</w:t>
      </w:r>
      <w:r w:rsidR="00826A3E">
        <w:t>8</w:t>
      </w:r>
      <w:r>
        <w:t xml:space="preserve">. évi tényadatokból kiindulva. Kalkulált költség az </w:t>
      </w:r>
      <w:r w:rsidRPr="00F24B2E">
        <w:rPr>
          <w:b/>
        </w:rPr>
        <w:t>Uszoda</w:t>
      </w:r>
      <w:r>
        <w:t xml:space="preserve"> tekintetében </w:t>
      </w:r>
      <w:r w:rsidRPr="00F24B2E">
        <w:rPr>
          <w:b/>
        </w:rPr>
        <w:t>4.</w:t>
      </w:r>
      <w:r w:rsidR="00826A3E" w:rsidRPr="00F24B2E">
        <w:rPr>
          <w:b/>
        </w:rPr>
        <w:t>333</w:t>
      </w:r>
      <w:r w:rsidRPr="00F24B2E">
        <w:rPr>
          <w:b/>
        </w:rPr>
        <w:t xml:space="preserve"> </w:t>
      </w:r>
      <w:proofErr w:type="spellStart"/>
      <w:r w:rsidRPr="00F24B2E">
        <w:rPr>
          <w:b/>
        </w:rPr>
        <w:t>eFt</w:t>
      </w:r>
      <w:proofErr w:type="spellEnd"/>
      <w:r>
        <w:t xml:space="preserve">, az </w:t>
      </w:r>
      <w:r w:rsidRPr="00F24B2E">
        <w:rPr>
          <w:b/>
        </w:rPr>
        <w:t>Új medence</w:t>
      </w:r>
      <w:r>
        <w:t xml:space="preserve"> vonatkozásában </w:t>
      </w:r>
      <w:r w:rsidR="00826A3E" w:rsidRPr="00F24B2E">
        <w:rPr>
          <w:b/>
        </w:rPr>
        <w:t>675</w:t>
      </w:r>
      <w:r w:rsidR="001A78A7" w:rsidRPr="00F24B2E">
        <w:rPr>
          <w:b/>
        </w:rPr>
        <w:t xml:space="preserve"> </w:t>
      </w:r>
      <w:proofErr w:type="spellStart"/>
      <w:r w:rsidRPr="00F24B2E">
        <w:rPr>
          <w:b/>
        </w:rPr>
        <w:t>eFt</w:t>
      </w:r>
      <w:proofErr w:type="spellEnd"/>
      <w:r>
        <w:t>.</w:t>
      </w:r>
    </w:p>
    <w:p w14:paraId="323C3CA1" w14:textId="77777777" w:rsidR="00F16A09" w:rsidRPr="008450F3" w:rsidRDefault="00F16A09" w:rsidP="00E400CA">
      <w:pPr>
        <w:jc w:val="both"/>
        <w:rPr>
          <w:sz w:val="16"/>
          <w:szCs w:val="16"/>
        </w:rPr>
      </w:pPr>
    </w:p>
    <w:p w14:paraId="4BEEC521" w14:textId="23303159" w:rsidR="00E400CA" w:rsidRDefault="00E400CA" w:rsidP="00E400CA">
      <w:pPr>
        <w:jc w:val="both"/>
      </w:pPr>
      <w:r w:rsidRPr="00BC28E5">
        <w:t>Társaságunk tevékenységeit kiszolgáló üzemek, szervezetek költségeit minden hónapban ráterheljük a tevékenységekre, a költségfelosztási szabályzatunk szerint.</w:t>
      </w:r>
      <w:r>
        <w:t xml:space="preserve"> Ilyenek</w:t>
      </w:r>
      <w:r>
        <w:rPr>
          <w:b/>
        </w:rPr>
        <w:t xml:space="preserve"> a</w:t>
      </w:r>
      <w:r w:rsidRPr="00357FD7">
        <w:rPr>
          <w:b/>
        </w:rPr>
        <w:t xml:space="preserve"> gépjárművek, munkagépek, kisgépek üzemeltetési költsége</w:t>
      </w:r>
      <w:r>
        <w:rPr>
          <w:b/>
        </w:rPr>
        <w:t>i</w:t>
      </w:r>
      <w:r>
        <w:t>, az informatika a HR és a munkavédel</w:t>
      </w:r>
      <w:r w:rsidR="003B6110">
        <w:t>e</w:t>
      </w:r>
      <w:r>
        <w:t>m költségei. Ezek a költségek a 201</w:t>
      </w:r>
      <w:r w:rsidR="006D324F">
        <w:t>8</w:t>
      </w:r>
      <w:r>
        <w:t>.</w:t>
      </w:r>
      <w:r w:rsidR="006D324F">
        <w:t xml:space="preserve"> </w:t>
      </w:r>
      <w:r>
        <w:t>évi tervadatok szerint kerültek meghatározásra, megosztva a meglévő és új létesítmények között.</w:t>
      </w:r>
    </w:p>
    <w:p w14:paraId="220D5842" w14:textId="5E9D0089" w:rsidR="00E400CA" w:rsidRDefault="00E400CA" w:rsidP="00E400CA">
      <w:pPr>
        <w:jc w:val="both"/>
      </w:pPr>
      <w:r>
        <w:t xml:space="preserve">Ezeket a költségeket a munkagépek és a járművek vonatkozásában az üzemóra alapján, a felhasználás szerint, a HR és a munkavédelmi költségeket a létszám arányában osztjuk a tevékenységekre, az összes kalkulált költséget 2/3-ad, 1/3-ad arányban osztottuk meg az Uszoda és az Új medence között. A kalkulált költség az </w:t>
      </w:r>
      <w:r w:rsidRPr="00F24B2E">
        <w:rPr>
          <w:b/>
        </w:rPr>
        <w:t>Uszoda</w:t>
      </w:r>
      <w:r>
        <w:t xml:space="preserve"> tekintetében </w:t>
      </w:r>
      <w:r w:rsidRPr="00F24B2E">
        <w:rPr>
          <w:b/>
        </w:rPr>
        <w:t>2</w:t>
      </w:r>
      <w:r w:rsidR="00F24B2E">
        <w:rPr>
          <w:b/>
        </w:rPr>
        <w:t xml:space="preserve"> </w:t>
      </w:r>
      <w:r w:rsidR="006D324F" w:rsidRPr="00F24B2E">
        <w:rPr>
          <w:b/>
        </w:rPr>
        <w:t>771</w:t>
      </w:r>
      <w:r w:rsidR="001A78A7" w:rsidRPr="00F24B2E">
        <w:rPr>
          <w:b/>
        </w:rPr>
        <w:t xml:space="preserve"> </w:t>
      </w:r>
      <w:proofErr w:type="spellStart"/>
      <w:r w:rsidRPr="00F24B2E">
        <w:rPr>
          <w:b/>
        </w:rPr>
        <w:t>eFt</w:t>
      </w:r>
      <w:proofErr w:type="spellEnd"/>
      <w:r>
        <w:t xml:space="preserve">, az </w:t>
      </w:r>
      <w:r w:rsidRPr="00F24B2E">
        <w:rPr>
          <w:b/>
        </w:rPr>
        <w:t xml:space="preserve">Új medence </w:t>
      </w:r>
      <w:r>
        <w:t xml:space="preserve">tekintetében </w:t>
      </w:r>
      <w:r w:rsidRPr="00F24B2E">
        <w:rPr>
          <w:b/>
        </w:rPr>
        <w:t>1</w:t>
      </w:r>
      <w:r w:rsidR="00F24B2E">
        <w:rPr>
          <w:b/>
        </w:rPr>
        <w:t xml:space="preserve"> </w:t>
      </w:r>
      <w:r w:rsidR="006D324F" w:rsidRPr="00F24B2E">
        <w:rPr>
          <w:b/>
        </w:rPr>
        <w:t>187</w:t>
      </w:r>
      <w:r w:rsidR="001A78A7" w:rsidRPr="00F24B2E">
        <w:rPr>
          <w:b/>
        </w:rPr>
        <w:t xml:space="preserve"> </w:t>
      </w:r>
      <w:proofErr w:type="spellStart"/>
      <w:r w:rsidRPr="00F24B2E">
        <w:rPr>
          <w:b/>
        </w:rPr>
        <w:t>eFt</w:t>
      </w:r>
      <w:proofErr w:type="spellEnd"/>
      <w:r>
        <w:t>.</w:t>
      </w:r>
    </w:p>
    <w:p w14:paraId="74FFAA93" w14:textId="77777777" w:rsidR="00E400CA" w:rsidRPr="008450F3" w:rsidRDefault="00E400CA" w:rsidP="00E400CA">
      <w:pPr>
        <w:jc w:val="both"/>
        <w:rPr>
          <w:sz w:val="16"/>
          <w:szCs w:val="16"/>
        </w:rPr>
      </w:pPr>
    </w:p>
    <w:p w14:paraId="0F3FB800" w14:textId="397693A9" w:rsidR="00E400CA" w:rsidRDefault="00E400CA" w:rsidP="00E400CA">
      <w:pPr>
        <w:jc w:val="both"/>
      </w:pPr>
      <w:r w:rsidRPr="00357FD7">
        <w:rPr>
          <w:b/>
        </w:rPr>
        <w:t>Üzemi általános költség</w:t>
      </w:r>
      <w:r>
        <w:t xml:space="preserve"> a fürdő területén található üzemi épületek karbantartását, takarítását, fűtését, világítását, értékcsökkenését, valamint az üzemirányítás bér és személyi jellegű illetve adminisztrációs költségeit tartalmazza. A bér, a járulékok illetve a személyi jellegű kifizetések esetén 2 fő létszámot véve alapul </w:t>
      </w:r>
      <w:r w:rsidR="00506912">
        <w:t xml:space="preserve">2018. évi várható </w:t>
      </w:r>
      <w:r>
        <w:t xml:space="preserve">költségeit vettük számba, a bérek vonatkozásában </w:t>
      </w:r>
      <w:r w:rsidR="00A16FC6">
        <w:t>10</w:t>
      </w:r>
      <w:r>
        <w:t xml:space="preserve"> %-os bérnövekménnyel</w:t>
      </w:r>
      <w:r w:rsidR="00A16FC6">
        <w:t xml:space="preserve"> számolva. </w:t>
      </w:r>
      <w:r>
        <w:t xml:space="preserve">Az üzemi általános költségek megosztásra kerültek a meglévő és új létesítmények között 2/3-ad és 1/3-ad arányban. </w:t>
      </w:r>
      <w:r w:rsidRPr="00F24B2E">
        <w:rPr>
          <w:b/>
        </w:rPr>
        <w:t xml:space="preserve">Uszoda </w:t>
      </w:r>
      <w:r w:rsidR="00A16FC6" w:rsidRPr="00F24B2E">
        <w:rPr>
          <w:b/>
        </w:rPr>
        <w:t>20 632</w:t>
      </w:r>
      <w:r w:rsidR="008E2DE0" w:rsidRPr="00F24B2E">
        <w:rPr>
          <w:b/>
        </w:rPr>
        <w:t xml:space="preserve"> </w:t>
      </w:r>
      <w:proofErr w:type="spellStart"/>
      <w:r w:rsidR="00A16FC6" w:rsidRPr="00F24B2E">
        <w:rPr>
          <w:b/>
        </w:rPr>
        <w:t>eFt</w:t>
      </w:r>
      <w:proofErr w:type="spellEnd"/>
      <w:r w:rsidR="00A16FC6">
        <w:t xml:space="preserve">, az </w:t>
      </w:r>
      <w:r w:rsidR="00A16FC6" w:rsidRPr="00F24B2E">
        <w:rPr>
          <w:b/>
        </w:rPr>
        <w:t>Új medence 8 842</w:t>
      </w:r>
      <w:r w:rsidR="008E2DE0" w:rsidRPr="00F24B2E">
        <w:rPr>
          <w:b/>
        </w:rPr>
        <w:t xml:space="preserve"> </w:t>
      </w:r>
      <w:proofErr w:type="spellStart"/>
      <w:r w:rsidRPr="00F24B2E">
        <w:rPr>
          <w:b/>
        </w:rPr>
        <w:t>eFt</w:t>
      </w:r>
      <w:proofErr w:type="spellEnd"/>
      <w:r>
        <w:t>.</w:t>
      </w:r>
    </w:p>
    <w:p w14:paraId="1A828F60" w14:textId="77777777" w:rsidR="00E400CA" w:rsidRPr="008450F3" w:rsidRDefault="00E400CA" w:rsidP="00E400CA">
      <w:pPr>
        <w:jc w:val="both"/>
        <w:rPr>
          <w:sz w:val="16"/>
          <w:szCs w:val="16"/>
        </w:rPr>
      </w:pPr>
    </w:p>
    <w:p w14:paraId="1DC31245" w14:textId="4C6848C1" w:rsidR="00E400CA" w:rsidRDefault="00E400CA" w:rsidP="00E400CA">
      <w:pPr>
        <w:jc w:val="both"/>
      </w:pPr>
      <w:r>
        <w:rPr>
          <w:b/>
        </w:rPr>
        <w:t>A Társaság irányítási költségei, az</w:t>
      </w:r>
      <w:r w:rsidRPr="00812C07">
        <w:rPr>
          <w:b/>
        </w:rPr>
        <w:t xml:space="preserve"> egyéb ál</w:t>
      </w:r>
      <w:r>
        <w:rPr>
          <w:b/>
        </w:rPr>
        <w:t xml:space="preserve">talános költségek, illetve az egyéb adók és </w:t>
      </w:r>
      <w:r w:rsidRPr="00812C07">
        <w:rPr>
          <w:b/>
        </w:rPr>
        <w:t>ráfordítások</w:t>
      </w:r>
      <w:r>
        <w:t xml:space="preserve"> a fürdőszolgáltatási tevékenységre, annak bevétele alapján osztott költségek. </w:t>
      </w:r>
      <w:r w:rsidR="004327CA">
        <w:t>Az Rt. irányítás és egyéb költségek tekintetében</w:t>
      </w:r>
      <w:r>
        <w:t xml:space="preserve"> növekedéssel </w:t>
      </w:r>
      <w:r w:rsidR="00A16FC6">
        <w:t xml:space="preserve">nem </w:t>
      </w:r>
      <w:r>
        <w:t>számoltunk</w:t>
      </w:r>
      <w:r w:rsidR="004327CA">
        <w:t xml:space="preserve"> a 201</w:t>
      </w:r>
      <w:r w:rsidR="00A16FC6">
        <w:t>8</w:t>
      </w:r>
      <w:r w:rsidR="004327CA">
        <w:t>.</w:t>
      </w:r>
      <w:r w:rsidR="00A16FC6">
        <w:t xml:space="preserve"> </w:t>
      </w:r>
      <w:r w:rsidR="004327CA">
        <w:t>évi üzleti tervhez képest</w:t>
      </w:r>
      <w:r>
        <w:t xml:space="preserve">. </w:t>
      </w:r>
      <w:r w:rsidRPr="003F3EA7">
        <w:t xml:space="preserve">A költségek megosztásra kerültek a meglévő és új létesítmények között </w:t>
      </w:r>
      <w:r w:rsidR="00A16FC6">
        <w:t>70-30 %</w:t>
      </w:r>
      <w:r w:rsidRPr="003F3EA7">
        <w:t xml:space="preserve"> arányban. </w:t>
      </w:r>
      <w:r w:rsidRPr="00F24B2E">
        <w:rPr>
          <w:b/>
        </w:rPr>
        <w:t xml:space="preserve">Uszoda </w:t>
      </w:r>
      <w:r w:rsidR="008E2DE0" w:rsidRPr="00F24B2E">
        <w:rPr>
          <w:b/>
        </w:rPr>
        <w:t>1</w:t>
      </w:r>
      <w:r w:rsidR="00A16FC6" w:rsidRPr="00F24B2E">
        <w:rPr>
          <w:b/>
        </w:rPr>
        <w:t>2 110</w:t>
      </w:r>
      <w:r w:rsidR="008E2DE0" w:rsidRPr="00F24B2E">
        <w:rPr>
          <w:b/>
        </w:rPr>
        <w:t xml:space="preserve"> </w:t>
      </w:r>
      <w:proofErr w:type="spellStart"/>
      <w:r w:rsidR="008E2DE0" w:rsidRPr="00F24B2E">
        <w:rPr>
          <w:b/>
        </w:rPr>
        <w:t>e</w:t>
      </w:r>
      <w:r w:rsidRPr="00F24B2E">
        <w:rPr>
          <w:b/>
        </w:rPr>
        <w:t>Ft</w:t>
      </w:r>
      <w:proofErr w:type="spellEnd"/>
      <w:r w:rsidRPr="00F24B2E">
        <w:rPr>
          <w:b/>
        </w:rPr>
        <w:t xml:space="preserve">, Új medence </w:t>
      </w:r>
      <w:r w:rsidR="00A16FC6" w:rsidRPr="00F24B2E">
        <w:rPr>
          <w:b/>
        </w:rPr>
        <w:t>5 189</w:t>
      </w:r>
      <w:r w:rsidR="008E2DE0" w:rsidRPr="00F24B2E">
        <w:rPr>
          <w:b/>
        </w:rPr>
        <w:t xml:space="preserve"> </w:t>
      </w:r>
      <w:proofErr w:type="spellStart"/>
      <w:r w:rsidR="008E2DE0" w:rsidRPr="00F24B2E">
        <w:rPr>
          <w:b/>
        </w:rPr>
        <w:t>e</w:t>
      </w:r>
      <w:r w:rsidRPr="00F24B2E">
        <w:rPr>
          <w:b/>
        </w:rPr>
        <w:t>Ft</w:t>
      </w:r>
      <w:proofErr w:type="spellEnd"/>
      <w:r w:rsidRPr="003F3EA7">
        <w:t>.</w:t>
      </w:r>
    </w:p>
    <w:p w14:paraId="30BF8F87" w14:textId="6AD5AC0D" w:rsidR="00E400CA" w:rsidRDefault="00E400CA" w:rsidP="00E400CA">
      <w:pPr>
        <w:jc w:val="both"/>
        <w:rPr>
          <w:b/>
        </w:rPr>
      </w:pPr>
      <w:r>
        <w:t xml:space="preserve">Az egyéb ráfordítások közül kiemelt tétel az </w:t>
      </w:r>
      <w:r w:rsidRPr="008C51CE">
        <w:rPr>
          <w:b/>
        </w:rPr>
        <w:t>építményadó</w:t>
      </w:r>
      <w:r>
        <w:t xml:space="preserve">, </w:t>
      </w:r>
      <w:r w:rsidR="00A16FC6">
        <w:t>a</w:t>
      </w:r>
      <w:r>
        <w:t>melynek fizetésére az ingatlan tulajdonosa köteles</w:t>
      </w:r>
      <w:r w:rsidR="00E36B16">
        <w:t>, de a</w:t>
      </w:r>
      <w:r w:rsidR="00E36B16">
        <w:rPr>
          <w:b/>
        </w:rPr>
        <w:t xml:space="preserve"> tervezett</w:t>
      </w:r>
      <w:r w:rsidRPr="0076058E">
        <w:rPr>
          <w:b/>
        </w:rPr>
        <w:t xml:space="preserve"> üzemeltetési konstrukció illetve a vagyonátadás </w:t>
      </w:r>
      <w:r w:rsidR="00E36B16">
        <w:rPr>
          <w:b/>
        </w:rPr>
        <w:t>következtében ezeket a létesítményeket építményadó nem terheli</w:t>
      </w:r>
      <w:r w:rsidRPr="0076058E">
        <w:rPr>
          <w:b/>
        </w:rPr>
        <w:t>.</w:t>
      </w:r>
    </w:p>
    <w:p w14:paraId="3FF2027D" w14:textId="77777777" w:rsidR="00E400CA" w:rsidRPr="008450F3" w:rsidRDefault="00E400CA" w:rsidP="00E400CA">
      <w:pPr>
        <w:jc w:val="both"/>
        <w:rPr>
          <w:b/>
          <w:sz w:val="16"/>
          <w:szCs w:val="16"/>
        </w:rPr>
      </w:pPr>
    </w:p>
    <w:p w14:paraId="42564416" w14:textId="08ED5C38" w:rsidR="00E400CA" w:rsidRDefault="00E400CA" w:rsidP="00E400CA">
      <w:pPr>
        <w:jc w:val="both"/>
      </w:pPr>
      <w:r w:rsidRPr="00815F06">
        <w:rPr>
          <w:b/>
        </w:rPr>
        <w:t>Támogatás</w:t>
      </w:r>
      <w:r w:rsidR="001341D0">
        <w:rPr>
          <w:b/>
        </w:rPr>
        <w:t>t</w:t>
      </w:r>
      <w:r w:rsidRPr="00815F06">
        <w:rPr>
          <w:b/>
        </w:rPr>
        <w:t>/üzemeltetési díj</w:t>
      </w:r>
      <w:r w:rsidR="003B6110">
        <w:rPr>
          <w:b/>
        </w:rPr>
        <w:t>at</w:t>
      </w:r>
      <w:r>
        <w:t xml:space="preserve"> jelen kalkulációban nem </w:t>
      </w:r>
      <w:r w:rsidR="003B6110">
        <w:t>vettü</w:t>
      </w:r>
      <w:r w:rsidR="001341D0">
        <w:t>n</w:t>
      </w:r>
      <w:r w:rsidR="003B6110">
        <w:t xml:space="preserve">k </w:t>
      </w:r>
      <w:r>
        <w:t>figyelembe.</w:t>
      </w:r>
    </w:p>
    <w:p w14:paraId="027ECF32" w14:textId="77777777" w:rsidR="00E400CA" w:rsidRPr="008450F3" w:rsidRDefault="00E400CA" w:rsidP="00E400CA">
      <w:pPr>
        <w:jc w:val="both"/>
        <w:rPr>
          <w:sz w:val="16"/>
          <w:szCs w:val="16"/>
        </w:rPr>
      </w:pPr>
    </w:p>
    <w:p w14:paraId="55DF646A" w14:textId="61B28C5A" w:rsidR="00E400CA" w:rsidRDefault="00E400CA" w:rsidP="00E400CA">
      <w:pPr>
        <w:jc w:val="both"/>
      </w:pPr>
      <w:r>
        <w:t xml:space="preserve">Az </w:t>
      </w:r>
      <w:r w:rsidRPr="001341D0">
        <w:rPr>
          <w:b/>
        </w:rPr>
        <w:t>Uszoda</w:t>
      </w:r>
      <w:r>
        <w:t xml:space="preserve"> összes költsége a kalkuláció szerint </w:t>
      </w:r>
      <w:r w:rsidR="001341D0">
        <w:t>270</w:t>
      </w:r>
      <w:r>
        <w:t xml:space="preserve"> mill</w:t>
      </w:r>
      <w:r w:rsidR="00907734">
        <w:t>i</w:t>
      </w:r>
      <w:r>
        <w:t xml:space="preserve">ó Ft, a bevétele </w:t>
      </w:r>
      <w:r w:rsidR="001341D0">
        <w:t>89</w:t>
      </w:r>
      <w:r>
        <w:t xml:space="preserve"> millió Ft, kalkulált </w:t>
      </w:r>
      <w:r w:rsidRPr="001341D0">
        <w:rPr>
          <w:b/>
        </w:rPr>
        <w:t xml:space="preserve">vesztesége </w:t>
      </w:r>
      <w:r w:rsidR="004327CA" w:rsidRPr="001341D0">
        <w:rPr>
          <w:b/>
        </w:rPr>
        <w:t>1</w:t>
      </w:r>
      <w:r w:rsidR="001341D0" w:rsidRPr="001341D0">
        <w:rPr>
          <w:b/>
        </w:rPr>
        <w:t>81</w:t>
      </w:r>
      <w:r w:rsidRPr="001341D0">
        <w:rPr>
          <w:b/>
        </w:rPr>
        <w:t xml:space="preserve"> millió Ft</w:t>
      </w:r>
      <w:r>
        <w:t>.</w:t>
      </w:r>
    </w:p>
    <w:p w14:paraId="2F107EF9" w14:textId="57EE38D6" w:rsidR="00E400CA" w:rsidRDefault="00E400CA" w:rsidP="00E400CA">
      <w:pPr>
        <w:jc w:val="both"/>
      </w:pPr>
      <w:r>
        <w:t xml:space="preserve">Az </w:t>
      </w:r>
      <w:r w:rsidRPr="001341D0">
        <w:rPr>
          <w:b/>
        </w:rPr>
        <w:t>Új medence</w:t>
      </w:r>
      <w:r>
        <w:t xml:space="preserve"> összes költsége a kalkuláció szerint </w:t>
      </w:r>
      <w:r w:rsidR="001341D0">
        <w:t>64</w:t>
      </w:r>
      <w:r>
        <w:t xml:space="preserve"> millió Ft, az öss</w:t>
      </w:r>
      <w:r w:rsidR="00AD1FB0">
        <w:t xml:space="preserve">zes bevétele </w:t>
      </w:r>
      <w:r w:rsidR="001341D0">
        <w:t>33</w:t>
      </w:r>
      <w:r>
        <w:t xml:space="preserve"> millió Ft, a </w:t>
      </w:r>
      <w:r w:rsidRPr="001341D0">
        <w:rPr>
          <w:b/>
        </w:rPr>
        <w:t xml:space="preserve">vesztesége </w:t>
      </w:r>
      <w:r w:rsidR="00AD1FB0" w:rsidRPr="001341D0">
        <w:rPr>
          <w:b/>
        </w:rPr>
        <w:t>3</w:t>
      </w:r>
      <w:r w:rsidR="001341D0" w:rsidRPr="001341D0">
        <w:rPr>
          <w:b/>
        </w:rPr>
        <w:t>1</w:t>
      </w:r>
      <w:r w:rsidRPr="001341D0">
        <w:rPr>
          <w:b/>
        </w:rPr>
        <w:t xml:space="preserve"> millió Ft</w:t>
      </w:r>
      <w:r>
        <w:t>.</w:t>
      </w:r>
    </w:p>
    <w:p w14:paraId="26E3DA92" w14:textId="77777777" w:rsidR="00E400CA" w:rsidRPr="008450F3" w:rsidRDefault="00E400CA" w:rsidP="00E400CA">
      <w:pPr>
        <w:jc w:val="both"/>
        <w:rPr>
          <w:sz w:val="16"/>
          <w:szCs w:val="16"/>
        </w:rPr>
      </w:pPr>
    </w:p>
    <w:p w14:paraId="0E44CACA" w14:textId="582A1EE1" w:rsidR="00E400CA" w:rsidRDefault="00E400CA" w:rsidP="00E400CA">
      <w:pPr>
        <w:jc w:val="both"/>
        <w:rPr>
          <w:b/>
        </w:rPr>
      </w:pPr>
      <w:r w:rsidRPr="001341D0">
        <w:rPr>
          <w:b/>
        </w:rPr>
        <w:lastRenderedPageBreak/>
        <w:t xml:space="preserve">Az Új medence és az Uszoda összes együttes költsége </w:t>
      </w:r>
      <w:r w:rsidR="001341D0" w:rsidRPr="001341D0">
        <w:rPr>
          <w:b/>
        </w:rPr>
        <w:t>33</w:t>
      </w:r>
      <w:r w:rsidR="00EB1B78">
        <w:rPr>
          <w:b/>
        </w:rPr>
        <w:t>4</w:t>
      </w:r>
      <w:r w:rsidR="001341D0" w:rsidRPr="001341D0">
        <w:rPr>
          <w:b/>
        </w:rPr>
        <w:t xml:space="preserve"> millió </w:t>
      </w:r>
      <w:r w:rsidR="00AD1FB0" w:rsidRPr="001341D0">
        <w:rPr>
          <w:b/>
        </w:rPr>
        <w:t>Ft, összes bevétele 1</w:t>
      </w:r>
      <w:r w:rsidR="001341D0" w:rsidRPr="001341D0">
        <w:rPr>
          <w:b/>
        </w:rPr>
        <w:t xml:space="preserve">22 millió </w:t>
      </w:r>
      <w:r w:rsidR="00AD1FB0" w:rsidRPr="001341D0">
        <w:rPr>
          <w:b/>
        </w:rPr>
        <w:t xml:space="preserve">Ft, a veszteség </w:t>
      </w:r>
      <w:r w:rsidR="001341D0" w:rsidRPr="001341D0">
        <w:rPr>
          <w:b/>
        </w:rPr>
        <w:t xml:space="preserve">212 millió </w:t>
      </w:r>
      <w:r w:rsidRPr="001341D0">
        <w:rPr>
          <w:b/>
        </w:rPr>
        <w:t>Ft.</w:t>
      </w:r>
    </w:p>
    <w:p w14:paraId="2063BA8E" w14:textId="77777777" w:rsidR="00705E08" w:rsidRPr="00EB1B78" w:rsidRDefault="00705E08" w:rsidP="00E400CA">
      <w:pPr>
        <w:jc w:val="both"/>
        <w:rPr>
          <w:sz w:val="16"/>
          <w:szCs w:val="16"/>
        </w:rPr>
      </w:pPr>
    </w:p>
    <w:p w14:paraId="62EF8B6E" w14:textId="77777777" w:rsidR="00EB1B78" w:rsidRPr="00EB1B78" w:rsidRDefault="00EB1B78" w:rsidP="00E400CA">
      <w:pPr>
        <w:jc w:val="both"/>
        <w:rPr>
          <w:sz w:val="16"/>
          <w:szCs w:val="16"/>
        </w:rPr>
      </w:pPr>
    </w:p>
    <w:p w14:paraId="1AC4F82B" w14:textId="77777777" w:rsidR="00EB1B78" w:rsidRPr="00EB1B78" w:rsidRDefault="00EB1B78" w:rsidP="00E400CA">
      <w:pPr>
        <w:jc w:val="both"/>
        <w:rPr>
          <w:sz w:val="16"/>
          <w:szCs w:val="16"/>
        </w:rPr>
      </w:pPr>
    </w:p>
    <w:p w14:paraId="2CF894C8" w14:textId="5770832A" w:rsidR="00705E08" w:rsidRDefault="00705E08" w:rsidP="00E400CA">
      <w:pPr>
        <w:jc w:val="both"/>
      </w:pPr>
      <w:r w:rsidRPr="00705E08">
        <w:t xml:space="preserve">Szombathely 2018. október 10. </w:t>
      </w:r>
    </w:p>
    <w:p w14:paraId="458EF98B" w14:textId="77777777" w:rsidR="00603722" w:rsidRPr="00EF1D51" w:rsidRDefault="00603722" w:rsidP="00E400CA">
      <w:pPr>
        <w:jc w:val="both"/>
        <w:rPr>
          <w:sz w:val="16"/>
          <w:szCs w:val="16"/>
        </w:rPr>
      </w:pPr>
    </w:p>
    <w:p w14:paraId="5EBCDEA1" w14:textId="77777777" w:rsidR="00EF1D51" w:rsidRPr="00EF1D51" w:rsidRDefault="00EF1D51" w:rsidP="00E400CA">
      <w:pPr>
        <w:jc w:val="both"/>
        <w:rPr>
          <w:sz w:val="16"/>
          <w:szCs w:val="16"/>
        </w:rPr>
      </w:pPr>
    </w:p>
    <w:p w14:paraId="1264B92E" w14:textId="77777777" w:rsidR="00705E08" w:rsidRPr="00EF1D51" w:rsidRDefault="00705E08" w:rsidP="00E400CA">
      <w:pPr>
        <w:jc w:val="both"/>
        <w:rPr>
          <w:sz w:val="16"/>
          <w:szCs w:val="16"/>
        </w:rPr>
      </w:pPr>
    </w:p>
    <w:p w14:paraId="092A42CD" w14:textId="33A42608" w:rsidR="00705E08" w:rsidRDefault="00705E08" w:rsidP="00705E08">
      <w:pPr>
        <w:tabs>
          <w:tab w:val="center" w:pos="6804"/>
        </w:tabs>
        <w:jc w:val="both"/>
      </w:pPr>
      <w:r>
        <w:tab/>
        <w:t xml:space="preserve">Dr. </w:t>
      </w:r>
      <w:proofErr w:type="spellStart"/>
      <w:r>
        <w:t>Kohuth</w:t>
      </w:r>
      <w:proofErr w:type="spellEnd"/>
      <w:r>
        <w:t xml:space="preserve"> Viktor</w:t>
      </w:r>
    </w:p>
    <w:p w14:paraId="105BFA75" w14:textId="2A551F58" w:rsidR="00705E08" w:rsidRPr="00705E08" w:rsidRDefault="00705E08" w:rsidP="00705E08">
      <w:pPr>
        <w:tabs>
          <w:tab w:val="center" w:pos="6804"/>
        </w:tabs>
        <w:jc w:val="both"/>
      </w:pPr>
      <w:r>
        <w:tab/>
      </w:r>
      <w:proofErr w:type="gramStart"/>
      <w:r>
        <w:t>vezérigazgató</w:t>
      </w:r>
      <w:proofErr w:type="gramEnd"/>
    </w:p>
    <w:bookmarkEnd w:id="0"/>
    <w:bookmarkEnd w:id="1"/>
    <w:sectPr w:rsidR="00705E08" w:rsidRPr="00705E08" w:rsidSect="0073553B">
      <w:footerReference w:type="even" r:id="rId10"/>
      <w:footerReference w:type="default" r:id="rId11"/>
      <w:pgSz w:w="11906" w:h="16838"/>
      <w:pgMar w:top="1418" w:right="1418" w:bottom="1276" w:left="1418" w:header="709" w:footer="709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Kántás Zoltán" w:date="2018-10-02T11:06:00Z" w:initials="KZ">
    <w:p w14:paraId="7614577A" w14:textId="77777777" w:rsidR="008E2DE0" w:rsidRDefault="008E2DE0">
      <w:pPr>
        <w:pStyle w:val="Jegyzetszveg"/>
      </w:pPr>
      <w:r>
        <w:rPr>
          <w:rStyle w:val="Jegyzethivatkozs"/>
        </w:rPr>
        <w:annotationRef/>
      </w:r>
      <w:r>
        <w:t>2018. év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14577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03094" w14:textId="77777777" w:rsidR="008B423E" w:rsidRDefault="008B423E">
      <w:r>
        <w:separator/>
      </w:r>
    </w:p>
  </w:endnote>
  <w:endnote w:type="continuationSeparator" w:id="0">
    <w:p w14:paraId="1F1E2AEF" w14:textId="77777777" w:rsidR="008B423E" w:rsidRDefault="008B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69142" w14:textId="77777777" w:rsidR="001D058D" w:rsidRDefault="001D058D">
    <w:pPr>
      <w:pStyle w:val="llb"/>
      <w:framePr w:wrap="around" w:vAnchor="text" w:hAnchor="margin" w:xAlign="center" w:y="1"/>
      <w:rPr>
        <w:rStyle w:val="Oldalszm"/>
        <w:sz w:val="20"/>
      </w:rPr>
    </w:pPr>
    <w:r>
      <w:rPr>
        <w:rStyle w:val="Oldalszm"/>
        <w:sz w:val="20"/>
      </w:rPr>
      <w:fldChar w:fldCharType="begin"/>
    </w:r>
    <w:r>
      <w:rPr>
        <w:rStyle w:val="Oldalszm"/>
        <w:sz w:val="20"/>
      </w:rPr>
      <w:instrText xml:space="preserve">PAGE  </w:instrText>
    </w:r>
    <w:r>
      <w:rPr>
        <w:rStyle w:val="Oldalszm"/>
        <w:sz w:val="20"/>
      </w:rPr>
      <w:fldChar w:fldCharType="separate"/>
    </w:r>
    <w:r w:rsidR="00F5610A">
      <w:rPr>
        <w:rStyle w:val="Oldalszm"/>
        <w:noProof/>
        <w:sz w:val="20"/>
      </w:rPr>
      <w:t>2</w:t>
    </w:r>
    <w:r>
      <w:rPr>
        <w:rStyle w:val="Oldalszm"/>
        <w:sz w:val="20"/>
      </w:rPr>
      <w:fldChar w:fldCharType="end"/>
    </w:r>
  </w:p>
  <w:p w14:paraId="515F70A9" w14:textId="77777777" w:rsidR="001D058D" w:rsidRDefault="001D058D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EFB72" w14:textId="77777777" w:rsidR="001D058D" w:rsidRDefault="001D058D">
    <w:pPr>
      <w:pStyle w:val="llb"/>
      <w:framePr w:wrap="around" w:vAnchor="text" w:hAnchor="margin" w:xAlign="center" w:y="1"/>
      <w:rPr>
        <w:rStyle w:val="Oldalszm"/>
        <w:sz w:val="20"/>
      </w:rPr>
    </w:pPr>
    <w:r>
      <w:rPr>
        <w:rStyle w:val="Oldalszm"/>
        <w:sz w:val="20"/>
      </w:rPr>
      <w:fldChar w:fldCharType="begin"/>
    </w:r>
    <w:r>
      <w:rPr>
        <w:rStyle w:val="Oldalszm"/>
        <w:sz w:val="20"/>
      </w:rPr>
      <w:instrText xml:space="preserve">PAGE  </w:instrText>
    </w:r>
    <w:r>
      <w:rPr>
        <w:rStyle w:val="Oldalszm"/>
        <w:sz w:val="20"/>
      </w:rPr>
      <w:fldChar w:fldCharType="separate"/>
    </w:r>
    <w:r w:rsidR="00F5610A">
      <w:rPr>
        <w:rStyle w:val="Oldalszm"/>
        <w:noProof/>
        <w:sz w:val="20"/>
      </w:rPr>
      <w:t>3</w:t>
    </w:r>
    <w:r>
      <w:rPr>
        <w:rStyle w:val="Oldalszm"/>
        <w:sz w:val="20"/>
      </w:rPr>
      <w:fldChar w:fldCharType="end"/>
    </w:r>
  </w:p>
  <w:p w14:paraId="5001097F" w14:textId="77777777" w:rsidR="001D058D" w:rsidRDefault="001D058D">
    <w:pPr>
      <w:pStyle w:val="llb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252D2" w14:textId="77777777" w:rsidR="008B423E" w:rsidRDefault="008B423E">
      <w:r>
        <w:separator/>
      </w:r>
    </w:p>
  </w:footnote>
  <w:footnote w:type="continuationSeparator" w:id="0">
    <w:p w14:paraId="26BD5845" w14:textId="77777777" w:rsidR="008B423E" w:rsidRDefault="008B4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2041"/>
        </w:tabs>
      </w:pPr>
      <w:rPr>
        <w:rFonts w:ascii="Symbol" w:hAnsi="Symbol"/>
      </w:rPr>
    </w:lvl>
  </w:abstractNum>
  <w:abstractNum w:abstractNumId="1" w15:restartNumberingAfterBreak="0">
    <w:nsid w:val="00000009"/>
    <w:multiLevelType w:val="multilevel"/>
    <w:tmpl w:val="00000009"/>
    <w:name w:val="WW8Num28"/>
    <w:lvl w:ilvl="0">
      <w:start w:val="1"/>
      <w:numFmt w:val="decimal"/>
      <w:lvlText w:val="%1"/>
      <w:lvlJc w:val="left"/>
      <w:pPr>
        <w:tabs>
          <w:tab w:val="num" w:pos="432"/>
        </w:tabs>
      </w:pPr>
    </w:lvl>
    <w:lvl w:ilvl="1">
      <w:start w:val="1"/>
      <w:numFmt w:val="decimal"/>
      <w:lvlText w:val="%1.%2"/>
      <w:lvlJc w:val="left"/>
      <w:pPr>
        <w:tabs>
          <w:tab w:val="num" w:pos="576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065ACF"/>
    <w:multiLevelType w:val="hybridMultilevel"/>
    <w:tmpl w:val="DC706A0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A62AC"/>
    <w:multiLevelType w:val="hybridMultilevel"/>
    <w:tmpl w:val="6DB40E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2746E"/>
    <w:multiLevelType w:val="multilevel"/>
    <w:tmpl w:val="FBA46CA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  <w:sz w:val="24"/>
      </w:rPr>
    </w:lvl>
  </w:abstractNum>
  <w:abstractNum w:abstractNumId="6" w15:restartNumberingAfterBreak="0">
    <w:nsid w:val="09A113A0"/>
    <w:multiLevelType w:val="hybridMultilevel"/>
    <w:tmpl w:val="0952126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9A1176"/>
    <w:multiLevelType w:val="hybridMultilevel"/>
    <w:tmpl w:val="9C7CE652"/>
    <w:lvl w:ilvl="0" w:tplc="3E3E2B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240B7"/>
    <w:multiLevelType w:val="multilevel"/>
    <w:tmpl w:val="BBAC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D5D7B"/>
    <w:multiLevelType w:val="hybridMultilevel"/>
    <w:tmpl w:val="FBB84516"/>
    <w:lvl w:ilvl="0" w:tplc="040E000F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971CED"/>
    <w:multiLevelType w:val="hybridMultilevel"/>
    <w:tmpl w:val="617C3B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68069F"/>
    <w:multiLevelType w:val="hybridMultilevel"/>
    <w:tmpl w:val="032CE70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B4494"/>
    <w:multiLevelType w:val="hybridMultilevel"/>
    <w:tmpl w:val="31C4A5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44A87"/>
    <w:multiLevelType w:val="hybridMultilevel"/>
    <w:tmpl w:val="E208F7A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3B6D33"/>
    <w:multiLevelType w:val="multilevel"/>
    <w:tmpl w:val="1728B28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D9E7F3B"/>
    <w:multiLevelType w:val="hybridMultilevel"/>
    <w:tmpl w:val="6E1A5E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5C6CB7"/>
    <w:multiLevelType w:val="hybridMultilevel"/>
    <w:tmpl w:val="181664EC"/>
    <w:lvl w:ilvl="0" w:tplc="4C163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73B0F"/>
    <w:multiLevelType w:val="hybridMultilevel"/>
    <w:tmpl w:val="BA00127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E0B54"/>
    <w:multiLevelType w:val="hybridMultilevel"/>
    <w:tmpl w:val="BD9694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16055"/>
    <w:multiLevelType w:val="multilevel"/>
    <w:tmpl w:val="BA549E6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304D25B4"/>
    <w:multiLevelType w:val="hybridMultilevel"/>
    <w:tmpl w:val="6CAECB5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B7607"/>
    <w:multiLevelType w:val="multilevel"/>
    <w:tmpl w:val="5D805B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B5F5C31"/>
    <w:multiLevelType w:val="hybridMultilevel"/>
    <w:tmpl w:val="A76ED58C"/>
    <w:lvl w:ilvl="0" w:tplc="459244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8E6A42"/>
    <w:multiLevelType w:val="hybridMultilevel"/>
    <w:tmpl w:val="01D0E4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516F52"/>
    <w:multiLevelType w:val="hybridMultilevel"/>
    <w:tmpl w:val="4074FEB8"/>
    <w:lvl w:ilvl="0" w:tplc="6BFADB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BA1A47"/>
    <w:multiLevelType w:val="multilevel"/>
    <w:tmpl w:val="82267D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26" w15:restartNumberingAfterBreak="0">
    <w:nsid w:val="4ECD5A3B"/>
    <w:multiLevelType w:val="multilevel"/>
    <w:tmpl w:val="85D233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0395A47"/>
    <w:multiLevelType w:val="multilevel"/>
    <w:tmpl w:val="E474B80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21E09BE"/>
    <w:multiLevelType w:val="hybridMultilevel"/>
    <w:tmpl w:val="DD6CFB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5652B"/>
    <w:multiLevelType w:val="hybridMultilevel"/>
    <w:tmpl w:val="4074FEB8"/>
    <w:lvl w:ilvl="0" w:tplc="6BFADB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EA3093"/>
    <w:multiLevelType w:val="hybridMultilevel"/>
    <w:tmpl w:val="885A8C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232EA"/>
    <w:multiLevelType w:val="multilevel"/>
    <w:tmpl w:val="ED9ABB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2381881"/>
    <w:multiLevelType w:val="multilevel"/>
    <w:tmpl w:val="9F3893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5FD30F6"/>
    <w:multiLevelType w:val="multilevel"/>
    <w:tmpl w:val="5C9C2A1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7"/>
        </w:tabs>
        <w:ind w:left="2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63"/>
        </w:tabs>
        <w:ind w:left="30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46"/>
        </w:tabs>
        <w:ind w:left="33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89"/>
        </w:tabs>
        <w:ind w:left="39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15"/>
        </w:tabs>
        <w:ind w:left="4915" w:hanging="1800"/>
      </w:pPr>
      <w:rPr>
        <w:rFonts w:hint="default"/>
      </w:rPr>
    </w:lvl>
  </w:abstractNum>
  <w:abstractNum w:abstractNumId="34" w15:restartNumberingAfterBreak="0">
    <w:nsid w:val="7F262377"/>
    <w:multiLevelType w:val="hybridMultilevel"/>
    <w:tmpl w:val="E08053A6"/>
    <w:lvl w:ilvl="0" w:tplc="EC6805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"/>
  </w:num>
  <w:num w:numId="3">
    <w:abstractNumId w:val="33"/>
  </w:num>
  <w:num w:numId="4">
    <w:abstractNumId w:val="5"/>
  </w:num>
  <w:num w:numId="5">
    <w:abstractNumId w:val="13"/>
  </w:num>
  <w:num w:numId="6">
    <w:abstractNumId w:val="23"/>
  </w:num>
  <w:num w:numId="7">
    <w:abstractNumId w:val="15"/>
  </w:num>
  <w:num w:numId="8">
    <w:abstractNumId w:val="16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24"/>
  </w:num>
  <w:num w:numId="12">
    <w:abstractNumId w:val="9"/>
  </w:num>
  <w:num w:numId="13">
    <w:abstractNumId w:val="20"/>
  </w:num>
  <w:num w:numId="14">
    <w:abstractNumId w:val="11"/>
  </w:num>
  <w:num w:numId="15">
    <w:abstractNumId w:val="3"/>
  </w:num>
  <w:num w:numId="16">
    <w:abstractNumId w:val="12"/>
  </w:num>
  <w:num w:numId="17">
    <w:abstractNumId w:val="18"/>
  </w:num>
  <w:num w:numId="18">
    <w:abstractNumId w:val="30"/>
  </w:num>
  <w:num w:numId="19">
    <w:abstractNumId w:val="4"/>
  </w:num>
  <w:num w:numId="20">
    <w:abstractNumId w:val="17"/>
  </w:num>
  <w:num w:numId="21">
    <w:abstractNumId w:val="28"/>
  </w:num>
  <w:num w:numId="22">
    <w:abstractNumId w:val="29"/>
  </w:num>
  <w:num w:numId="23">
    <w:abstractNumId w:val="34"/>
  </w:num>
  <w:num w:numId="24">
    <w:abstractNumId w:val="22"/>
  </w:num>
  <w:num w:numId="25">
    <w:abstractNumId w:val="14"/>
  </w:num>
  <w:num w:numId="26">
    <w:abstractNumId w:val="19"/>
  </w:num>
  <w:num w:numId="27">
    <w:abstractNumId w:val="32"/>
  </w:num>
  <w:num w:numId="28">
    <w:abstractNumId w:val="26"/>
  </w:num>
  <w:num w:numId="29">
    <w:abstractNumId w:val="7"/>
  </w:num>
  <w:num w:numId="30">
    <w:abstractNumId w:val="25"/>
  </w:num>
  <w:num w:numId="31">
    <w:abstractNumId w:val="21"/>
  </w:num>
  <w:num w:numId="32">
    <w:abstractNumId w:val="8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CA"/>
    <w:rsid w:val="0000002E"/>
    <w:rsid w:val="00001A54"/>
    <w:rsid w:val="00013F39"/>
    <w:rsid w:val="00030F0A"/>
    <w:rsid w:val="0003757E"/>
    <w:rsid w:val="00076E79"/>
    <w:rsid w:val="000861A6"/>
    <w:rsid w:val="000A0C5A"/>
    <w:rsid w:val="000A4D4F"/>
    <w:rsid w:val="000B6A41"/>
    <w:rsid w:val="000C7F98"/>
    <w:rsid w:val="000E1B2E"/>
    <w:rsid w:val="001074F1"/>
    <w:rsid w:val="001163C7"/>
    <w:rsid w:val="001241E5"/>
    <w:rsid w:val="001341D0"/>
    <w:rsid w:val="00175ABD"/>
    <w:rsid w:val="00183609"/>
    <w:rsid w:val="00191814"/>
    <w:rsid w:val="00192904"/>
    <w:rsid w:val="001A46D8"/>
    <w:rsid w:val="001A78A7"/>
    <w:rsid w:val="001C6A53"/>
    <w:rsid w:val="001D058D"/>
    <w:rsid w:val="001E4AEA"/>
    <w:rsid w:val="002108C4"/>
    <w:rsid w:val="002168A3"/>
    <w:rsid w:val="00221603"/>
    <w:rsid w:val="00226365"/>
    <w:rsid w:val="00250D2B"/>
    <w:rsid w:val="00254F89"/>
    <w:rsid w:val="00266EF9"/>
    <w:rsid w:val="002742E8"/>
    <w:rsid w:val="0027488A"/>
    <w:rsid w:val="002911D8"/>
    <w:rsid w:val="002A5210"/>
    <w:rsid w:val="002B0281"/>
    <w:rsid w:val="002C05E7"/>
    <w:rsid w:val="002C3B77"/>
    <w:rsid w:val="002C54C0"/>
    <w:rsid w:val="002F44F0"/>
    <w:rsid w:val="003029E6"/>
    <w:rsid w:val="00307D39"/>
    <w:rsid w:val="00310B18"/>
    <w:rsid w:val="00321D39"/>
    <w:rsid w:val="0033073B"/>
    <w:rsid w:val="00354523"/>
    <w:rsid w:val="00354814"/>
    <w:rsid w:val="00354907"/>
    <w:rsid w:val="003643A6"/>
    <w:rsid w:val="00366F1F"/>
    <w:rsid w:val="00373371"/>
    <w:rsid w:val="00375BEC"/>
    <w:rsid w:val="00395188"/>
    <w:rsid w:val="003A4AB2"/>
    <w:rsid w:val="003B0210"/>
    <w:rsid w:val="003B5387"/>
    <w:rsid w:val="003B6110"/>
    <w:rsid w:val="003F3EA7"/>
    <w:rsid w:val="00401A00"/>
    <w:rsid w:val="00424AC0"/>
    <w:rsid w:val="00430B36"/>
    <w:rsid w:val="004327CA"/>
    <w:rsid w:val="00444FE7"/>
    <w:rsid w:val="004452B3"/>
    <w:rsid w:val="0045541D"/>
    <w:rsid w:val="0047045A"/>
    <w:rsid w:val="00490091"/>
    <w:rsid w:val="004A193F"/>
    <w:rsid w:val="004A1C01"/>
    <w:rsid w:val="004A2140"/>
    <w:rsid w:val="004B1768"/>
    <w:rsid w:val="004D559E"/>
    <w:rsid w:val="004F7AFB"/>
    <w:rsid w:val="004F7D3A"/>
    <w:rsid w:val="00506912"/>
    <w:rsid w:val="0051171E"/>
    <w:rsid w:val="00543D82"/>
    <w:rsid w:val="00543E48"/>
    <w:rsid w:val="00544F29"/>
    <w:rsid w:val="00553ACF"/>
    <w:rsid w:val="00567C00"/>
    <w:rsid w:val="005801DD"/>
    <w:rsid w:val="00581B38"/>
    <w:rsid w:val="005865A7"/>
    <w:rsid w:val="005A4910"/>
    <w:rsid w:val="005B1B48"/>
    <w:rsid w:val="005B3DA1"/>
    <w:rsid w:val="005C7C89"/>
    <w:rsid w:val="005D39F0"/>
    <w:rsid w:val="005D6CD8"/>
    <w:rsid w:val="00603722"/>
    <w:rsid w:val="00607C14"/>
    <w:rsid w:val="00610E96"/>
    <w:rsid w:val="00624816"/>
    <w:rsid w:val="00626518"/>
    <w:rsid w:val="00647C1D"/>
    <w:rsid w:val="006527A0"/>
    <w:rsid w:val="00661300"/>
    <w:rsid w:val="00666E8D"/>
    <w:rsid w:val="00673185"/>
    <w:rsid w:val="00673C24"/>
    <w:rsid w:val="00686D7B"/>
    <w:rsid w:val="006B37D6"/>
    <w:rsid w:val="006B5EE4"/>
    <w:rsid w:val="006D324F"/>
    <w:rsid w:val="00705E08"/>
    <w:rsid w:val="007100A3"/>
    <w:rsid w:val="0071395B"/>
    <w:rsid w:val="0073369C"/>
    <w:rsid w:val="0073553B"/>
    <w:rsid w:val="00750B25"/>
    <w:rsid w:val="00765F51"/>
    <w:rsid w:val="00766B49"/>
    <w:rsid w:val="00787315"/>
    <w:rsid w:val="00796FF6"/>
    <w:rsid w:val="007A3E90"/>
    <w:rsid w:val="007A535F"/>
    <w:rsid w:val="007B078D"/>
    <w:rsid w:val="007B7390"/>
    <w:rsid w:val="007C1523"/>
    <w:rsid w:val="007D416A"/>
    <w:rsid w:val="007E1AED"/>
    <w:rsid w:val="007E2BB8"/>
    <w:rsid w:val="007E6B0F"/>
    <w:rsid w:val="00800FC1"/>
    <w:rsid w:val="00826A3E"/>
    <w:rsid w:val="008411B8"/>
    <w:rsid w:val="00843C72"/>
    <w:rsid w:val="008450F3"/>
    <w:rsid w:val="00851760"/>
    <w:rsid w:val="00865E6D"/>
    <w:rsid w:val="008728EB"/>
    <w:rsid w:val="008821AC"/>
    <w:rsid w:val="0088379A"/>
    <w:rsid w:val="0088620B"/>
    <w:rsid w:val="00892BE9"/>
    <w:rsid w:val="008A3E64"/>
    <w:rsid w:val="008A4DE7"/>
    <w:rsid w:val="008B423E"/>
    <w:rsid w:val="008C1F61"/>
    <w:rsid w:val="008E2DE0"/>
    <w:rsid w:val="008E3899"/>
    <w:rsid w:val="008E59A0"/>
    <w:rsid w:val="00907734"/>
    <w:rsid w:val="0090795A"/>
    <w:rsid w:val="00926968"/>
    <w:rsid w:val="00964B6D"/>
    <w:rsid w:val="00974A83"/>
    <w:rsid w:val="00977E16"/>
    <w:rsid w:val="00980B97"/>
    <w:rsid w:val="00984779"/>
    <w:rsid w:val="00984FBA"/>
    <w:rsid w:val="00990BFE"/>
    <w:rsid w:val="00994837"/>
    <w:rsid w:val="009A0BCB"/>
    <w:rsid w:val="009C0EB3"/>
    <w:rsid w:val="009C10D1"/>
    <w:rsid w:val="009C3D60"/>
    <w:rsid w:val="009D49F2"/>
    <w:rsid w:val="00A108F2"/>
    <w:rsid w:val="00A16FC6"/>
    <w:rsid w:val="00A17FF1"/>
    <w:rsid w:val="00A30114"/>
    <w:rsid w:val="00A429AB"/>
    <w:rsid w:val="00A70B71"/>
    <w:rsid w:val="00A76739"/>
    <w:rsid w:val="00A8254C"/>
    <w:rsid w:val="00AA29CE"/>
    <w:rsid w:val="00AC61B9"/>
    <w:rsid w:val="00AC7F0E"/>
    <w:rsid w:val="00AD1FB0"/>
    <w:rsid w:val="00AE0ECA"/>
    <w:rsid w:val="00AF3551"/>
    <w:rsid w:val="00AF4AC7"/>
    <w:rsid w:val="00B1316C"/>
    <w:rsid w:val="00B131F0"/>
    <w:rsid w:val="00B2420D"/>
    <w:rsid w:val="00B266CC"/>
    <w:rsid w:val="00B500CB"/>
    <w:rsid w:val="00B565BB"/>
    <w:rsid w:val="00B67581"/>
    <w:rsid w:val="00B72120"/>
    <w:rsid w:val="00B770C4"/>
    <w:rsid w:val="00B8333F"/>
    <w:rsid w:val="00B833DF"/>
    <w:rsid w:val="00BF0DF9"/>
    <w:rsid w:val="00C02ABF"/>
    <w:rsid w:val="00C0650C"/>
    <w:rsid w:val="00C23D2A"/>
    <w:rsid w:val="00C31B45"/>
    <w:rsid w:val="00C32999"/>
    <w:rsid w:val="00C6450A"/>
    <w:rsid w:val="00C801C2"/>
    <w:rsid w:val="00C97913"/>
    <w:rsid w:val="00CA12B1"/>
    <w:rsid w:val="00CB3587"/>
    <w:rsid w:val="00CC4D4B"/>
    <w:rsid w:val="00CD2F58"/>
    <w:rsid w:val="00CD4955"/>
    <w:rsid w:val="00CE4DE1"/>
    <w:rsid w:val="00D10B53"/>
    <w:rsid w:val="00D15318"/>
    <w:rsid w:val="00D24DA2"/>
    <w:rsid w:val="00D27BA1"/>
    <w:rsid w:val="00D371E1"/>
    <w:rsid w:val="00D3773E"/>
    <w:rsid w:val="00D467B7"/>
    <w:rsid w:val="00D540D4"/>
    <w:rsid w:val="00D65129"/>
    <w:rsid w:val="00D661B9"/>
    <w:rsid w:val="00D705D2"/>
    <w:rsid w:val="00DB2FCC"/>
    <w:rsid w:val="00DC78CA"/>
    <w:rsid w:val="00DF091D"/>
    <w:rsid w:val="00DF5BAF"/>
    <w:rsid w:val="00E011E4"/>
    <w:rsid w:val="00E039D1"/>
    <w:rsid w:val="00E130E6"/>
    <w:rsid w:val="00E207A1"/>
    <w:rsid w:val="00E26D1E"/>
    <w:rsid w:val="00E36B16"/>
    <w:rsid w:val="00E400CA"/>
    <w:rsid w:val="00E418F6"/>
    <w:rsid w:val="00E45660"/>
    <w:rsid w:val="00E55101"/>
    <w:rsid w:val="00E6285C"/>
    <w:rsid w:val="00E677BB"/>
    <w:rsid w:val="00E81EA9"/>
    <w:rsid w:val="00E91B62"/>
    <w:rsid w:val="00E92402"/>
    <w:rsid w:val="00EB1B78"/>
    <w:rsid w:val="00EB34DF"/>
    <w:rsid w:val="00EF1286"/>
    <w:rsid w:val="00EF1D51"/>
    <w:rsid w:val="00EF319E"/>
    <w:rsid w:val="00EF4850"/>
    <w:rsid w:val="00F02F72"/>
    <w:rsid w:val="00F16A09"/>
    <w:rsid w:val="00F24B2E"/>
    <w:rsid w:val="00F32987"/>
    <w:rsid w:val="00F40272"/>
    <w:rsid w:val="00F5610A"/>
    <w:rsid w:val="00F63500"/>
    <w:rsid w:val="00F67A07"/>
    <w:rsid w:val="00F70A5A"/>
    <w:rsid w:val="00FA5F42"/>
    <w:rsid w:val="00FC6FD2"/>
    <w:rsid w:val="00FD2501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11FA1"/>
  <w15:chartTrackingRefBased/>
  <w15:docId w15:val="{EC0DF48E-A0B1-463E-9BFC-4D251BF8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sz w:val="28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sz w:val="40"/>
    </w:rPr>
  </w:style>
  <w:style w:type="paragraph" w:styleId="Cmsor6">
    <w:name w:val="heading 6"/>
    <w:basedOn w:val="Norml"/>
    <w:next w:val="Norml"/>
    <w:qFormat/>
    <w:pPr>
      <w:keepNext/>
      <w:spacing w:line="360" w:lineRule="auto"/>
      <w:jc w:val="both"/>
      <w:outlineLvl w:val="5"/>
    </w:pPr>
    <w:rPr>
      <w:b/>
      <w:bCs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b/>
      <w:bCs/>
      <w:szCs w:val="20"/>
    </w:rPr>
  </w:style>
  <w:style w:type="paragraph" w:styleId="Cmsor8">
    <w:name w:val="heading 8"/>
    <w:basedOn w:val="Norml"/>
    <w:next w:val="Norml"/>
    <w:qFormat/>
    <w:pPr>
      <w:keepNext/>
      <w:spacing w:line="360" w:lineRule="auto"/>
      <w:outlineLvl w:val="7"/>
    </w:pPr>
    <w:rPr>
      <w:b/>
      <w:i/>
    </w:rPr>
  </w:style>
  <w:style w:type="paragraph" w:styleId="Cmsor9">
    <w:name w:val="heading 9"/>
    <w:basedOn w:val="Norml"/>
    <w:next w:val="Norml"/>
    <w:qFormat/>
    <w:pPr>
      <w:keepNext/>
      <w:outlineLvl w:val="8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Norml"/>
    <w:autoRedefine/>
    <w:uiPriority w:val="39"/>
    <w:rsid w:val="00D10B53"/>
    <w:pPr>
      <w:tabs>
        <w:tab w:val="left" w:pos="480"/>
        <w:tab w:val="left" w:pos="540"/>
        <w:tab w:val="right" w:leader="dot" w:pos="9540"/>
      </w:tabs>
      <w:jc w:val="center"/>
    </w:pPr>
    <w:rPr>
      <w:b/>
      <w:bCs/>
      <w:noProof/>
    </w:rPr>
  </w:style>
  <w:style w:type="character" w:styleId="Hiperhivatkozs">
    <w:name w:val="Hyperlink"/>
    <w:uiPriority w:val="99"/>
    <w:rPr>
      <w:color w:val="0000FF"/>
      <w:u w:val="single"/>
    </w:rPr>
  </w:style>
  <w:style w:type="paragraph" w:styleId="Szvegtrzsbehzssal">
    <w:name w:val="Body Text Indent"/>
    <w:basedOn w:val="Norml"/>
    <w:semiHidden/>
    <w:pPr>
      <w:widowControl w:val="0"/>
      <w:spacing w:line="360" w:lineRule="auto"/>
      <w:ind w:left="900"/>
      <w:jc w:val="both"/>
    </w:pPr>
    <w:rPr>
      <w:snapToGrid w:val="0"/>
    </w:rPr>
  </w:style>
  <w:style w:type="paragraph" w:styleId="Szvegtrzs">
    <w:name w:val="Body Text"/>
    <w:basedOn w:val="Norml"/>
    <w:semiHidden/>
    <w:pPr>
      <w:widowControl w:val="0"/>
      <w:spacing w:line="360" w:lineRule="auto"/>
      <w:jc w:val="both"/>
    </w:pPr>
    <w:rPr>
      <w:snapToGrid w:val="0"/>
    </w:rPr>
  </w:style>
  <w:style w:type="paragraph" w:styleId="NormlWeb">
    <w:name w:val="Normal (Web)"/>
    <w:basedOn w:val="Norml"/>
    <w:semiHidden/>
    <w:pPr>
      <w:spacing w:before="100" w:beforeAutospacing="1" w:after="119"/>
    </w:pPr>
  </w:style>
  <w:style w:type="paragraph" w:styleId="TJ2">
    <w:name w:val="toc 2"/>
    <w:basedOn w:val="Norml"/>
    <w:next w:val="Norml"/>
    <w:autoRedefine/>
    <w:uiPriority w:val="39"/>
    <w:rsid w:val="00FF0151"/>
    <w:pPr>
      <w:tabs>
        <w:tab w:val="left" w:pos="900"/>
        <w:tab w:val="left" w:pos="1200"/>
        <w:tab w:val="right" w:leader="dot" w:pos="9072"/>
      </w:tabs>
      <w:ind w:left="539" w:right="-57"/>
    </w:pPr>
    <w:rPr>
      <w:b/>
      <w:bCs/>
      <w:i/>
      <w:iCs/>
      <w:noProof/>
    </w:rPr>
  </w:style>
  <w:style w:type="paragraph" w:styleId="TJ3">
    <w:name w:val="toc 3"/>
    <w:basedOn w:val="Norml"/>
    <w:next w:val="Norml"/>
    <w:autoRedefine/>
    <w:uiPriority w:val="39"/>
    <w:pPr>
      <w:tabs>
        <w:tab w:val="left" w:pos="1200"/>
        <w:tab w:val="left" w:pos="1440"/>
        <w:tab w:val="left" w:pos="1680"/>
        <w:tab w:val="right" w:leader="dot" w:pos="9900"/>
      </w:tabs>
      <w:ind w:left="480" w:firstLine="420"/>
    </w:pPr>
    <w:rPr>
      <w:b/>
      <w:bCs/>
      <w:noProof/>
      <w:snapToGrid w:val="0"/>
      <w:sz w:val="20"/>
    </w:rPr>
  </w:style>
  <w:style w:type="paragraph" w:styleId="TJ4">
    <w:name w:val="toc 4"/>
    <w:basedOn w:val="Norml"/>
    <w:next w:val="Norml"/>
    <w:autoRedefine/>
    <w:semiHidden/>
    <w:pPr>
      <w:tabs>
        <w:tab w:val="left" w:pos="1680"/>
        <w:tab w:val="right" w:leader="dot" w:pos="9360"/>
      </w:tabs>
      <w:ind w:left="720"/>
    </w:pPr>
    <w:rPr>
      <w:b/>
      <w:bCs/>
      <w:i/>
      <w:iCs/>
      <w:noProof/>
      <w:sz w:val="20"/>
      <w:szCs w:val="28"/>
    </w:rPr>
  </w:style>
  <w:style w:type="paragraph" w:styleId="TJ5">
    <w:name w:val="toc 5"/>
    <w:basedOn w:val="Norml"/>
    <w:next w:val="Norml"/>
    <w:autoRedefine/>
    <w:semiHidden/>
    <w:pPr>
      <w:ind w:left="960"/>
    </w:p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styleId="Szvegtrzsbehzssal2">
    <w:name w:val="Body Text Indent 2"/>
    <w:basedOn w:val="Norml"/>
    <w:semiHidden/>
    <w:pPr>
      <w:spacing w:line="360" w:lineRule="auto"/>
      <w:ind w:left="357"/>
    </w:pPr>
  </w:style>
  <w:style w:type="character" w:styleId="Mrltotthiperhivatkozs">
    <w:name w:val="FollowedHyperlink"/>
    <w:semiHidden/>
    <w:rPr>
      <w:color w:val="800080"/>
      <w:u w:val="single"/>
    </w:r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22">
    <w:name w:val="xl22"/>
    <w:basedOn w:val="Norml"/>
    <w:pP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23">
    <w:name w:val="xl23"/>
    <w:basedOn w:val="Norml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4">
    <w:name w:val="xl24"/>
    <w:basedOn w:val="Norml"/>
    <w:pP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25">
    <w:name w:val="xl25"/>
    <w:basedOn w:val="Norml"/>
    <w:pP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26">
    <w:name w:val="xl26"/>
    <w:basedOn w:val="Norml"/>
    <w:pP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27">
    <w:name w:val="xl27"/>
    <w:basedOn w:val="Norml"/>
    <w:pPr>
      <w:spacing w:before="100" w:beforeAutospacing="1" w:after="100" w:afterAutospacing="1"/>
      <w:textAlignment w:val="center"/>
    </w:pPr>
    <w:rPr>
      <w:rFonts w:ascii="Arial Unicode MS" w:hAnsi="Arial Unicode MS"/>
    </w:rPr>
  </w:style>
  <w:style w:type="paragraph" w:customStyle="1" w:styleId="xl28">
    <w:name w:val="xl28"/>
    <w:basedOn w:val="Norml"/>
    <w:pPr>
      <w:spacing w:before="100" w:beforeAutospacing="1" w:after="100" w:afterAutospacing="1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Norml"/>
    <w:pPr>
      <w:spacing w:before="100" w:beforeAutospacing="1" w:after="100" w:afterAutospacing="1"/>
    </w:pPr>
    <w:rPr>
      <w:rFonts w:ascii="Arial" w:hAnsi="Arial"/>
      <w:b/>
      <w:bCs/>
      <w:i/>
      <w:iCs/>
      <w:u w:val="single"/>
    </w:rPr>
  </w:style>
  <w:style w:type="paragraph" w:customStyle="1" w:styleId="xl30">
    <w:name w:val="xl30"/>
    <w:basedOn w:val="Norml"/>
    <w:pPr>
      <w:spacing w:before="100" w:beforeAutospacing="1" w:after="100" w:afterAutospacing="1"/>
      <w:jc w:val="right"/>
    </w:pPr>
    <w:rPr>
      <w:rFonts w:ascii="Arial Unicode MS" w:hAnsi="Arial Unicode MS"/>
    </w:rPr>
  </w:style>
  <w:style w:type="paragraph" w:customStyle="1" w:styleId="xl31">
    <w:name w:val="xl31"/>
    <w:basedOn w:val="Norml"/>
    <w:pPr>
      <w:spacing w:before="100" w:beforeAutospacing="1" w:after="100" w:afterAutospacing="1"/>
      <w:jc w:val="right"/>
    </w:pPr>
    <w:rPr>
      <w:rFonts w:ascii="Arial Unicode MS" w:hAnsi="Arial Unicode MS"/>
    </w:rPr>
  </w:style>
  <w:style w:type="paragraph" w:customStyle="1" w:styleId="xl32">
    <w:name w:val="xl32"/>
    <w:basedOn w:val="Norml"/>
    <w:pPr>
      <w:spacing w:before="100" w:beforeAutospacing="1" w:after="100" w:afterAutospacing="1"/>
      <w:jc w:val="center"/>
    </w:pPr>
    <w:rPr>
      <w:rFonts w:ascii="Arial Unicode MS" w:hAnsi="Arial Unicode MS"/>
    </w:rPr>
  </w:style>
  <w:style w:type="paragraph" w:customStyle="1" w:styleId="xl33">
    <w:name w:val="xl33"/>
    <w:basedOn w:val="Norml"/>
    <w:pP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34">
    <w:name w:val="xl34"/>
    <w:basedOn w:val="Norml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35">
    <w:name w:val="xl35"/>
    <w:basedOn w:val="Norml"/>
    <w:pPr>
      <w:pBdr>
        <w:top w:val="single" w:sz="8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36">
    <w:name w:val="xl36"/>
    <w:basedOn w:val="Norml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37">
    <w:name w:val="xl37"/>
    <w:basedOn w:val="Norml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38">
    <w:name w:val="xl38"/>
    <w:basedOn w:val="Norml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39">
    <w:name w:val="xl39"/>
    <w:basedOn w:val="Norml"/>
    <w:pPr>
      <w:pBdr>
        <w:top w:val="single" w:sz="8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40">
    <w:name w:val="xl40"/>
    <w:basedOn w:val="Norml"/>
    <w:pPr>
      <w:pBdr>
        <w:top w:val="single" w:sz="8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  <w:i/>
      <w:iCs/>
    </w:rPr>
  </w:style>
  <w:style w:type="paragraph" w:customStyle="1" w:styleId="xl41">
    <w:name w:val="xl41"/>
    <w:basedOn w:val="Norml"/>
    <w:pPr>
      <w:pBdr>
        <w:top w:val="single" w:sz="8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42">
    <w:name w:val="xl42"/>
    <w:basedOn w:val="Norml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43">
    <w:name w:val="xl43"/>
    <w:basedOn w:val="Norml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44">
    <w:name w:val="xl44"/>
    <w:basedOn w:val="Norml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45">
    <w:name w:val="xl45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46">
    <w:name w:val="xl46"/>
    <w:basedOn w:val="Norm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47">
    <w:name w:val="xl47"/>
    <w:basedOn w:val="Norml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  <w:i/>
      <w:iCs/>
    </w:rPr>
  </w:style>
  <w:style w:type="paragraph" w:customStyle="1" w:styleId="xl48">
    <w:name w:val="xl48"/>
    <w:basedOn w:val="Norm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  <w:i/>
      <w:iCs/>
    </w:rPr>
  </w:style>
  <w:style w:type="paragraph" w:customStyle="1" w:styleId="xl49">
    <w:name w:val="xl49"/>
    <w:basedOn w:val="Norml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  <w:i/>
      <w:iCs/>
    </w:rPr>
  </w:style>
  <w:style w:type="paragraph" w:customStyle="1" w:styleId="xl50">
    <w:name w:val="xl50"/>
    <w:basedOn w:val="Norml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51">
    <w:name w:val="xl51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52">
    <w:name w:val="xl52"/>
    <w:basedOn w:val="Norm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53">
    <w:name w:val="xl53"/>
    <w:basedOn w:val="Norml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54">
    <w:name w:val="xl54"/>
    <w:basedOn w:val="Norm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55">
    <w:name w:val="xl55"/>
    <w:basedOn w:val="Norml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56">
    <w:name w:val="xl56"/>
    <w:basedOn w:val="Norml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57">
    <w:name w:val="xl57"/>
    <w:basedOn w:val="Norm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58">
    <w:name w:val="xl58"/>
    <w:basedOn w:val="Norml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59">
    <w:name w:val="xl59"/>
    <w:basedOn w:val="Norml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60">
    <w:name w:val="xl60"/>
    <w:basedOn w:val="Norm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61">
    <w:name w:val="xl61"/>
    <w:basedOn w:val="Norml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62">
    <w:name w:val="xl62"/>
    <w:basedOn w:val="Norml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63">
    <w:name w:val="xl63"/>
    <w:basedOn w:val="Norml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64">
    <w:name w:val="xl64"/>
    <w:basedOn w:val="Norm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65">
    <w:name w:val="xl65"/>
    <w:basedOn w:val="Norm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66">
    <w:name w:val="xl66"/>
    <w:basedOn w:val="Norml"/>
    <w:pPr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67">
    <w:name w:val="xl67"/>
    <w:basedOn w:val="Norml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68">
    <w:name w:val="xl68"/>
    <w:basedOn w:val="Norml"/>
    <w:pPr>
      <w:pBdr>
        <w:top w:val="single" w:sz="12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69">
    <w:name w:val="xl69"/>
    <w:basedOn w:val="Norm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70">
    <w:name w:val="xl70"/>
    <w:basedOn w:val="Norml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71">
    <w:name w:val="xl71"/>
    <w:basedOn w:val="Norml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72">
    <w:name w:val="xl72"/>
    <w:basedOn w:val="Norm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73">
    <w:name w:val="xl73"/>
    <w:basedOn w:val="Norml"/>
    <w:pPr>
      <w:pBdr>
        <w:top w:val="single" w:sz="12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74">
    <w:name w:val="xl74"/>
    <w:basedOn w:val="Norml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i/>
      <w:iCs/>
    </w:rPr>
  </w:style>
  <w:style w:type="paragraph" w:customStyle="1" w:styleId="xl75">
    <w:name w:val="xl75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i/>
      <w:iCs/>
    </w:rPr>
  </w:style>
  <w:style w:type="paragraph" w:customStyle="1" w:styleId="xl76">
    <w:name w:val="xl76"/>
    <w:basedOn w:val="Norm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2"/>
      <w:szCs w:val="22"/>
    </w:rPr>
  </w:style>
  <w:style w:type="paragraph" w:customStyle="1" w:styleId="xl77">
    <w:name w:val="xl77"/>
    <w:basedOn w:val="Norm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2"/>
      <w:szCs w:val="22"/>
    </w:rPr>
  </w:style>
  <w:style w:type="paragraph" w:customStyle="1" w:styleId="xl78">
    <w:name w:val="xl78"/>
    <w:basedOn w:val="Norm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i/>
      <w:iCs/>
    </w:rPr>
  </w:style>
  <w:style w:type="paragraph" w:customStyle="1" w:styleId="xl79">
    <w:name w:val="xl79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i/>
      <w:iCs/>
    </w:rPr>
  </w:style>
  <w:style w:type="paragraph" w:customStyle="1" w:styleId="xl80">
    <w:name w:val="xl80"/>
    <w:basedOn w:val="Norml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i/>
      <w:iCs/>
    </w:rPr>
  </w:style>
  <w:style w:type="paragraph" w:customStyle="1" w:styleId="xl81">
    <w:name w:val="xl81"/>
    <w:basedOn w:val="Norml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i/>
      <w:iCs/>
    </w:rPr>
  </w:style>
  <w:style w:type="paragraph" w:customStyle="1" w:styleId="xl82">
    <w:name w:val="xl82"/>
    <w:basedOn w:val="Norml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i/>
      <w:iCs/>
    </w:rPr>
  </w:style>
  <w:style w:type="paragraph" w:customStyle="1" w:styleId="xl83">
    <w:name w:val="xl83"/>
    <w:basedOn w:val="Norml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i/>
      <w:iCs/>
    </w:rPr>
  </w:style>
  <w:style w:type="paragraph" w:customStyle="1" w:styleId="font0">
    <w:name w:val="font0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84">
    <w:name w:val="xl84"/>
    <w:basedOn w:val="Norml"/>
    <w:pPr>
      <w:pBdr>
        <w:top w:val="single" w:sz="4" w:space="0" w:color="000000"/>
        <w:left w:val="single" w:sz="4" w:space="0" w:color="000000"/>
        <w:bottom w:val="single" w:sz="12" w:space="0" w:color="000000"/>
      </w:pBdr>
      <w:shd w:val="clear" w:color="808080" w:fill="969696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Norml"/>
    <w:pPr>
      <w:pBdr>
        <w:top w:val="single" w:sz="4" w:space="0" w:color="000000"/>
        <w:left w:val="single" w:sz="4" w:space="0" w:color="000000"/>
        <w:bottom w:val="single" w:sz="12" w:space="0" w:color="000000"/>
      </w:pBdr>
      <w:shd w:val="clear" w:color="80808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808080" w:fill="969696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6">
    <w:name w:val="font6"/>
    <w:basedOn w:val="Norml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Norml"/>
    <w:pPr>
      <w:spacing w:before="100" w:beforeAutospacing="1" w:after="100" w:afterAutospacing="1"/>
    </w:pPr>
    <w:rPr>
      <w:sz w:val="20"/>
      <w:szCs w:val="20"/>
    </w:rPr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customStyle="1" w:styleId="xl87">
    <w:name w:val="xl87"/>
    <w:basedOn w:val="Norml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Norml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89">
    <w:name w:val="xl89"/>
    <w:basedOn w:val="Norml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customStyle="1" w:styleId="xl90">
    <w:name w:val="xl90"/>
    <w:basedOn w:val="Norml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</w:rPr>
  </w:style>
  <w:style w:type="paragraph" w:styleId="Kpalrs">
    <w:name w:val="caption"/>
    <w:basedOn w:val="Norml"/>
    <w:next w:val="Norml"/>
    <w:qFormat/>
    <w:rPr>
      <w:b/>
      <w:bCs/>
    </w:rPr>
  </w:style>
  <w:style w:type="paragraph" w:styleId="Lista">
    <w:name w:val="List"/>
    <w:basedOn w:val="Szvegtrzs"/>
    <w:semiHidden/>
    <w:pPr>
      <w:suppressAutoHyphens/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snapToGrid/>
      <w:szCs w:val="20"/>
    </w:rPr>
  </w:style>
  <w:style w:type="paragraph" w:styleId="Szvegtrzs2">
    <w:name w:val="Body Text 2"/>
    <w:basedOn w:val="Norml"/>
    <w:semiHidden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Cm">
    <w:name w:val="Title"/>
    <w:basedOn w:val="Norml"/>
    <w:qFormat/>
    <w:pPr>
      <w:jc w:val="center"/>
    </w:pPr>
    <w:rPr>
      <w:b/>
      <w:bCs/>
      <w:sz w:val="32"/>
    </w:rPr>
  </w:style>
  <w:style w:type="paragraph" w:styleId="Szvegtrzs3">
    <w:name w:val="Body Text 3"/>
    <w:basedOn w:val="Norml"/>
    <w:semiHidden/>
    <w:pPr>
      <w:spacing w:line="360" w:lineRule="auto"/>
      <w:jc w:val="both"/>
    </w:pPr>
    <w:rPr>
      <w:b/>
      <w:bCs/>
    </w:rPr>
  </w:style>
  <w:style w:type="character" w:customStyle="1" w:styleId="WW8Num4z0">
    <w:name w:val="WW8Num4z0"/>
    <w:rPr>
      <w:rFonts w:ascii="Symbol" w:hAnsi="Symbol"/>
    </w:rPr>
  </w:style>
  <w:style w:type="paragraph" w:styleId="Szvegtrzsbehzssal3">
    <w:name w:val="Body Text Indent 3"/>
    <w:basedOn w:val="Norml"/>
    <w:semiHidden/>
    <w:pPr>
      <w:tabs>
        <w:tab w:val="left" w:pos="426"/>
        <w:tab w:val="right" w:pos="3969"/>
        <w:tab w:val="right" w:pos="5387"/>
        <w:tab w:val="right" w:pos="6804"/>
        <w:tab w:val="right" w:pos="8080"/>
        <w:tab w:val="right" w:pos="9214"/>
      </w:tabs>
      <w:suppressAutoHyphens/>
      <w:ind w:left="426"/>
      <w:jc w:val="both"/>
    </w:pPr>
    <w:rPr>
      <w:szCs w:val="20"/>
      <w:lang w:eastAsia="ar-SA"/>
    </w:rPr>
  </w:style>
  <w:style w:type="character" w:customStyle="1" w:styleId="WW8Num2z2">
    <w:name w:val="WW8Num2z2"/>
    <w:rPr>
      <w:rFonts w:ascii="Wingdings" w:hAnsi="Wingdings"/>
    </w:rPr>
  </w:style>
  <w:style w:type="paragraph" w:styleId="Szvegblokk">
    <w:name w:val="Block Text"/>
    <w:basedOn w:val="Norml"/>
    <w:semiHidden/>
    <w:pPr>
      <w:widowControl w:val="0"/>
      <w:overflowPunct w:val="0"/>
      <w:autoSpaceDE w:val="0"/>
      <w:autoSpaceDN w:val="0"/>
      <w:adjustRightInd w:val="0"/>
      <w:spacing w:before="120" w:after="120"/>
      <w:ind w:left="2398" w:right="1661" w:hanging="1111"/>
    </w:pPr>
    <w:rPr>
      <w:b/>
      <w:bCs/>
      <w:sz w:val="25"/>
      <w:szCs w:val="25"/>
    </w:rPr>
  </w:style>
  <w:style w:type="paragraph" w:customStyle="1" w:styleId="Listaszerbekezds1">
    <w:name w:val="Listaszerű bekezdés1"/>
    <w:basedOn w:val="Norml"/>
    <w:qFormat/>
    <w:pPr>
      <w:spacing w:before="60" w:after="60" w:line="276" w:lineRule="auto"/>
      <w:ind w:left="720"/>
      <w:jc w:val="both"/>
    </w:pPr>
    <w:rPr>
      <w:szCs w:val="22"/>
      <w:lang w:eastAsia="en-US"/>
    </w:rPr>
  </w:style>
  <w:style w:type="character" w:customStyle="1" w:styleId="st">
    <w:name w:val="st"/>
    <w:basedOn w:val="Bekezdsalapbettpusa"/>
  </w:style>
  <w:style w:type="character" w:styleId="Kiemels">
    <w:name w:val="Emphasis"/>
    <w:qFormat/>
    <w:rPr>
      <w:i/>
      <w:iCs/>
    </w:rPr>
  </w:style>
  <w:style w:type="paragraph" w:styleId="Buborkszveg">
    <w:name w:val="Balloon Text"/>
    <w:basedOn w:val="Norml"/>
    <w:semiHidden/>
    <w:unhideWhenUsed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26518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paragraph" w:styleId="Vltozat">
    <w:name w:val="Revision"/>
    <w:hidden/>
    <w:uiPriority w:val="99"/>
    <w:semiHidden/>
    <w:rsid w:val="00984FBA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8C1F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C1F6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C1F61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1F6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1F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8C345-5C90-4596-A592-52AC7AE8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1193</Words>
  <Characters>7727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SZOMBATHELYI VÍZMŰ SC</vt:lpstr>
    </vt:vector>
  </TitlesOfParts>
  <Company>Vasivíz Rt.</Company>
  <LinksUpToDate>false</LinksUpToDate>
  <CharactersWithSpaces>8903</CharactersWithSpaces>
  <SharedDoc>false</SharedDoc>
  <HLinks>
    <vt:vector size="96" baseType="variant">
      <vt:variant>
        <vt:i4>1441855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_Toc478726177</vt:lpwstr>
      </vt:variant>
      <vt:variant>
        <vt:i4>1441855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_Toc478726176</vt:lpwstr>
      </vt:variant>
      <vt:variant>
        <vt:i4>1441855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_Toc478726173</vt:lpwstr>
      </vt:variant>
      <vt:variant>
        <vt:i4>1507391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_Toc478726168</vt:lpwstr>
      </vt:variant>
      <vt:variant>
        <vt:i4>1507391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_Toc478726167</vt:lpwstr>
      </vt:variant>
      <vt:variant>
        <vt:i4>1507391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_Toc478726166</vt:lpwstr>
      </vt:variant>
      <vt:variant>
        <vt:i4>1507391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_Toc478726161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_Toc478726160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_Toc478726159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_Toc478726158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_Toc478726157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_Toc478726156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_Toc478726155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_Toc478726154</vt:lpwstr>
      </vt:variant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_Toc478726153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_Toc478726152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SZOMBATHELYI VÍZMŰ SC</dc:title>
  <dc:subject/>
  <dc:creator>Kántás Zoltán</dc:creator>
  <cp:keywords/>
  <cp:lastModifiedBy>Borbás</cp:lastModifiedBy>
  <cp:revision>28</cp:revision>
  <cp:lastPrinted>2017-03-24T07:09:00Z</cp:lastPrinted>
  <dcterms:created xsi:type="dcterms:W3CDTF">2018-10-09T14:10:00Z</dcterms:created>
  <dcterms:modified xsi:type="dcterms:W3CDTF">2018-10-10T07:52:00Z</dcterms:modified>
</cp:coreProperties>
</file>