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C92C3" w14:textId="77777777" w:rsidR="00675F02" w:rsidRPr="00D32965" w:rsidRDefault="00675F02" w:rsidP="00675F02">
      <w:pPr>
        <w:tabs>
          <w:tab w:val="right" w:pos="9000"/>
        </w:tabs>
        <w:jc w:val="center"/>
        <w:outlineLvl w:val="0"/>
        <w:rPr>
          <w:b/>
        </w:rPr>
      </w:pPr>
      <w:r w:rsidRPr="00D32965">
        <w:rPr>
          <w:b/>
        </w:rPr>
        <w:t>MEGÁLLAPODÁS</w:t>
      </w:r>
    </w:p>
    <w:p w14:paraId="07970501" w14:textId="77777777" w:rsidR="00675F02" w:rsidRPr="000A4141" w:rsidRDefault="00675F02" w:rsidP="00675F02">
      <w:pPr>
        <w:jc w:val="center"/>
        <w:rPr>
          <w:b/>
        </w:rPr>
      </w:pPr>
      <w:r w:rsidRPr="000A4141">
        <w:rPr>
          <w:b/>
        </w:rPr>
        <w:t>állami vagyonba tartozó vagyontárgyak ingyenes önkormányzati tulajdonba adásáról</w:t>
      </w:r>
    </w:p>
    <w:p w14:paraId="47A7B9C0" w14:textId="77777777" w:rsidR="00675F02" w:rsidRPr="000A4141" w:rsidRDefault="00675F02" w:rsidP="00675F02">
      <w:pPr>
        <w:jc w:val="both"/>
      </w:pPr>
    </w:p>
    <w:p w14:paraId="088DD20C" w14:textId="77777777" w:rsidR="00675F02" w:rsidRPr="000A4141" w:rsidRDefault="00675F02" w:rsidP="00675F02">
      <w:pPr>
        <w:jc w:val="both"/>
      </w:pPr>
    </w:p>
    <w:p w14:paraId="43BFBAED" w14:textId="77777777" w:rsidR="00675F02" w:rsidRPr="00F43468" w:rsidRDefault="00675F02" w:rsidP="00675F02">
      <w:r w:rsidRPr="00F43468">
        <w:t xml:space="preserve">(a továbbiakban: </w:t>
      </w:r>
      <w:r w:rsidRPr="00F43468">
        <w:rPr>
          <w:b/>
        </w:rPr>
        <w:t>jelen megállapodás</w:t>
      </w:r>
      <w:r w:rsidRPr="00F43468">
        <w:t>), amely létrejött:</w:t>
      </w:r>
    </w:p>
    <w:p w14:paraId="2D72E227" w14:textId="77777777" w:rsidR="00675F02" w:rsidRPr="00F43468" w:rsidRDefault="00675F02" w:rsidP="00675F02"/>
    <w:p w14:paraId="2B5AB3A8" w14:textId="77777777" w:rsidR="00675F02" w:rsidRPr="00F43468" w:rsidRDefault="00675F02" w:rsidP="00675F02">
      <w:pPr>
        <w:jc w:val="both"/>
      </w:pPr>
      <w:r w:rsidRPr="00F43468">
        <w:t xml:space="preserve">egyrészről a </w:t>
      </w:r>
      <w:r w:rsidRPr="00F43468">
        <w:rPr>
          <w:b/>
        </w:rPr>
        <w:t xml:space="preserve">Magyar Állam </w:t>
      </w:r>
      <w:r w:rsidRPr="00F43468">
        <w:t xml:space="preserve">képviseletében az állami vagyonról szóló 2007. évi CVI. törvény (a továbbiakban: </w:t>
      </w:r>
      <w:r w:rsidRPr="00F43468">
        <w:rPr>
          <w:bCs/>
        </w:rPr>
        <w:t>Vtv</w:t>
      </w:r>
      <w:r w:rsidRPr="00F43468">
        <w:t xml:space="preserve">.) 17. § (1) bekezdésének e) pontja alapján eljáró </w:t>
      </w:r>
      <w:r w:rsidRPr="00F43468">
        <w:rPr>
          <w:b/>
        </w:rPr>
        <w:t>Magyar Nemzeti Vagyonkezelő Zrt</w:t>
      </w:r>
      <w:r w:rsidRPr="00F43468">
        <w:t xml:space="preserve">. (székhelye: 1133 Budapest, Pozsonyi út 56. szám, adószáma: </w:t>
      </w:r>
      <w:r w:rsidRPr="00F43468">
        <w:rPr>
          <w:bCs/>
        </w:rPr>
        <w:t>14077340-2-44</w:t>
      </w:r>
      <w:r w:rsidRPr="00F43468">
        <w:rPr>
          <w:bCs/>
          <w:color w:val="000080"/>
        </w:rPr>
        <w:t>.</w:t>
      </w:r>
      <w:r w:rsidRPr="00F43468">
        <w:t xml:space="preserve"> cégjegyzékszáma: 01-10-045784, statisztikai számjele: 14077340-6420-114-01; képviselik: dr. Lakner Zsuzsa főigazgató és dr. Zsigó Anikó igazgató), mint tulajdonba adó (a továbbiakban: </w:t>
      </w:r>
      <w:r w:rsidRPr="00F43468">
        <w:rPr>
          <w:b/>
        </w:rPr>
        <w:t>MNV Zrt</w:t>
      </w:r>
      <w:r w:rsidRPr="00F43468">
        <w:t>.),</w:t>
      </w:r>
    </w:p>
    <w:p w14:paraId="51AB046E" w14:textId="77777777" w:rsidR="00675F02" w:rsidRPr="00F43468" w:rsidRDefault="00675F02" w:rsidP="00675F02">
      <w:pPr>
        <w:jc w:val="both"/>
      </w:pPr>
    </w:p>
    <w:p w14:paraId="28D5C5FB" w14:textId="77777777" w:rsidR="00675F02" w:rsidRPr="00F43468" w:rsidRDefault="00675F02" w:rsidP="00675F02">
      <w:pPr>
        <w:jc w:val="both"/>
        <w:rPr>
          <w:b/>
        </w:rPr>
      </w:pPr>
      <w:r w:rsidRPr="00F43468">
        <w:t>másrészről</w:t>
      </w:r>
      <w:r>
        <w:t xml:space="preserve"> </w:t>
      </w:r>
      <w:r w:rsidRPr="00294F6B">
        <w:rPr>
          <w:b/>
        </w:rPr>
        <w:t>Szombathely Megyei Jogú Város Önkormányzata</w:t>
      </w:r>
      <w:r w:rsidRPr="00F43468">
        <w:t xml:space="preserve"> (székhely:</w:t>
      </w:r>
      <w:r w:rsidRPr="00512D02">
        <w:t xml:space="preserve"> 9700 Szombathely, Kossuth L. utca 1-3.</w:t>
      </w:r>
      <w:r w:rsidRPr="00F43468">
        <w:t xml:space="preserve"> törzsszám:</w:t>
      </w:r>
      <w:r w:rsidRPr="00512D02">
        <w:t xml:space="preserve"> 733656</w:t>
      </w:r>
      <w:r w:rsidRPr="00F43468">
        <w:t>, adószám:</w:t>
      </w:r>
      <w:r>
        <w:t xml:space="preserve"> </w:t>
      </w:r>
      <w:r w:rsidRPr="00512D02">
        <w:t>15733658-2-18</w:t>
      </w:r>
      <w:r w:rsidRPr="00F43468">
        <w:t>, statisztikai számjel:</w:t>
      </w:r>
      <w:r>
        <w:t xml:space="preserve"> </w:t>
      </w:r>
      <w:r w:rsidRPr="00512D02">
        <w:t>15733658-8411-321-18</w:t>
      </w:r>
      <w:r w:rsidRPr="00F43468">
        <w:t xml:space="preserve">; képviseli: </w:t>
      </w:r>
      <w:r w:rsidRPr="00512D02">
        <w:t xml:space="preserve">Dr. Puskás Tivadar </w:t>
      </w:r>
      <w:r w:rsidRPr="00F43468">
        <w:t xml:space="preserve">polgármester), mint tulajdonba vevő, (a továbbiakban: </w:t>
      </w:r>
      <w:r w:rsidRPr="00F43468">
        <w:rPr>
          <w:b/>
        </w:rPr>
        <w:t xml:space="preserve">Önkormányzat), </w:t>
      </w:r>
      <w:r w:rsidRPr="00F43468">
        <w:t>továbbá</w:t>
      </w:r>
      <w:r w:rsidRPr="00F43468">
        <w:rPr>
          <w:b/>
        </w:rPr>
        <w:t xml:space="preserve"> </w:t>
      </w:r>
    </w:p>
    <w:p w14:paraId="2C18F5BE" w14:textId="77777777" w:rsidR="00675F02" w:rsidRPr="00F43468" w:rsidRDefault="00675F02" w:rsidP="00675F02">
      <w:pPr>
        <w:jc w:val="both"/>
        <w:rPr>
          <w:b/>
        </w:rPr>
      </w:pPr>
    </w:p>
    <w:p w14:paraId="54983F68" w14:textId="77777777" w:rsidR="00675F02" w:rsidRPr="00F43468" w:rsidRDefault="00675F02" w:rsidP="00675F02">
      <w:pPr>
        <w:jc w:val="both"/>
      </w:pPr>
      <w:r w:rsidRPr="00F43468">
        <w:t xml:space="preserve">továbbá a </w:t>
      </w:r>
      <w:r w:rsidRPr="00512D02">
        <w:rPr>
          <w:b/>
        </w:rPr>
        <w:t>Szociális és Gyermekvédelmi Főigazgatóság</w:t>
      </w:r>
      <w:r>
        <w:t xml:space="preserve"> </w:t>
      </w:r>
      <w:r w:rsidRPr="00F43468">
        <w:t xml:space="preserve">(székhely: </w:t>
      </w:r>
      <w:r w:rsidRPr="00512D02">
        <w:t>1132 Budapest, Visegrádi utca 49.</w:t>
      </w:r>
      <w:r w:rsidRPr="00F43468">
        <w:t>, adószáma:</w:t>
      </w:r>
      <w:r>
        <w:t xml:space="preserve"> </w:t>
      </w:r>
      <w:r w:rsidRPr="00512D02">
        <w:t>15802107-2-41</w:t>
      </w:r>
      <w:r>
        <w:t xml:space="preserve">., </w:t>
      </w:r>
      <w:r w:rsidRPr="00F43468">
        <w:t>törzsszám:</w:t>
      </w:r>
      <w:r w:rsidRPr="00512D02">
        <w:t xml:space="preserve"> </w:t>
      </w:r>
      <w:r w:rsidRPr="00512D02">
        <w:tab/>
        <w:t>802101</w:t>
      </w:r>
      <w:r w:rsidRPr="00F43468">
        <w:t>, statisztikai számjel:</w:t>
      </w:r>
      <w:r>
        <w:t xml:space="preserve"> </w:t>
      </w:r>
      <w:r w:rsidRPr="00512D02">
        <w:t>15802107-8412-312-01</w:t>
      </w:r>
      <w:r w:rsidRPr="00F43468">
        <w:t>; képviseli:</w:t>
      </w:r>
      <w:r>
        <w:t xml:space="preserve"> </w:t>
      </w:r>
      <w:r w:rsidRPr="009105E9">
        <w:t>Bátori Zsolt</w:t>
      </w:r>
      <w:r w:rsidRPr="00F43468">
        <w:t>,</w:t>
      </w:r>
      <w:r>
        <w:t xml:space="preserve"> mint vagyonkezelő</w:t>
      </w:r>
      <w:r w:rsidRPr="00F43468">
        <w:t xml:space="preserve"> (a továbbiakban: </w:t>
      </w:r>
      <w:r w:rsidRPr="00F43468">
        <w:rPr>
          <w:b/>
        </w:rPr>
        <w:t>Vagyonkezelő</w:t>
      </w:r>
      <w:r w:rsidRPr="00F43468">
        <w:t>),</w:t>
      </w:r>
    </w:p>
    <w:p w14:paraId="6FC55A43" w14:textId="77777777" w:rsidR="00675F02" w:rsidRPr="00F43468" w:rsidRDefault="00675F02" w:rsidP="00675F02">
      <w:pPr>
        <w:jc w:val="both"/>
      </w:pPr>
    </w:p>
    <w:p w14:paraId="0124A23F" w14:textId="77777777" w:rsidR="00675F02" w:rsidRPr="00F43468" w:rsidRDefault="00675F02" w:rsidP="00675F02">
      <w:pPr>
        <w:jc w:val="both"/>
      </w:pPr>
      <w:r w:rsidRPr="00F43468">
        <w:t xml:space="preserve">a továbbiakban együttesen: </w:t>
      </w:r>
      <w:r w:rsidRPr="00F43468">
        <w:rPr>
          <w:b/>
        </w:rPr>
        <w:t>Felek</w:t>
      </w:r>
      <w:r w:rsidRPr="00F43468">
        <w:t>, külön-külön:</w:t>
      </w:r>
      <w:r w:rsidRPr="00F43468">
        <w:rPr>
          <w:b/>
        </w:rPr>
        <w:t xml:space="preserve"> Fél</w:t>
      </w:r>
      <w:r w:rsidRPr="00F43468">
        <w:t xml:space="preserve"> – között az alulírott helyen és napon az alábbiak szerint:</w:t>
      </w:r>
    </w:p>
    <w:p w14:paraId="7570FF8F" w14:textId="77777777" w:rsidR="00675F02" w:rsidRPr="00F43468" w:rsidRDefault="00675F02" w:rsidP="00675F02">
      <w:pPr>
        <w:jc w:val="both"/>
      </w:pPr>
    </w:p>
    <w:p w14:paraId="0B090564" w14:textId="77777777" w:rsidR="00675F02" w:rsidRPr="00F43468" w:rsidRDefault="00675F02" w:rsidP="00675F02">
      <w:pPr>
        <w:numPr>
          <w:ilvl w:val="0"/>
          <w:numId w:val="2"/>
        </w:numPr>
        <w:jc w:val="both"/>
        <w:rPr>
          <w:b/>
          <w:u w:val="single"/>
        </w:rPr>
      </w:pPr>
      <w:r w:rsidRPr="00F43468">
        <w:rPr>
          <w:b/>
          <w:u w:val="single"/>
        </w:rPr>
        <w:t>Előzmények</w:t>
      </w:r>
    </w:p>
    <w:p w14:paraId="742096AE" w14:textId="77777777" w:rsidR="00675F02" w:rsidRPr="00F43468" w:rsidRDefault="00675F02" w:rsidP="00675F02">
      <w:pPr>
        <w:jc w:val="both"/>
        <w:rPr>
          <w:b/>
          <w:u w:val="single"/>
        </w:rPr>
      </w:pPr>
    </w:p>
    <w:p w14:paraId="21418ABF" w14:textId="77777777" w:rsidR="00675F02" w:rsidRPr="00F43468" w:rsidRDefault="00675F02" w:rsidP="00675F02">
      <w:pPr>
        <w:jc w:val="both"/>
      </w:pPr>
      <w:r w:rsidRPr="00F43468">
        <w:rPr>
          <w:b/>
        </w:rPr>
        <w:t>I.1.)</w:t>
      </w:r>
      <w:r w:rsidRPr="00F43468">
        <w:t xml:space="preserve"> A Vtv. 3. § (1) bekezdése értelmében a rábízott állami vagyon felett az államot megillető tulajdonosi jogok és kötelezettségek összességét tulajdonosi joggyakorlóként, ha törvény vagy miniszteri rendelet eltérően nem rendelkezik, az MNV Zrt. gyakorolja. A Vtv. 33. §-ának (1) bekezdése értelmében állami vagyon tulajdonjogának átruházására – ha törvény eltérően nem rendelkezik – kizárólag az MNV Zrt. jogosult. A Vtv. 36. § (2) bekezdés c) pontja alapján az állami vagyon tulajdonjoga helyi önkormányzat javára ingyenesen átruházható törvényben vagy törvény felhatalmazása alapján kiadott jogszabályban foglalt feladatai elősegítése érdekében.</w:t>
      </w:r>
    </w:p>
    <w:p w14:paraId="6A748CD6" w14:textId="77777777" w:rsidR="00675F02" w:rsidRPr="00F43468" w:rsidRDefault="00675F02" w:rsidP="00675F02">
      <w:pPr>
        <w:jc w:val="both"/>
      </w:pPr>
    </w:p>
    <w:p w14:paraId="144BEA93" w14:textId="77777777" w:rsidR="00675F02" w:rsidRDefault="00675F02" w:rsidP="00675F02">
      <w:pPr>
        <w:jc w:val="both"/>
      </w:pPr>
      <w:r w:rsidRPr="00F43468">
        <w:rPr>
          <w:b/>
        </w:rPr>
        <w:t>I.</w:t>
      </w:r>
      <w:r>
        <w:rPr>
          <w:b/>
        </w:rPr>
        <w:t>2</w:t>
      </w:r>
      <w:r w:rsidRPr="00F43468">
        <w:rPr>
          <w:b/>
        </w:rPr>
        <w:t xml:space="preserve">.) </w:t>
      </w:r>
      <w:r w:rsidRPr="00F43468">
        <w:t xml:space="preserve">A Vtv. 36. § (6) bekezdésének felhatalmazása alapján az MNV Zrt. Igazgatósága a …………………. IG számú határozatában (a továbbiakban: IG határozat) az Önkormányzat által benyújtott, ingyenes tulajdonba adásra irányuló kérelem alapján a jelen megállapodás tárgyát képező, a II. pontban részletezett vagyonelemek térítésmentes önkormányzati tulajdonba adásáról döntött. Jelen megállapodás megkötésére az IG határozat ……..) pontjában foglalt felhatalmazás alapján kerül sor. Az Önkormányzat Képviselő-testülete által hozott, az ingyenes tulajdonba adás kezdeményezéséről szóló </w:t>
      </w:r>
      <w:r w:rsidRPr="00294F6B">
        <w:t xml:space="preserve">a 135/2013. (III. 28.) </w:t>
      </w:r>
      <w:r w:rsidRPr="00F43468">
        <w:t xml:space="preserve"> sz. </w:t>
      </w:r>
      <w:r>
        <w:t xml:space="preserve">KGY </w:t>
      </w:r>
      <w:r w:rsidRPr="00F43468">
        <w:t>határozat másolata a jelen megállapodás 1. számú elválaszthatatlan mellékletét k</w:t>
      </w:r>
      <w:r>
        <w:t>épezi.</w:t>
      </w:r>
    </w:p>
    <w:p w14:paraId="3F72D468" w14:textId="77777777" w:rsidR="00675F02" w:rsidRDefault="00675F02" w:rsidP="00675F02">
      <w:pPr>
        <w:jc w:val="both"/>
      </w:pPr>
    </w:p>
    <w:p w14:paraId="334B6CCE" w14:textId="77777777" w:rsidR="00675F02" w:rsidRDefault="00675F02" w:rsidP="00675F02">
      <w:pPr>
        <w:jc w:val="both"/>
      </w:pPr>
      <w:r>
        <w:t xml:space="preserve">I.3.) Felek megállapítják, hogy az Önkormányzat a </w:t>
      </w:r>
      <w:r w:rsidRPr="00037173">
        <w:t>Vagyonkezelő</w:t>
      </w:r>
      <w:r>
        <w:t xml:space="preserve"> felé igénybejelentéssel élt a </w:t>
      </w:r>
      <w:r w:rsidRPr="00F43468">
        <w:t xml:space="preserve">II. pontban részletezett vagyonelemek </w:t>
      </w:r>
      <w:r>
        <w:t xml:space="preserve">térítésmentes tulajdonba adására. Tekintettel arra, hogy a jelen szerződés tárgyát képező Ingóságok a Magyar Állam tulajdonában </w:t>
      </w:r>
      <w:r w:rsidRPr="008328CE">
        <w:t xml:space="preserve">és a </w:t>
      </w:r>
      <w:r w:rsidRPr="003265BD">
        <w:t>Szociális és Gyermekvédelmi Főigazgatóság</w:t>
      </w:r>
      <w:r w:rsidRPr="008328CE">
        <w:t xml:space="preserve"> vagyonkezelésében áll</w:t>
      </w:r>
      <w:r>
        <w:t>nak</w:t>
      </w:r>
      <w:r w:rsidRPr="008328CE">
        <w:t xml:space="preserve">, a </w:t>
      </w:r>
      <w:r w:rsidRPr="003265BD">
        <w:t xml:space="preserve">Szociális és Gyermekvédelmi </w:t>
      </w:r>
      <w:r w:rsidRPr="003265BD">
        <w:lastRenderedPageBreak/>
        <w:t>Főigazgatóság</w:t>
      </w:r>
      <w:r>
        <w:t xml:space="preserve"> jelen ingyenes tulajdonba adási szerződést vagyonkezelői minőségében eljárva köti meg. </w:t>
      </w:r>
    </w:p>
    <w:p w14:paraId="6F99D833" w14:textId="77777777" w:rsidR="00675F02" w:rsidRDefault="00675F02" w:rsidP="00675F02">
      <w:pPr>
        <w:jc w:val="both"/>
      </w:pPr>
    </w:p>
    <w:p w14:paraId="7C0813A9" w14:textId="77777777" w:rsidR="00675F02" w:rsidRPr="00F43468" w:rsidRDefault="00675F02" w:rsidP="00675F02">
      <w:pPr>
        <w:jc w:val="both"/>
      </w:pPr>
    </w:p>
    <w:p w14:paraId="5CE73367" w14:textId="77777777" w:rsidR="00675F02" w:rsidRPr="00F43468" w:rsidRDefault="00675F02" w:rsidP="00675F02">
      <w:pPr>
        <w:jc w:val="both"/>
      </w:pPr>
      <w:r w:rsidRPr="00F43468">
        <w:rPr>
          <w:b/>
        </w:rPr>
        <w:t>I.</w:t>
      </w:r>
      <w:r>
        <w:rPr>
          <w:b/>
        </w:rPr>
        <w:t>5</w:t>
      </w:r>
      <w:r w:rsidRPr="00F43468">
        <w:rPr>
          <w:b/>
        </w:rPr>
        <w:t>.)</w:t>
      </w:r>
      <w:r w:rsidRPr="00F43468">
        <w:t xml:space="preserve"> Felek rögzítik, hogy jelen megállapodás szerinti tulajdonba adásra a Magyarország helyi önkormányzatairól szóló 2011. évi CLXXXIX. törvény (a továbbiakban: Mötv.) 13. § (1) bekezdés </w:t>
      </w:r>
      <w:r>
        <w:t>15. pontja szerinti kötelező önkormányzati feladat ellátásának, azaz ifjúsági ügyek feladatainak ellátása érdekében, az iroda feladatainak segítése</w:t>
      </w:r>
      <w:r w:rsidRPr="00F43468">
        <w:t xml:space="preserve"> céljából</w:t>
      </w:r>
      <w:r>
        <w:t xml:space="preserve"> </w:t>
      </w:r>
      <w:r w:rsidRPr="00F43468">
        <w:t>(a továbbiakban: Hasznosítási Cél) kerül sor.</w:t>
      </w:r>
    </w:p>
    <w:p w14:paraId="2CABDDBF" w14:textId="77777777" w:rsidR="00675F02" w:rsidRPr="00F43468" w:rsidRDefault="00675F02" w:rsidP="00675F02">
      <w:pPr>
        <w:jc w:val="both"/>
      </w:pPr>
    </w:p>
    <w:p w14:paraId="5866AE5E" w14:textId="77777777" w:rsidR="00675F02" w:rsidRPr="00F43468" w:rsidRDefault="00675F02" w:rsidP="00675F02">
      <w:pPr>
        <w:jc w:val="both"/>
      </w:pPr>
    </w:p>
    <w:p w14:paraId="763C3F03" w14:textId="77777777" w:rsidR="00675F02" w:rsidRPr="00F43468" w:rsidRDefault="00675F02" w:rsidP="00675F02">
      <w:pPr>
        <w:numPr>
          <w:ilvl w:val="0"/>
          <w:numId w:val="2"/>
        </w:numPr>
        <w:jc w:val="both"/>
        <w:rPr>
          <w:b/>
          <w:u w:val="single"/>
        </w:rPr>
      </w:pPr>
      <w:r w:rsidRPr="00F43468">
        <w:rPr>
          <w:b/>
          <w:u w:val="single"/>
        </w:rPr>
        <w:t>A megállapodás tárgya</w:t>
      </w:r>
    </w:p>
    <w:p w14:paraId="004A4164" w14:textId="77777777" w:rsidR="00675F02" w:rsidRPr="00F43468" w:rsidRDefault="00675F02" w:rsidP="00675F02">
      <w:pPr>
        <w:jc w:val="both"/>
        <w:rPr>
          <w:b/>
          <w:u w:val="single"/>
        </w:rPr>
      </w:pPr>
    </w:p>
    <w:p w14:paraId="3BBB5100" w14:textId="77777777" w:rsidR="00675F02" w:rsidRDefault="00675F02" w:rsidP="00675F02">
      <w:pPr>
        <w:jc w:val="both"/>
      </w:pPr>
      <w:r w:rsidRPr="00F43468">
        <w:rPr>
          <w:b/>
        </w:rPr>
        <w:t>II.1.)</w:t>
      </w:r>
      <w:r w:rsidRPr="00F43468">
        <w:t xml:space="preserve"> Felek megállapodnak, hogy jelen megállapodás tárgyát a Magyar Állam </w:t>
      </w:r>
      <w:r w:rsidRPr="00F43468">
        <w:rPr>
          <w:i/>
        </w:rPr>
        <w:t xml:space="preserve">tulajdonába </w:t>
      </w:r>
      <w:r w:rsidRPr="00F43468">
        <w:t xml:space="preserve">és Vagyonkezelő </w:t>
      </w:r>
      <w:r w:rsidRPr="00F43468">
        <w:rPr>
          <w:i/>
        </w:rPr>
        <w:t>vagyonkezelésébe</w:t>
      </w:r>
      <w:r w:rsidRPr="00F43468">
        <w:t xml:space="preserve"> tartozó, a megállapodás 2. számú mellékletében felsorolt, összesen</w:t>
      </w:r>
      <w:r>
        <w:t xml:space="preserve"> Bruttó </w:t>
      </w:r>
      <w:r w:rsidRPr="00115C52">
        <w:t>2.118.200,- Ft</w:t>
      </w:r>
      <w:r w:rsidRPr="00F43468">
        <w:t xml:space="preserve"> </w:t>
      </w:r>
      <w:r>
        <w:t xml:space="preserve">forgalmi </w:t>
      </w:r>
      <w:r w:rsidRPr="00F43468">
        <w:t xml:space="preserve">értékű ingó vagyonelemek (továbbiakban: Ingóságok) képezik. </w:t>
      </w:r>
    </w:p>
    <w:p w14:paraId="1C1F4545" w14:textId="77777777" w:rsidR="00675F02" w:rsidRDefault="00675F02" w:rsidP="00675F02">
      <w:pPr>
        <w:jc w:val="both"/>
      </w:pPr>
    </w:p>
    <w:p w14:paraId="76B128E0" w14:textId="77777777" w:rsidR="00675F02" w:rsidRPr="00294F6B" w:rsidRDefault="00675F02" w:rsidP="00675F02">
      <w:pPr>
        <w:jc w:val="both"/>
        <w:rPr>
          <w:b/>
        </w:rPr>
      </w:pPr>
      <w:r w:rsidRPr="00294F6B">
        <w:rPr>
          <w:b/>
        </w:rPr>
        <w:t>II. 2.)</w:t>
      </w:r>
      <w:r w:rsidRPr="00294F6B">
        <w:t xml:space="preserve"> Az Ingóságok az átadáskor per-, teher- és igénymentesek.</w:t>
      </w:r>
    </w:p>
    <w:p w14:paraId="057A1E27" w14:textId="77777777" w:rsidR="00675F02" w:rsidRPr="00F43468" w:rsidRDefault="00675F02" w:rsidP="00675F02">
      <w:pPr>
        <w:jc w:val="both"/>
      </w:pPr>
    </w:p>
    <w:p w14:paraId="38E36C8D" w14:textId="77777777" w:rsidR="00675F02" w:rsidRPr="00F43468" w:rsidRDefault="00675F02" w:rsidP="00675F02">
      <w:pPr>
        <w:numPr>
          <w:ilvl w:val="0"/>
          <w:numId w:val="2"/>
        </w:numPr>
        <w:jc w:val="both"/>
        <w:rPr>
          <w:b/>
          <w:u w:val="single"/>
        </w:rPr>
      </w:pPr>
      <w:r w:rsidRPr="00F43468">
        <w:rPr>
          <w:b/>
        </w:rPr>
        <w:t xml:space="preserve"> </w:t>
      </w:r>
      <w:r w:rsidRPr="00F43468">
        <w:rPr>
          <w:b/>
          <w:u w:val="single"/>
        </w:rPr>
        <w:t>Az Ingóságok átadása</w:t>
      </w:r>
    </w:p>
    <w:p w14:paraId="07C82169" w14:textId="77777777" w:rsidR="00675F02" w:rsidRPr="00F43468" w:rsidRDefault="00675F02" w:rsidP="00675F02">
      <w:pPr>
        <w:jc w:val="both"/>
        <w:rPr>
          <w:b/>
          <w:u w:val="single"/>
        </w:rPr>
      </w:pPr>
    </w:p>
    <w:p w14:paraId="23B677DD" w14:textId="77777777" w:rsidR="00675F02" w:rsidRPr="00F43468" w:rsidRDefault="00675F02" w:rsidP="00675F02">
      <w:pPr>
        <w:jc w:val="both"/>
      </w:pPr>
      <w:r w:rsidRPr="00F43468">
        <w:rPr>
          <w:b/>
        </w:rPr>
        <w:t>III.1.)</w:t>
      </w:r>
      <w:r w:rsidRPr="00F43468">
        <w:t xml:space="preserve"> Az MNV Zrt. </w:t>
      </w:r>
      <w:r>
        <w:t>az</w:t>
      </w:r>
      <w:r w:rsidRPr="00F43468">
        <w:t xml:space="preserve"> Ingóságok tulajdonjogát jelen megállapodás</w:t>
      </w:r>
      <w:r>
        <w:t>sal</w:t>
      </w:r>
      <w:r w:rsidRPr="00F43468">
        <w:t xml:space="preserve"> ingyenesen átruházza az Önkormányzat részére, az Önkormányzat pedig azt </w:t>
      </w:r>
      <w:r>
        <w:t>tulajdonba veszi</w:t>
      </w:r>
      <w:r w:rsidRPr="00F43468">
        <w:t xml:space="preserve">. </w:t>
      </w:r>
      <w:r>
        <w:t xml:space="preserve">Felek rögzítik, hogy az Önkormányzat az Ingóságok tulajdonjogát a Polgári Törvénykönyvről szóló 2013.évi V. törvény (a továbbiakban: Ptk.) a 5:38. § (1) bekezdésével összhangban az Ingóságok birtokának a jelen megállapodás létrejöttét követő - jelen Megállapodás III. 5. pontjában meghatározottak szerint - részére történő átruházásnak napján szerzi meg.   </w:t>
      </w:r>
    </w:p>
    <w:p w14:paraId="2A210E09" w14:textId="77777777" w:rsidR="00675F02" w:rsidRPr="00F43468" w:rsidRDefault="00675F02" w:rsidP="00675F02">
      <w:pPr>
        <w:jc w:val="both"/>
      </w:pPr>
    </w:p>
    <w:p w14:paraId="51244450" w14:textId="77777777" w:rsidR="00675F02" w:rsidRPr="00F43468" w:rsidRDefault="00675F02" w:rsidP="00675F02">
      <w:pPr>
        <w:jc w:val="both"/>
      </w:pPr>
      <w:r w:rsidRPr="00F43468">
        <w:rPr>
          <w:b/>
        </w:rPr>
        <w:t>III.2.)</w:t>
      </w:r>
      <w:r w:rsidRPr="00F43468">
        <w:t xml:space="preserve"> Az Önkormányzat kijelenti, hogy az Ingóságokat a jelen m</w:t>
      </w:r>
      <w:r>
        <w:t>egállapodás I.5</w:t>
      </w:r>
      <w:r w:rsidRPr="00F43468">
        <w:t>.) pontjában foglaltaknak</w:t>
      </w:r>
      <w:r>
        <w:t>, azaz a Hasznosítási Célnak</w:t>
      </w:r>
      <w:r w:rsidRPr="00F43468">
        <w:t xml:space="preserve"> megfelelően kívánja használni.</w:t>
      </w:r>
    </w:p>
    <w:p w14:paraId="775D911E" w14:textId="77777777" w:rsidR="00675F02" w:rsidRPr="00F43468" w:rsidRDefault="00675F02" w:rsidP="00675F02">
      <w:pPr>
        <w:jc w:val="both"/>
      </w:pPr>
    </w:p>
    <w:p w14:paraId="5B9526DB" w14:textId="77777777" w:rsidR="00675F02" w:rsidRPr="00F43468" w:rsidRDefault="00675F02" w:rsidP="00675F02">
      <w:pPr>
        <w:jc w:val="both"/>
      </w:pPr>
      <w:r w:rsidRPr="00F43468">
        <w:rPr>
          <w:b/>
        </w:rPr>
        <w:t>III.3.)</w:t>
      </w:r>
      <w:r w:rsidRPr="00F43468">
        <w:t xml:space="preserve"> Az Önkormányzat tudomásul veszi, hogy az Ingóságok tulajdonba vételével valamint a birtokátruházással kapcsolatos összes költség </w:t>
      </w:r>
      <w:r>
        <w:t xml:space="preserve">– ideértve az elszállítási költségeit is - </w:t>
      </w:r>
      <w:r w:rsidRPr="00F43468">
        <w:t>az Önkormányzatot terheli.</w:t>
      </w:r>
    </w:p>
    <w:p w14:paraId="04007C40" w14:textId="77777777" w:rsidR="00675F02" w:rsidRDefault="00675F02" w:rsidP="00675F02">
      <w:pPr>
        <w:jc w:val="both"/>
      </w:pPr>
    </w:p>
    <w:p w14:paraId="21AB4AD0" w14:textId="77777777" w:rsidR="00675F02" w:rsidRPr="00F43468" w:rsidRDefault="00675F02" w:rsidP="00675F02">
      <w:pPr>
        <w:jc w:val="both"/>
      </w:pPr>
    </w:p>
    <w:p w14:paraId="4361E3CE" w14:textId="77777777" w:rsidR="00675F02" w:rsidRDefault="00675F02" w:rsidP="00675F02">
      <w:pPr>
        <w:jc w:val="both"/>
      </w:pPr>
      <w:r w:rsidRPr="00F43468">
        <w:rPr>
          <w:b/>
        </w:rPr>
        <w:t>III.</w:t>
      </w:r>
      <w:r>
        <w:rPr>
          <w:b/>
        </w:rPr>
        <w:t>5</w:t>
      </w:r>
      <w:r w:rsidRPr="00F43468">
        <w:rPr>
          <w:b/>
        </w:rPr>
        <w:t>.)</w:t>
      </w:r>
      <w:r w:rsidRPr="00F43468">
        <w:t xml:space="preserve"> Felek rögzítik, hogy </w:t>
      </w:r>
      <w:r>
        <w:t>az Ingóságok birtokát a Vagyonkezelő</w:t>
      </w:r>
      <w:r w:rsidRPr="00F43468">
        <w:t xml:space="preserve"> </w:t>
      </w:r>
      <w:r>
        <w:t xml:space="preserve">ruházza át a jelen megállapodás létrejöttét követő 60 napon belül az Önkormányzatra, amelyről az Önkormányzat és a Vagyonkezelő birtokátruházási </w:t>
      </w:r>
      <w:r w:rsidRPr="00F43468">
        <w:t>jegyzőkönyv</w:t>
      </w:r>
      <w:r>
        <w:t xml:space="preserve">et vesznek fel. A jegyzőkönyv tartalmazza különösen az átadó és átvevő nevét és címét és esetlegesen a beazonosításukhoz szükséges további adatokat, az Ingóságok nevét és mennyiségét, továbbá birtokátruházás helyét, idejét és tényét, valamint azt, hogy a birtokátruházásra a jelen megállapodás alapján kerül sor. </w:t>
      </w:r>
    </w:p>
    <w:p w14:paraId="1D6D324D" w14:textId="77777777" w:rsidR="00675F02" w:rsidRDefault="00675F02" w:rsidP="00675F02">
      <w:pPr>
        <w:jc w:val="both"/>
      </w:pPr>
      <w:r>
        <w:t xml:space="preserve">A birtokátruházási jegyzőkönyv 1 db eredeti példányát a Vagyonkezelő köteles haladéktalanul, de legkésőbb a birtokátruházás napjától számított ….. napon belül megküldeni az MNV Zrt. részére. </w:t>
      </w:r>
    </w:p>
    <w:p w14:paraId="018FAB40" w14:textId="77777777" w:rsidR="009D32B3" w:rsidRDefault="009D32B3" w:rsidP="00675F02">
      <w:pPr>
        <w:jc w:val="both"/>
      </w:pPr>
    </w:p>
    <w:p w14:paraId="7FA96FDE" w14:textId="77777777" w:rsidR="009D32B3" w:rsidRDefault="009D32B3" w:rsidP="00675F02">
      <w:pPr>
        <w:jc w:val="both"/>
      </w:pPr>
    </w:p>
    <w:p w14:paraId="22358BA4" w14:textId="77777777" w:rsidR="009D32B3" w:rsidRPr="00F43468" w:rsidRDefault="009D32B3" w:rsidP="00675F02">
      <w:pPr>
        <w:jc w:val="both"/>
      </w:pPr>
      <w:bookmarkStart w:id="0" w:name="_GoBack"/>
      <w:bookmarkEnd w:id="0"/>
    </w:p>
    <w:p w14:paraId="012F6CFF" w14:textId="77777777" w:rsidR="00675F02" w:rsidRPr="00F43468" w:rsidRDefault="00675F02" w:rsidP="00675F02">
      <w:pPr>
        <w:jc w:val="both"/>
      </w:pPr>
    </w:p>
    <w:p w14:paraId="13752EE2" w14:textId="77777777" w:rsidR="00675F02" w:rsidRPr="00F43468" w:rsidRDefault="00675F02" w:rsidP="00675F02">
      <w:pPr>
        <w:numPr>
          <w:ilvl w:val="0"/>
          <w:numId w:val="2"/>
        </w:numPr>
        <w:jc w:val="both"/>
        <w:rPr>
          <w:b/>
          <w:u w:val="single"/>
        </w:rPr>
      </w:pPr>
      <w:r w:rsidRPr="00F43468">
        <w:rPr>
          <w:b/>
          <w:u w:val="single"/>
        </w:rPr>
        <w:t>További nyilatkozatok</w:t>
      </w:r>
    </w:p>
    <w:p w14:paraId="11944915" w14:textId="77777777" w:rsidR="00675F02" w:rsidRPr="00F43468" w:rsidRDefault="00675F02" w:rsidP="00675F02">
      <w:pPr>
        <w:jc w:val="both"/>
        <w:rPr>
          <w:b/>
          <w:u w:val="single"/>
        </w:rPr>
      </w:pPr>
    </w:p>
    <w:p w14:paraId="00C4535B" w14:textId="77777777" w:rsidR="00675F02" w:rsidRDefault="00675F02" w:rsidP="00675F02">
      <w:pPr>
        <w:pStyle w:val="Szvegtrzs"/>
        <w:ind w:right="50"/>
        <w:jc w:val="both"/>
      </w:pPr>
      <w:r w:rsidRPr="00F43468">
        <w:rPr>
          <w:b/>
        </w:rPr>
        <w:lastRenderedPageBreak/>
        <w:t>IV.1.)</w:t>
      </w:r>
      <w:r w:rsidRPr="00F43468">
        <w:t xml:space="preserve"> Felek megállapítják, hogy Vagyonkezelő az Ingóságok ingyenes önkormányzati tulajdonba adásához hozzájárult.</w:t>
      </w:r>
      <w:r>
        <w:t xml:space="preserve"> </w:t>
      </w:r>
    </w:p>
    <w:p w14:paraId="06BE860B" w14:textId="77777777" w:rsidR="00675F02" w:rsidRPr="00294F6B" w:rsidRDefault="00675F02" w:rsidP="00675F02">
      <w:pPr>
        <w:jc w:val="both"/>
      </w:pPr>
      <w:r w:rsidRPr="00637362">
        <w:rPr>
          <w:b/>
        </w:rPr>
        <w:t>IV.</w:t>
      </w:r>
      <w:r>
        <w:rPr>
          <w:b/>
        </w:rPr>
        <w:t>2</w:t>
      </w:r>
      <w:r w:rsidRPr="00637362">
        <w:rPr>
          <w:b/>
        </w:rPr>
        <w:t>.)</w:t>
      </w:r>
      <w:r w:rsidRPr="00E3422F">
        <w:t xml:space="preserve"> </w:t>
      </w:r>
      <w:r w:rsidRPr="00585777">
        <w:t>Az MNV Zrt. és a Vagyonkezelő rögzítik</w:t>
      </w:r>
      <w:r>
        <w:t xml:space="preserve">, hogy az Ingóságok állami tulajdonból történő kikerülésével egyidejűleg az Ingóságok tekintetében az MNV Zrt. és a Vagyonkezelő között ………………. napján SZT- …… számon létrejött vagyonkezelési szerződés (a továbbiakban: Vagyonkezelési Szerződés) </w:t>
      </w:r>
      <w:r w:rsidRPr="00D32965">
        <w:t xml:space="preserve">az állami vagyonnal való gazdálkodásról szóló 254/2007. (X. 4.) Korm. rendelet (a továbbiakban: Vhr.) </w:t>
      </w:r>
      <w:r>
        <w:t xml:space="preserve">12. § (1) bekezdésének c) pontja alapján megszűnik. </w:t>
      </w:r>
      <w:r w:rsidRPr="00294F6B">
        <w:t xml:space="preserve">Egyebekben a Vagyonkezelési Szerződés változatlan tartalommal továbbra is hatályban marad. </w:t>
      </w:r>
    </w:p>
    <w:p w14:paraId="562903C3" w14:textId="77777777" w:rsidR="00675F02" w:rsidRDefault="00675F02" w:rsidP="00675F02">
      <w:pPr>
        <w:pStyle w:val="Szvegtrzs"/>
        <w:ind w:right="50"/>
        <w:jc w:val="both"/>
      </w:pPr>
      <w:r w:rsidRPr="00294F6B">
        <w:t xml:space="preserve">Az MNV Zrt és a Vagyonkezelő </w:t>
      </w:r>
      <w:r w:rsidRPr="008B0F57">
        <w:t>kijelentik</w:t>
      </w:r>
      <w:r>
        <w:t>, hogy</w:t>
      </w:r>
      <w:r w:rsidRPr="00DA4C01">
        <w:t xml:space="preserve"> </w:t>
      </w:r>
      <w:r>
        <w:t xml:space="preserve">- </w:t>
      </w:r>
      <w:r w:rsidRPr="00DA4C01">
        <w:t xml:space="preserve">figyelemmel </w:t>
      </w:r>
      <w:r w:rsidRPr="00A96C62">
        <w:t>az állami vagyonnal való gazdálkodásról szóló 254/2007. (X. 4.) Korm. rendelet</w:t>
      </w:r>
      <w:r>
        <w:t xml:space="preserve"> (továbbiakban: </w:t>
      </w:r>
      <w:r w:rsidRPr="00DA4C01">
        <w:t>Vhr.</w:t>
      </w:r>
      <w:r>
        <w:t>)</w:t>
      </w:r>
      <w:r w:rsidRPr="00DA4C01">
        <w:t xml:space="preserve"> 18.§ (6) bekezdésében foglaltakra </w:t>
      </w:r>
      <w:r>
        <w:t>- az Ingóságok</w:t>
      </w:r>
      <w:r w:rsidRPr="00DA4C01">
        <w:t xml:space="preserve"> tekintetében az Vhr. V. fejezete alapján egymással szembeni megtérítési kötelezettségük nem keletkezett.</w:t>
      </w:r>
    </w:p>
    <w:p w14:paraId="7E824087" w14:textId="77777777" w:rsidR="00675F02" w:rsidRPr="00F43468" w:rsidRDefault="00675F02" w:rsidP="00675F02">
      <w:pPr>
        <w:pStyle w:val="Szvegtrzs"/>
        <w:ind w:right="50"/>
        <w:jc w:val="both"/>
      </w:pPr>
    </w:p>
    <w:p w14:paraId="6FA069B6" w14:textId="6C13D3A5" w:rsidR="00675F02" w:rsidRPr="00051F37" w:rsidRDefault="00675F02" w:rsidP="00675F02">
      <w:pPr>
        <w:pStyle w:val="Szvegtrzs"/>
        <w:ind w:right="50"/>
        <w:jc w:val="both"/>
        <w:rPr>
          <w:i/>
        </w:rPr>
      </w:pPr>
      <w:r w:rsidRPr="00F43468">
        <w:rPr>
          <w:b/>
        </w:rPr>
        <w:t>IV.</w:t>
      </w:r>
      <w:r>
        <w:rPr>
          <w:b/>
        </w:rPr>
        <w:t>3</w:t>
      </w:r>
      <w:r w:rsidRPr="00F43468">
        <w:rPr>
          <w:b/>
        </w:rPr>
        <w:t>.)</w:t>
      </w:r>
      <w:r w:rsidRPr="00F43468">
        <w:t xml:space="preserve"> </w:t>
      </w:r>
      <w:r w:rsidRPr="00585777">
        <w:t>Az Önkormányzat kijelenti, hogy a jelen megállapodás általa történő aláírásának időpontjában az</w:t>
      </w:r>
      <w:r w:rsidRPr="00585777">
        <w:rPr>
          <w:lang w:val="en"/>
        </w:rPr>
        <w:t xml:space="preserve"> adózás rendjéről 2017. évi CL. törvény </w:t>
      </w:r>
      <w:r w:rsidRPr="00294F6B">
        <w:t>260. §-a alapján</w:t>
      </w:r>
      <w:r w:rsidRPr="00585777" w:rsidDel="00D20239">
        <w:t xml:space="preserve"> </w:t>
      </w:r>
      <w:r w:rsidRPr="008B0F57">
        <w:t>178. § 32. pontja szerint köztartozásmentes adózónak minősül. A köztartozással kapcsolatos kizáró feltétel fennállásának hiányát az Önkormányzat az alábbi módon igazo</w:t>
      </w:r>
      <w:r w:rsidRPr="00E12AC1">
        <w:t>lta az MNV Zrt. felé</w:t>
      </w:r>
      <w:r w:rsidRPr="00585777">
        <w:rPr>
          <w:i/>
        </w:rPr>
        <w:t xml:space="preserve">: </w:t>
      </w:r>
      <w:r w:rsidRPr="00051F37">
        <w:t xml:space="preserve">külön magánokiratban nyilatkozott az MNV Zrt. részére arról, hogy szerepel a köztartozásmentes adózói adatbázisban. </w:t>
      </w:r>
    </w:p>
    <w:p w14:paraId="7804592F" w14:textId="77777777" w:rsidR="00675F02" w:rsidRDefault="00675F02" w:rsidP="00675F02">
      <w:pPr>
        <w:pStyle w:val="Szvegtrzs"/>
        <w:ind w:right="50"/>
        <w:jc w:val="both"/>
      </w:pPr>
      <w:r w:rsidRPr="00F43468">
        <w:t>Az MNV Zrt. ennek alapján megállapítja, hogy az Önkormányzat köztartozásmentes minősége hitelt érdemlően igazolt és az MNV Zrt-vel szemben nincs lejárt tartozása. A nemzeti vagyonról szóló 2011. évi CXCVI. törvény (továbbiakban: Nvtv.) 13. § (2) bekezdése szerint nemzeti vagyon tulajdonjogát átruházni természetes személy vagy átlátható szervezet részére lehet. Az Nvtv. 3. § (1) bekezdés 1.a) pontja értelmében a helyi önkormányzatok átlátható szervezetnek minősülnek, így az Önkormányzat részére a nemzeti vagyon tulajdonjoga – az e pont szerinti egyéb előfeltételek te</w:t>
      </w:r>
      <w:r>
        <w:t>ljesítése esetén – átruházható.</w:t>
      </w:r>
    </w:p>
    <w:p w14:paraId="59DE59D5" w14:textId="77777777" w:rsidR="00675F02" w:rsidRPr="00F43468" w:rsidRDefault="00675F02" w:rsidP="00675F02">
      <w:pPr>
        <w:pStyle w:val="Szvegtrzs"/>
        <w:ind w:right="50"/>
        <w:jc w:val="both"/>
      </w:pPr>
    </w:p>
    <w:p w14:paraId="422920A9" w14:textId="77777777" w:rsidR="00675F02" w:rsidRPr="00F43468" w:rsidRDefault="00675F02" w:rsidP="00675F02">
      <w:pPr>
        <w:numPr>
          <w:ilvl w:val="0"/>
          <w:numId w:val="2"/>
        </w:numPr>
        <w:jc w:val="both"/>
        <w:rPr>
          <w:b/>
          <w:u w:val="single"/>
        </w:rPr>
      </w:pPr>
      <w:r w:rsidRPr="00F43468">
        <w:rPr>
          <w:b/>
          <w:u w:val="single"/>
        </w:rPr>
        <w:t>Kötelezettségvállalások</w:t>
      </w:r>
    </w:p>
    <w:p w14:paraId="3ED6DCE5" w14:textId="77777777" w:rsidR="00675F02" w:rsidRPr="00F43468" w:rsidRDefault="00675F02" w:rsidP="00675F02">
      <w:pPr>
        <w:jc w:val="both"/>
        <w:rPr>
          <w:b/>
          <w:u w:val="single"/>
        </w:rPr>
      </w:pPr>
    </w:p>
    <w:p w14:paraId="53E50D70" w14:textId="77777777" w:rsidR="00675F02" w:rsidRPr="00F43468" w:rsidRDefault="00675F02" w:rsidP="00675F02">
      <w:pPr>
        <w:jc w:val="both"/>
        <w:rPr>
          <w:b/>
          <w:u w:val="single"/>
        </w:rPr>
      </w:pPr>
    </w:p>
    <w:p w14:paraId="15417022" w14:textId="77777777" w:rsidR="00675F02" w:rsidRDefault="00675F02" w:rsidP="00675F02">
      <w:pPr>
        <w:jc w:val="both"/>
      </w:pPr>
      <w:r w:rsidRPr="00F43468">
        <w:rPr>
          <w:b/>
        </w:rPr>
        <w:t xml:space="preserve">V.1.) </w:t>
      </w:r>
      <w:r w:rsidRPr="00F43468">
        <w:t>Az Önkormányzat kijelenti, hogy az Ingóságokkal</w:t>
      </w:r>
      <w:r w:rsidRPr="00F43468">
        <w:rPr>
          <w:b/>
        </w:rPr>
        <w:t xml:space="preserve"> </w:t>
      </w:r>
      <w:r w:rsidRPr="00F43468">
        <w:t>kapcsolatos információkat beszerezte, ellenőrizte és nem hagyatkozott kizárólag az MNV Zrt. és a Vagyonkezelő állításaira, azok állapotát ismeri, jelen megállapodás aláírására az Ingóságok állapotának</w:t>
      </w:r>
      <w:r w:rsidRPr="00F43468">
        <w:rPr>
          <w:b/>
        </w:rPr>
        <w:t xml:space="preserve"> </w:t>
      </w:r>
      <w:r w:rsidRPr="00F43468">
        <w:t>ismeretében kerül sor</w:t>
      </w:r>
      <w:r>
        <w:t>.</w:t>
      </w:r>
    </w:p>
    <w:p w14:paraId="0A779827" w14:textId="77777777" w:rsidR="00675F02" w:rsidRDefault="00675F02" w:rsidP="00675F02">
      <w:pPr>
        <w:jc w:val="both"/>
      </w:pPr>
    </w:p>
    <w:p w14:paraId="2914D4CE" w14:textId="77777777" w:rsidR="00675F02" w:rsidRPr="00F43468" w:rsidRDefault="00675F02" w:rsidP="00675F02">
      <w:pPr>
        <w:jc w:val="both"/>
      </w:pPr>
      <w:r w:rsidRPr="00F43468">
        <w:rPr>
          <w:b/>
        </w:rPr>
        <w:t>V.2.)</w:t>
      </w:r>
      <w:r w:rsidRPr="00F43468">
        <w:t xml:space="preserve"> Az Önkormányzat vállalja, hogy az Ingóságok vonatkozásában a Magyar Állammal, az MNV Zrt.-vel és Vagyonkezelővel szemben semmilyen követelést nem támaszt. </w:t>
      </w:r>
    </w:p>
    <w:p w14:paraId="1F34A500" w14:textId="77777777" w:rsidR="00675F02" w:rsidRPr="00F43468" w:rsidRDefault="00675F02" w:rsidP="00675F02">
      <w:pPr>
        <w:jc w:val="both"/>
      </w:pPr>
    </w:p>
    <w:p w14:paraId="41AAB363" w14:textId="77777777" w:rsidR="00675F02" w:rsidRPr="00F43468" w:rsidRDefault="00675F02" w:rsidP="00675F02">
      <w:pPr>
        <w:jc w:val="both"/>
      </w:pPr>
      <w:r w:rsidRPr="00F43468">
        <w:rPr>
          <w:b/>
        </w:rPr>
        <w:t>V.</w:t>
      </w:r>
      <w:r>
        <w:rPr>
          <w:b/>
        </w:rPr>
        <w:t>3</w:t>
      </w:r>
      <w:r w:rsidRPr="00F43468">
        <w:rPr>
          <w:b/>
        </w:rPr>
        <w:t>.)</w:t>
      </w:r>
      <w:r w:rsidRPr="00F43468">
        <w:t xml:space="preserve"> Amennyiben az Önkormányzat az Ingóságok Hasznosítási Célhoz kötött használatára vonatkozó kötelezettségeinek részben vagy egészben nem tesz eleget, köteles a jogsértő állapotot megszüntetni. A jogsértő állapot megszüntetésére szabott határidő elmulasztása esetén köteles a kötelezettségszegéssel érintett vagyontárgy </w:t>
      </w:r>
      <w:r w:rsidRPr="00653809">
        <w:t>könyv szerinti értékének</w:t>
      </w:r>
      <w:r w:rsidRPr="00F43468">
        <w:t>, a kötelezettség megsértésének napjától számított, a mindenkori jegybanki alapkamattal növelt összegét az MNV Zrt. részére az erre vonatkozó felszólítás kézhezvételétől számított 60 napon belül nemtel</w:t>
      </w:r>
      <w:r>
        <w:t>jesítési kötbérként megfizetni.</w:t>
      </w:r>
    </w:p>
    <w:p w14:paraId="4CB0B441" w14:textId="77777777" w:rsidR="00675F02" w:rsidRPr="00F43468" w:rsidRDefault="00675F02" w:rsidP="00675F02">
      <w:pPr>
        <w:jc w:val="both"/>
      </w:pPr>
    </w:p>
    <w:p w14:paraId="320012E8" w14:textId="77777777" w:rsidR="00675F02" w:rsidRPr="00F43468" w:rsidRDefault="00675F02" w:rsidP="00675F02">
      <w:pPr>
        <w:jc w:val="both"/>
      </w:pPr>
      <w:r w:rsidRPr="00F43468">
        <w:rPr>
          <w:b/>
        </w:rPr>
        <w:t>V.</w:t>
      </w:r>
      <w:r>
        <w:rPr>
          <w:b/>
        </w:rPr>
        <w:t>4</w:t>
      </w:r>
      <w:r w:rsidRPr="00F43468">
        <w:rPr>
          <w:b/>
        </w:rPr>
        <w:t>.)</w:t>
      </w:r>
      <w:r w:rsidRPr="00F43468">
        <w:t xml:space="preserve"> Felek rögzítik, hogy amennyiben az Ingóságok szabályszerű, a vonatkozó jogszabályokban foglaltaknak megfelelő selejtezésére kerül sor, az Önkormányzat Hasznosítási </w:t>
      </w:r>
      <w:r w:rsidRPr="00F43468">
        <w:lastRenderedPageBreak/>
        <w:t>Céllal megegyező további hasznosítási kötelezettsége megszűnik. Erről az Önkormányzat köteles a jelen Megállapodás V.</w:t>
      </w:r>
      <w:r>
        <w:t>5</w:t>
      </w:r>
      <w:r w:rsidRPr="00F43468">
        <w:t>. pontjában rögzítettek szerint beszámolni.</w:t>
      </w:r>
    </w:p>
    <w:p w14:paraId="47E21A55" w14:textId="77777777" w:rsidR="00675F02" w:rsidRPr="00F43468" w:rsidRDefault="00675F02" w:rsidP="00675F02">
      <w:pPr>
        <w:jc w:val="both"/>
      </w:pPr>
    </w:p>
    <w:p w14:paraId="481916BB" w14:textId="77777777" w:rsidR="00675F02" w:rsidRPr="00F43468" w:rsidRDefault="00675F02" w:rsidP="00675F02">
      <w:pPr>
        <w:jc w:val="both"/>
      </w:pPr>
      <w:r w:rsidRPr="00F43468">
        <w:rPr>
          <w:b/>
        </w:rPr>
        <w:t>V.</w:t>
      </w:r>
      <w:r>
        <w:rPr>
          <w:b/>
        </w:rPr>
        <w:t>5</w:t>
      </w:r>
      <w:r w:rsidRPr="00F43468">
        <w:rPr>
          <w:b/>
        </w:rPr>
        <w:t>.)</w:t>
      </w:r>
      <w:r w:rsidRPr="00F43468">
        <w:t xml:space="preserve"> Az Önkormányzat vállalja, hogy a jelen Megállapodásban előírt kötelezettségei teljesítéséről (az ingóságok Hasznosítási Célnak megfelelő használatáról és a selejtezésről), figyelemmel az Nvt. 13. § (4) bekezdés b) pontjában és a jelen Megállapodás V.4. pontjában foglaltakra – első alkalommal a megállapodás létrejövetelét követő évben – a kötelezettség fennállásának ideje alatt, minden év december 31. napjáig írásban tájékozatja az MNV Zrt-t.</w:t>
      </w:r>
    </w:p>
    <w:p w14:paraId="0589D456" w14:textId="77777777" w:rsidR="00675F02" w:rsidRPr="00F43468" w:rsidRDefault="00675F02" w:rsidP="00675F02">
      <w:pPr>
        <w:jc w:val="both"/>
      </w:pPr>
    </w:p>
    <w:p w14:paraId="13A396E6" w14:textId="77777777" w:rsidR="00675F02" w:rsidRPr="00F43468" w:rsidRDefault="00675F02" w:rsidP="00675F02">
      <w:pPr>
        <w:jc w:val="both"/>
      </w:pPr>
      <w:r w:rsidRPr="00F43468">
        <w:rPr>
          <w:b/>
        </w:rPr>
        <w:t>V.</w:t>
      </w:r>
      <w:r>
        <w:rPr>
          <w:b/>
        </w:rPr>
        <w:t>6</w:t>
      </w:r>
      <w:r w:rsidRPr="00F43468">
        <w:rPr>
          <w:b/>
        </w:rPr>
        <w:t>.)</w:t>
      </w:r>
      <w:r w:rsidRPr="00F43468">
        <w:t xml:space="preserve"> Amennyiben az Önkormányzat a jelen Megállapodás szerinti beszámolási kötelezettségének határidőben nem tesz eleget, úgy a jelen Megállapodás tárgyát képező valamennyi ingóság Megállapodásban rögzített együttes </w:t>
      </w:r>
      <w:r>
        <w:t>könyv szerinti</w:t>
      </w:r>
      <w:r w:rsidRPr="00F43468">
        <w:t xml:space="preserve"> értékének 1 százalékát – külön felhívás nélkül is - köteles a késedelembe esés napját követően haladéktalanul, az MNV Zrt. részére, mint késedelemi kötbért megfizetni. A késedelmi kötbér megfizetése a beszámolási kötelezettség teljesítése alól nem mentesít. </w:t>
      </w:r>
    </w:p>
    <w:p w14:paraId="05E0BD1D" w14:textId="77777777" w:rsidR="00675F02" w:rsidRPr="00F43468" w:rsidRDefault="00675F02" w:rsidP="00675F02">
      <w:pPr>
        <w:jc w:val="both"/>
      </w:pPr>
    </w:p>
    <w:p w14:paraId="19C3C6EC" w14:textId="77777777" w:rsidR="00675F02" w:rsidRPr="00F43468" w:rsidRDefault="00675F02" w:rsidP="00675F02">
      <w:pPr>
        <w:jc w:val="both"/>
      </w:pPr>
      <w:r w:rsidRPr="00F43468">
        <w:rPr>
          <w:b/>
        </w:rPr>
        <w:t>V.</w:t>
      </w:r>
      <w:r>
        <w:rPr>
          <w:b/>
        </w:rPr>
        <w:t>7</w:t>
      </w:r>
      <w:r w:rsidRPr="00F43468">
        <w:rPr>
          <w:b/>
        </w:rPr>
        <w:t xml:space="preserve">.) </w:t>
      </w:r>
      <w:r w:rsidRPr="00F43468">
        <w:t>Az Önkormányzat tudomásul veszi, hogy a jelen megállapodásban vállalt kötelezettségei teljesítését az MNV Zrt. ellenőrizheti. Az ellenőrzés során az MNV Zrt. vagy az általa az ellenőrzés lefolytatása érdekében megbízott személy (szervezet) jogosult – többek között – az Ingóságok hasznosítását helyszíni szemle keretében ellenőrizni, és a felhasználással kapcsolatos valamennyi iratba, adathordozón tárolt adatba – a jogszabályokban meghatározott adat-és titokvédelmi előírások betartásával – betekinteni valamint az Önkormányzattól felvilágosítást, tájékoztatást, nyilatkozatot kérni.</w:t>
      </w:r>
    </w:p>
    <w:p w14:paraId="06B306DB" w14:textId="77777777" w:rsidR="00675F02" w:rsidRPr="00F43468" w:rsidRDefault="00675F02" w:rsidP="00675F02">
      <w:pPr>
        <w:jc w:val="both"/>
      </w:pPr>
    </w:p>
    <w:p w14:paraId="1D1ABF1A" w14:textId="77777777" w:rsidR="00675F02" w:rsidRPr="00F43468" w:rsidRDefault="00675F02" w:rsidP="00675F02">
      <w:pPr>
        <w:pStyle w:val="Szvegtrzs"/>
        <w:widowControl w:val="0"/>
        <w:numPr>
          <w:ilvl w:val="0"/>
          <w:numId w:val="2"/>
        </w:numPr>
        <w:overflowPunct w:val="0"/>
        <w:autoSpaceDE w:val="0"/>
        <w:autoSpaceDN w:val="0"/>
        <w:adjustRightInd w:val="0"/>
        <w:spacing w:after="0"/>
        <w:ind w:right="50"/>
        <w:jc w:val="both"/>
        <w:rPr>
          <w:b/>
          <w:u w:val="single"/>
        </w:rPr>
      </w:pPr>
      <w:r w:rsidRPr="00F43468">
        <w:rPr>
          <w:b/>
          <w:u w:val="single"/>
        </w:rPr>
        <w:t xml:space="preserve"> Egyebek</w:t>
      </w:r>
    </w:p>
    <w:p w14:paraId="2621FD1F" w14:textId="77777777" w:rsidR="00675F02" w:rsidRDefault="00675F02" w:rsidP="00675F02">
      <w:pPr>
        <w:jc w:val="both"/>
        <w:rPr>
          <w:b/>
        </w:rPr>
      </w:pPr>
    </w:p>
    <w:p w14:paraId="00F85C57" w14:textId="77777777" w:rsidR="00675F02" w:rsidRPr="00F43468" w:rsidRDefault="00675F02" w:rsidP="00675F02">
      <w:pPr>
        <w:jc w:val="both"/>
      </w:pPr>
      <w:r w:rsidRPr="00F43468">
        <w:rPr>
          <w:b/>
        </w:rPr>
        <w:t>VI.1.)</w:t>
      </w:r>
      <w:r w:rsidRPr="00F43468">
        <w:t xml:space="preserve"> Az Önkormányzat a birtokátruházás időpontjától kezdve szedi az Ingóságok hasznait, valamint viseli annak terheit és az esetleges károkat.</w:t>
      </w:r>
    </w:p>
    <w:p w14:paraId="52FB336C" w14:textId="77777777" w:rsidR="00675F02" w:rsidRPr="00F43468" w:rsidRDefault="00675F02" w:rsidP="00675F02">
      <w:pPr>
        <w:jc w:val="both"/>
      </w:pPr>
    </w:p>
    <w:p w14:paraId="09F08A75" w14:textId="77777777" w:rsidR="00675F02" w:rsidRPr="00F43468" w:rsidRDefault="00675F02" w:rsidP="00675F02">
      <w:pPr>
        <w:jc w:val="both"/>
      </w:pPr>
      <w:r w:rsidRPr="00F43468">
        <w:rPr>
          <w:b/>
        </w:rPr>
        <w:t>VI.2.)</w:t>
      </w:r>
      <w:r w:rsidRPr="00F43468">
        <w:t xml:space="preserve"> Felek egybehangzóan kijelentik, hogy jelen megállapodás aláírásához szükséges</w:t>
      </w:r>
      <w:r>
        <w:t xml:space="preserve"> felhatalmazással rendelkeznek.</w:t>
      </w:r>
    </w:p>
    <w:p w14:paraId="6BFC6FBC" w14:textId="77777777" w:rsidR="00675F02" w:rsidRPr="00F43468" w:rsidRDefault="00675F02" w:rsidP="00675F02">
      <w:pPr>
        <w:jc w:val="both"/>
      </w:pPr>
    </w:p>
    <w:p w14:paraId="4E577934" w14:textId="77777777" w:rsidR="00675F02" w:rsidRPr="00F43468" w:rsidRDefault="00675F02" w:rsidP="00675F02">
      <w:pPr>
        <w:jc w:val="both"/>
      </w:pPr>
      <w:r w:rsidRPr="00F43468">
        <w:rPr>
          <w:b/>
        </w:rPr>
        <w:t>VI.3.)</w:t>
      </w:r>
      <w:r w:rsidRPr="00F43468">
        <w:t xml:space="preserve"> Felek rögzítik, hogy</w:t>
      </w:r>
      <w:r w:rsidRPr="00F43468">
        <w:rPr>
          <w:b/>
        </w:rPr>
        <w:t xml:space="preserve"> </w:t>
      </w:r>
      <w:r w:rsidRPr="00F43468">
        <w:t>az MNV Zrt. és az Önkormányzat az illetékekről szóló 1990. évi XCIII. törvény 5. § (1) bekezdésének a-c) pontjai alapján az Ingóságok tulajdonjogának átruházásával kapcsolatosan illetékmentességet élveznek. Az Ingóságok tulajdonjogának jelen megállapodás alapján történő átruházása általános forgalmi adó fizetési kötelezettséget nem keletkeztet.</w:t>
      </w:r>
    </w:p>
    <w:p w14:paraId="0CD1AE1D" w14:textId="77777777" w:rsidR="00675F02" w:rsidRPr="00F43468" w:rsidRDefault="00675F02" w:rsidP="00675F02">
      <w:pPr>
        <w:jc w:val="both"/>
      </w:pPr>
    </w:p>
    <w:p w14:paraId="6311496D" w14:textId="77777777" w:rsidR="00675F02" w:rsidRPr="00F43468" w:rsidRDefault="00675F02" w:rsidP="00675F02">
      <w:pPr>
        <w:numPr>
          <w:ilvl w:val="0"/>
          <w:numId w:val="2"/>
        </w:numPr>
        <w:jc w:val="both"/>
        <w:rPr>
          <w:b/>
          <w:u w:val="single"/>
        </w:rPr>
      </w:pPr>
      <w:r w:rsidRPr="00F43468">
        <w:rPr>
          <w:b/>
          <w:u w:val="single"/>
        </w:rPr>
        <w:t>Jogviták rendezése</w:t>
      </w:r>
    </w:p>
    <w:p w14:paraId="293AD1F6" w14:textId="77777777" w:rsidR="00675F02" w:rsidRPr="00F43468" w:rsidRDefault="00675F02" w:rsidP="00675F02">
      <w:pPr>
        <w:jc w:val="both"/>
        <w:rPr>
          <w:b/>
          <w:u w:val="single"/>
        </w:rPr>
      </w:pPr>
    </w:p>
    <w:p w14:paraId="50958B67" w14:textId="77777777" w:rsidR="00675F02" w:rsidRPr="00F43468" w:rsidRDefault="00675F02" w:rsidP="00675F02">
      <w:pPr>
        <w:jc w:val="both"/>
      </w:pPr>
      <w:r w:rsidRPr="00F43468">
        <w:rPr>
          <w:b/>
          <w:bCs/>
        </w:rPr>
        <w:t>VII.1.)</w:t>
      </w:r>
      <w:r w:rsidRPr="00F43468">
        <w:t xml:space="preserve"> </w:t>
      </w:r>
      <w:r w:rsidRPr="00F43468">
        <w:rPr>
          <w:bCs/>
        </w:rPr>
        <w:t>Felek</w:t>
      </w:r>
      <w:r w:rsidRPr="00F43468">
        <w:t xml:space="preserve"> megállapodnak abban, hogy a jelen megállapodással kapcsolatos esetleges vitáikat elsősorban tárgyalás útján igyekeznek rendezni. Ennek eredménytelensége esetében az általános szabályok szerint illetékes és hatáskörrel rendelkező rendes bírós</w:t>
      </w:r>
      <w:r>
        <w:t>ághoz fordulnak jogorvoslatért.</w:t>
      </w:r>
    </w:p>
    <w:p w14:paraId="1411E1BC" w14:textId="77777777" w:rsidR="00675F02" w:rsidRPr="00F43468" w:rsidRDefault="00675F02" w:rsidP="00675F02">
      <w:pPr>
        <w:jc w:val="both"/>
      </w:pPr>
    </w:p>
    <w:p w14:paraId="0D0DB1AE" w14:textId="77777777" w:rsidR="00675F02" w:rsidRPr="00F43468" w:rsidRDefault="00675F02" w:rsidP="00675F02">
      <w:pPr>
        <w:jc w:val="both"/>
      </w:pPr>
      <w:r w:rsidRPr="00F43468">
        <w:rPr>
          <w:b/>
        </w:rPr>
        <w:t>VII.2.)</w:t>
      </w:r>
      <w:r w:rsidRPr="00F43468">
        <w:t xml:space="preserve"> Felek megállapodnak abban, hogy a jelen megállapodásban nem szabályozott kérdésekben az Nvt, a Vtv., a Vhr., </w:t>
      </w:r>
      <w:r>
        <w:t>a Ptk.</w:t>
      </w:r>
      <w:r w:rsidRPr="00F43468">
        <w:t>, az Mötv. és az egyéb vonatkozó jogszabályok rendelkezései irányadóak.</w:t>
      </w:r>
    </w:p>
    <w:p w14:paraId="61662585" w14:textId="77777777" w:rsidR="00675F02" w:rsidRPr="00F43468" w:rsidRDefault="00675F02" w:rsidP="00675F02">
      <w:pPr>
        <w:jc w:val="both"/>
      </w:pPr>
    </w:p>
    <w:p w14:paraId="26BA39D5" w14:textId="77777777" w:rsidR="00675F02" w:rsidRPr="00F43468" w:rsidRDefault="00675F02" w:rsidP="00675F02">
      <w:pPr>
        <w:numPr>
          <w:ilvl w:val="0"/>
          <w:numId w:val="2"/>
        </w:numPr>
        <w:jc w:val="both"/>
        <w:rPr>
          <w:b/>
          <w:u w:val="single"/>
        </w:rPr>
      </w:pPr>
      <w:r w:rsidRPr="00F43468">
        <w:rPr>
          <w:b/>
          <w:u w:val="single"/>
        </w:rPr>
        <w:t>A megállapodás létrejövetele</w:t>
      </w:r>
    </w:p>
    <w:p w14:paraId="5149640A" w14:textId="77777777" w:rsidR="00675F02" w:rsidRPr="00F43468" w:rsidRDefault="00675F02" w:rsidP="00675F02">
      <w:pPr>
        <w:jc w:val="both"/>
        <w:rPr>
          <w:b/>
          <w:u w:val="single"/>
        </w:rPr>
      </w:pPr>
    </w:p>
    <w:p w14:paraId="078FAE4D" w14:textId="77777777" w:rsidR="00675F02" w:rsidRPr="00F43468" w:rsidRDefault="00675F02" w:rsidP="00675F02">
      <w:pPr>
        <w:jc w:val="both"/>
      </w:pPr>
      <w:r w:rsidRPr="00F43468">
        <w:rPr>
          <w:b/>
        </w:rPr>
        <w:t xml:space="preserve">VIII.1.) </w:t>
      </w:r>
      <w:r w:rsidRPr="00F43468">
        <w:t>Jelen megállapodást Felek annak áttanulmányozása és értelmezése után, mint akaratukkal mindenben megegyezőt írták alá. Kijelentik továbbá, hogy jelen megállapodás annak aláírása napján jön létre. Ha az aláírások nem ugyanazon napon történnek, a létrejövetel időpontja a legutolsó aláírás napja.</w:t>
      </w:r>
    </w:p>
    <w:p w14:paraId="2E1E6B35" w14:textId="77777777" w:rsidR="00675F02" w:rsidRPr="00F43468" w:rsidRDefault="00675F02" w:rsidP="00675F02">
      <w:pPr>
        <w:jc w:val="both"/>
        <w:rPr>
          <w:b/>
        </w:rPr>
      </w:pPr>
    </w:p>
    <w:p w14:paraId="6003A2AC" w14:textId="77777777" w:rsidR="00675F02" w:rsidRPr="00F43468" w:rsidRDefault="00675F02" w:rsidP="00675F02">
      <w:pPr>
        <w:jc w:val="both"/>
      </w:pPr>
      <w:r w:rsidRPr="00F43468">
        <w:rPr>
          <w:b/>
        </w:rPr>
        <w:t>VIII.2.)</w:t>
      </w:r>
      <w:r w:rsidRPr="00F43468">
        <w:t xml:space="preserve"> Jelen megállapodás 5 eredeti példányban készült, és 5 számozott oldalból, valamint 2 elválaszthatatlan mellékletből áll. A megállapodásból 2 példány az MNV Zrt.-t, 2 példány az Önkormányzatot és 1 példány a Vagyonkezelőt illeti meg.</w:t>
      </w:r>
    </w:p>
    <w:p w14:paraId="06849933" w14:textId="77777777" w:rsidR="00675F02" w:rsidRPr="00F43468" w:rsidRDefault="00675F02" w:rsidP="00675F02">
      <w:pPr>
        <w:jc w:val="both"/>
      </w:pPr>
    </w:p>
    <w:p w14:paraId="27F5DE8B" w14:textId="77777777" w:rsidR="00675F02" w:rsidRPr="00F43468" w:rsidRDefault="00675F02" w:rsidP="00675F02">
      <w:pPr>
        <w:tabs>
          <w:tab w:val="left" w:pos="4860"/>
        </w:tabs>
        <w:outlineLvl w:val="0"/>
      </w:pPr>
      <w:r>
        <w:t>Budapest, 2018. év ………. hó……napján</w:t>
      </w:r>
      <w:r>
        <w:tab/>
        <w:t>……….., 2018</w:t>
      </w:r>
      <w:r w:rsidRPr="00F43468">
        <w:t>. év……… hó ……napján</w:t>
      </w:r>
    </w:p>
    <w:p w14:paraId="1E6749FF" w14:textId="77777777" w:rsidR="00675F02" w:rsidRDefault="00675F02" w:rsidP="00675F02"/>
    <w:p w14:paraId="4FAB5441" w14:textId="77777777" w:rsidR="00051F37" w:rsidRDefault="00051F37" w:rsidP="00675F02"/>
    <w:p w14:paraId="7ACC306E" w14:textId="77777777" w:rsidR="00051F37" w:rsidRPr="00F43468" w:rsidRDefault="00051F37" w:rsidP="00675F02"/>
    <w:tbl>
      <w:tblPr>
        <w:tblW w:w="0" w:type="auto"/>
        <w:tblInd w:w="38" w:type="dxa"/>
        <w:tblLook w:val="01E0" w:firstRow="1" w:lastRow="1" w:firstColumn="1" w:lastColumn="1" w:noHBand="0" w:noVBand="0"/>
      </w:tblPr>
      <w:tblGrid>
        <w:gridCol w:w="2293"/>
        <w:gridCol w:w="2242"/>
        <w:gridCol w:w="4499"/>
      </w:tblGrid>
      <w:tr w:rsidR="00675F02" w:rsidRPr="00D32965" w14:paraId="38AD89DC" w14:textId="77777777" w:rsidTr="00527F53">
        <w:tc>
          <w:tcPr>
            <w:tcW w:w="4606" w:type="dxa"/>
            <w:gridSpan w:val="2"/>
            <w:shd w:val="clear" w:color="auto" w:fill="auto"/>
          </w:tcPr>
          <w:p w14:paraId="7B8E8AC2" w14:textId="77777777" w:rsidR="00675F02" w:rsidRPr="00F43468" w:rsidRDefault="00675F02" w:rsidP="00527F53">
            <w:pPr>
              <w:tabs>
                <w:tab w:val="center" w:pos="1800"/>
                <w:tab w:val="center" w:pos="6840"/>
              </w:tabs>
              <w:jc w:val="center"/>
              <w:rPr>
                <w:b/>
              </w:rPr>
            </w:pPr>
            <w:r w:rsidRPr="00F43468">
              <w:rPr>
                <w:b/>
              </w:rPr>
              <w:t xml:space="preserve">Magyar Nemzeti Vagyonkezelő Zrt. </w:t>
            </w:r>
          </w:p>
          <w:p w14:paraId="266E2D7D" w14:textId="77777777" w:rsidR="00675F02" w:rsidRPr="00F43468" w:rsidRDefault="00675F02" w:rsidP="00527F53">
            <w:pPr>
              <w:tabs>
                <w:tab w:val="center" w:pos="1800"/>
                <w:tab w:val="center" w:pos="6840"/>
              </w:tabs>
              <w:jc w:val="center"/>
            </w:pPr>
            <w:r w:rsidRPr="00F43468">
              <w:rPr>
                <w:b/>
              </w:rPr>
              <w:t>részéről:</w:t>
            </w:r>
          </w:p>
        </w:tc>
        <w:tc>
          <w:tcPr>
            <w:tcW w:w="4606" w:type="dxa"/>
            <w:shd w:val="clear" w:color="auto" w:fill="auto"/>
          </w:tcPr>
          <w:p w14:paraId="6BD3D55F" w14:textId="77777777" w:rsidR="00675F02" w:rsidRPr="00F43468" w:rsidRDefault="00675F02" w:rsidP="00527F53">
            <w:pPr>
              <w:tabs>
                <w:tab w:val="center" w:pos="1800"/>
                <w:tab w:val="center" w:pos="6840"/>
              </w:tabs>
              <w:jc w:val="center"/>
            </w:pPr>
            <w:r w:rsidRPr="00F43468">
              <w:rPr>
                <w:b/>
              </w:rPr>
              <w:t>…………..Önkormányzata részéről:</w:t>
            </w:r>
          </w:p>
        </w:tc>
      </w:tr>
      <w:tr w:rsidR="00675F02" w:rsidRPr="00D32965" w14:paraId="192B1660" w14:textId="77777777" w:rsidTr="00527F53">
        <w:tc>
          <w:tcPr>
            <w:tcW w:w="4606" w:type="dxa"/>
            <w:gridSpan w:val="2"/>
            <w:shd w:val="clear" w:color="auto" w:fill="auto"/>
          </w:tcPr>
          <w:p w14:paraId="748E8992" w14:textId="77777777" w:rsidR="00675F02" w:rsidRPr="00F43468" w:rsidRDefault="00675F02" w:rsidP="00527F53">
            <w:pPr>
              <w:tabs>
                <w:tab w:val="center" w:pos="1800"/>
                <w:tab w:val="center" w:pos="6840"/>
              </w:tabs>
            </w:pPr>
          </w:p>
        </w:tc>
        <w:tc>
          <w:tcPr>
            <w:tcW w:w="4606" w:type="dxa"/>
            <w:shd w:val="clear" w:color="auto" w:fill="auto"/>
          </w:tcPr>
          <w:p w14:paraId="1B409F47" w14:textId="77777777" w:rsidR="00675F02" w:rsidRPr="00F43468" w:rsidRDefault="00675F02" w:rsidP="00527F53">
            <w:pPr>
              <w:tabs>
                <w:tab w:val="center" w:pos="1800"/>
                <w:tab w:val="center" w:pos="6840"/>
              </w:tabs>
              <w:jc w:val="center"/>
            </w:pPr>
          </w:p>
        </w:tc>
      </w:tr>
      <w:tr w:rsidR="00675F02" w:rsidRPr="00D32965" w14:paraId="37E95C68" w14:textId="77777777" w:rsidTr="00527F53">
        <w:trPr>
          <w:trHeight w:val="153"/>
        </w:trPr>
        <w:tc>
          <w:tcPr>
            <w:tcW w:w="4606" w:type="dxa"/>
            <w:gridSpan w:val="2"/>
            <w:shd w:val="clear" w:color="auto" w:fill="auto"/>
          </w:tcPr>
          <w:p w14:paraId="25062177" w14:textId="77777777" w:rsidR="00675F02" w:rsidRPr="00F43468" w:rsidRDefault="00675F02" w:rsidP="00527F53">
            <w:pPr>
              <w:tabs>
                <w:tab w:val="center" w:pos="1800"/>
                <w:tab w:val="center" w:pos="6840"/>
              </w:tabs>
              <w:jc w:val="center"/>
            </w:pPr>
            <w:r w:rsidRPr="00F43468">
              <w:t>…………………………………….</w:t>
            </w:r>
          </w:p>
        </w:tc>
        <w:tc>
          <w:tcPr>
            <w:tcW w:w="4606" w:type="dxa"/>
            <w:shd w:val="clear" w:color="auto" w:fill="auto"/>
          </w:tcPr>
          <w:p w14:paraId="773E9BBB" w14:textId="77777777" w:rsidR="00675F02" w:rsidRPr="00F43468" w:rsidRDefault="00675F02" w:rsidP="00527F53">
            <w:pPr>
              <w:tabs>
                <w:tab w:val="center" w:pos="1800"/>
                <w:tab w:val="center" w:pos="6840"/>
              </w:tabs>
              <w:jc w:val="center"/>
            </w:pPr>
            <w:r w:rsidRPr="00F43468">
              <w:t>……………………………….</w:t>
            </w:r>
          </w:p>
        </w:tc>
      </w:tr>
      <w:tr w:rsidR="00675F02" w:rsidRPr="00D32965" w14:paraId="27E58024" w14:textId="77777777" w:rsidTr="00527F53">
        <w:tc>
          <w:tcPr>
            <w:tcW w:w="2303" w:type="dxa"/>
            <w:shd w:val="clear" w:color="auto" w:fill="auto"/>
          </w:tcPr>
          <w:p w14:paraId="0E8AC4D8" w14:textId="77777777" w:rsidR="00675F02" w:rsidRPr="00F43468" w:rsidRDefault="00675F02" w:rsidP="00527F53">
            <w:pPr>
              <w:tabs>
                <w:tab w:val="center" w:pos="1800"/>
                <w:tab w:val="center" w:pos="6840"/>
              </w:tabs>
              <w:jc w:val="center"/>
              <w:rPr>
                <w:b/>
              </w:rPr>
            </w:pPr>
            <w:r>
              <w:rPr>
                <w:b/>
              </w:rPr>
              <w:t>…</w:t>
            </w:r>
          </w:p>
        </w:tc>
        <w:tc>
          <w:tcPr>
            <w:tcW w:w="2303" w:type="dxa"/>
            <w:shd w:val="clear" w:color="auto" w:fill="auto"/>
          </w:tcPr>
          <w:p w14:paraId="7CAE5BBF" w14:textId="77777777" w:rsidR="00675F02" w:rsidRPr="00F43468" w:rsidRDefault="00675F02" w:rsidP="00527F53">
            <w:pPr>
              <w:tabs>
                <w:tab w:val="center" w:pos="1800"/>
                <w:tab w:val="center" w:pos="6840"/>
              </w:tabs>
              <w:jc w:val="center"/>
              <w:rPr>
                <w:b/>
              </w:rPr>
            </w:pPr>
            <w:r>
              <w:rPr>
                <w:b/>
              </w:rPr>
              <w:t>…</w:t>
            </w:r>
          </w:p>
        </w:tc>
        <w:tc>
          <w:tcPr>
            <w:tcW w:w="4606" w:type="dxa"/>
            <w:shd w:val="clear" w:color="auto" w:fill="auto"/>
          </w:tcPr>
          <w:p w14:paraId="4802A0F4" w14:textId="77777777" w:rsidR="00675F02" w:rsidRPr="00F43468" w:rsidRDefault="00675F02" w:rsidP="00527F53">
            <w:pPr>
              <w:tabs>
                <w:tab w:val="center" w:pos="1800"/>
                <w:tab w:val="center" w:pos="6840"/>
              </w:tabs>
              <w:jc w:val="center"/>
              <w:rPr>
                <w:b/>
              </w:rPr>
            </w:pPr>
            <w:r w:rsidRPr="00F43468">
              <w:rPr>
                <w:b/>
              </w:rPr>
              <w:t>……………………</w:t>
            </w:r>
          </w:p>
        </w:tc>
      </w:tr>
      <w:tr w:rsidR="00675F02" w:rsidRPr="00D32965" w14:paraId="0F9DC133" w14:textId="77777777" w:rsidTr="00527F53">
        <w:tc>
          <w:tcPr>
            <w:tcW w:w="2303" w:type="dxa"/>
            <w:shd w:val="clear" w:color="auto" w:fill="auto"/>
          </w:tcPr>
          <w:p w14:paraId="2A71B434" w14:textId="77777777" w:rsidR="00675F02" w:rsidRPr="00F43468" w:rsidRDefault="00675F02" w:rsidP="00527F53">
            <w:pPr>
              <w:tabs>
                <w:tab w:val="center" w:pos="1800"/>
                <w:tab w:val="center" w:pos="6840"/>
              </w:tabs>
              <w:jc w:val="center"/>
            </w:pPr>
            <w:r>
              <w:t>….</w:t>
            </w:r>
          </w:p>
        </w:tc>
        <w:tc>
          <w:tcPr>
            <w:tcW w:w="2303" w:type="dxa"/>
            <w:shd w:val="clear" w:color="auto" w:fill="auto"/>
          </w:tcPr>
          <w:p w14:paraId="671B0189" w14:textId="77777777" w:rsidR="00675F02" w:rsidRPr="00F43468" w:rsidRDefault="00675F02" w:rsidP="00527F53">
            <w:pPr>
              <w:tabs>
                <w:tab w:val="center" w:pos="1800"/>
                <w:tab w:val="center" w:pos="6840"/>
              </w:tabs>
              <w:jc w:val="center"/>
            </w:pPr>
            <w:r>
              <w:t>….</w:t>
            </w:r>
          </w:p>
        </w:tc>
        <w:tc>
          <w:tcPr>
            <w:tcW w:w="4606" w:type="dxa"/>
            <w:shd w:val="clear" w:color="auto" w:fill="auto"/>
          </w:tcPr>
          <w:p w14:paraId="1216CC06" w14:textId="77777777" w:rsidR="00675F02" w:rsidRPr="00F43468" w:rsidRDefault="00675F02" w:rsidP="00527F53">
            <w:pPr>
              <w:tabs>
                <w:tab w:val="center" w:pos="1800"/>
                <w:tab w:val="center" w:pos="6840"/>
              </w:tabs>
              <w:jc w:val="center"/>
            </w:pPr>
            <w:r w:rsidRPr="00F43468">
              <w:t>polgármester</w:t>
            </w:r>
          </w:p>
        </w:tc>
      </w:tr>
      <w:tr w:rsidR="00675F02" w:rsidRPr="00D32965" w14:paraId="6F8D471B" w14:textId="77777777" w:rsidTr="00527F53">
        <w:tc>
          <w:tcPr>
            <w:tcW w:w="4606" w:type="dxa"/>
            <w:gridSpan w:val="2"/>
            <w:shd w:val="clear" w:color="auto" w:fill="auto"/>
          </w:tcPr>
          <w:p w14:paraId="32096BCA" w14:textId="77777777" w:rsidR="00675F02" w:rsidRPr="00F43468" w:rsidRDefault="00675F02" w:rsidP="00527F53">
            <w:pPr>
              <w:tabs>
                <w:tab w:val="center" w:pos="1800"/>
                <w:tab w:val="center" w:pos="6840"/>
              </w:tabs>
              <w:jc w:val="center"/>
            </w:pPr>
            <w:r w:rsidRPr="00F43468">
              <w:t>Tulajdonba adó</w:t>
            </w:r>
          </w:p>
        </w:tc>
        <w:tc>
          <w:tcPr>
            <w:tcW w:w="4606" w:type="dxa"/>
            <w:shd w:val="clear" w:color="auto" w:fill="auto"/>
          </w:tcPr>
          <w:p w14:paraId="2E78E8F2" w14:textId="77777777" w:rsidR="00675F02" w:rsidRPr="00F43468" w:rsidRDefault="00675F02" w:rsidP="00527F53">
            <w:pPr>
              <w:tabs>
                <w:tab w:val="center" w:pos="1800"/>
                <w:tab w:val="center" w:pos="6840"/>
              </w:tabs>
              <w:jc w:val="center"/>
            </w:pPr>
            <w:r w:rsidRPr="00F43468">
              <w:t>Tulajdonba vevő</w:t>
            </w:r>
          </w:p>
        </w:tc>
      </w:tr>
    </w:tbl>
    <w:p w14:paraId="19EDC3AF" w14:textId="77777777" w:rsidR="00675F02" w:rsidRPr="00F43468" w:rsidRDefault="00675F02" w:rsidP="00675F02"/>
    <w:p w14:paraId="5178C134" w14:textId="77777777" w:rsidR="00675F02" w:rsidRDefault="00675F02" w:rsidP="00675F02">
      <w:pPr>
        <w:ind w:firstLine="708"/>
      </w:pPr>
    </w:p>
    <w:p w14:paraId="2098BD50" w14:textId="77777777" w:rsidR="00675F02" w:rsidRDefault="00675F02" w:rsidP="00675F02">
      <w:pPr>
        <w:ind w:firstLine="708"/>
      </w:pPr>
    </w:p>
    <w:p w14:paraId="1EA35C3D" w14:textId="77777777" w:rsidR="00675F02" w:rsidRDefault="00675F02" w:rsidP="00675F02">
      <w:pPr>
        <w:ind w:firstLine="708"/>
      </w:pPr>
    </w:p>
    <w:p w14:paraId="7C165025" w14:textId="77777777" w:rsidR="00675F02" w:rsidRPr="00F43468" w:rsidRDefault="00675F02" w:rsidP="00675F02">
      <w:pPr>
        <w:ind w:left="1416" w:firstLine="708"/>
      </w:pPr>
      <w:r>
        <w:t>Budapest, 2018</w:t>
      </w:r>
      <w:r w:rsidRPr="00F43468">
        <w:t>.év ………</w:t>
      </w:r>
      <w:r>
        <w:t>..hó…………napján</w:t>
      </w:r>
    </w:p>
    <w:p w14:paraId="7F0DA049" w14:textId="77777777" w:rsidR="00675F02" w:rsidRPr="00F43468" w:rsidRDefault="00675F02" w:rsidP="00675F02"/>
    <w:tbl>
      <w:tblPr>
        <w:tblW w:w="0" w:type="auto"/>
        <w:jc w:val="center"/>
        <w:tblLook w:val="01E0" w:firstRow="1" w:lastRow="1" w:firstColumn="1" w:lastColumn="1" w:noHBand="0" w:noVBand="0"/>
      </w:tblPr>
      <w:tblGrid>
        <w:gridCol w:w="5531"/>
      </w:tblGrid>
      <w:tr w:rsidR="00675F02" w:rsidRPr="00D32965" w14:paraId="67B770B3" w14:textId="77777777" w:rsidTr="00527F53">
        <w:trPr>
          <w:jc w:val="center"/>
        </w:trPr>
        <w:tc>
          <w:tcPr>
            <w:tcW w:w="5165" w:type="dxa"/>
            <w:shd w:val="clear" w:color="auto" w:fill="auto"/>
          </w:tcPr>
          <w:p w14:paraId="48CB12AB" w14:textId="77777777" w:rsidR="00675F02" w:rsidRDefault="00675F02" w:rsidP="00527F53"/>
          <w:tbl>
            <w:tblPr>
              <w:tblW w:w="5315" w:type="dxa"/>
              <w:jc w:val="center"/>
              <w:tblLook w:val="01E0" w:firstRow="1" w:lastRow="1" w:firstColumn="1" w:lastColumn="1" w:noHBand="0" w:noVBand="0"/>
            </w:tblPr>
            <w:tblGrid>
              <w:gridCol w:w="2657"/>
              <w:gridCol w:w="2658"/>
            </w:tblGrid>
            <w:tr w:rsidR="00675F02" w:rsidRPr="00CB6F5C" w14:paraId="3D199488" w14:textId="77777777" w:rsidTr="00527F53">
              <w:trPr>
                <w:trHeight w:val="647"/>
                <w:jc w:val="center"/>
              </w:trPr>
              <w:tc>
                <w:tcPr>
                  <w:tcW w:w="5315" w:type="dxa"/>
                  <w:gridSpan w:val="2"/>
                  <w:shd w:val="clear" w:color="auto" w:fill="auto"/>
                </w:tcPr>
                <w:p w14:paraId="31981798" w14:textId="77777777" w:rsidR="00675F02" w:rsidRPr="00753CE3" w:rsidRDefault="00675F02" w:rsidP="00527F53">
                  <w:pPr>
                    <w:jc w:val="center"/>
                    <w:rPr>
                      <w:rFonts w:cs="Times New Roman"/>
                      <w:b/>
                    </w:rPr>
                  </w:pPr>
                  <w:r w:rsidRPr="00753CE3">
                    <w:rPr>
                      <w:rFonts w:cs="Times New Roman"/>
                      <w:b/>
                    </w:rPr>
                    <w:t>Vagyonkezelő részéről:</w:t>
                  </w:r>
                </w:p>
                <w:p w14:paraId="32CDE428" w14:textId="77777777" w:rsidR="00675F02" w:rsidRPr="00CB6F5C" w:rsidRDefault="00675F02" w:rsidP="00527F53">
                  <w:pPr>
                    <w:jc w:val="center"/>
                    <w:rPr>
                      <w:rFonts w:cs="Times New Roman"/>
                    </w:rPr>
                  </w:pPr>
                </w:p>
                <w:p w14:paraId="1FB6A661" w14:textId="77777777" w:rsidR="00675F02" w:rsidRPr="00CB6F5C" w:rsidRDefault="00675F02" w:rsidP="00527F53">
                  <w:pPr>
                    <w:jc w:val="center"/>
                    <w:rPr>
                      <w:rFonts w:cs="Times New Roman"/>
                    </w:rPr>
                  </w:pPr>
                </w:p>
              </w:tc>
            </w:tr>
            <w:tr w:rsidR="00675F02" w:rsidRPr="00CB6F5C" w14:paraId="29DCC13C" w14:textId="77777777" w:rsidTr="00527F53">
              <w:trPr>
                <w:trHeight w:val="337"/>
                <w:jc w:val="center"/>
              </w:trPr>
              <w:tc>
                <w:tcPr>
                  <w:tcW w:w="5315" w:type="dxa"/>
                  <w:gridSpan w:val="2"/>
                  <w:shd w:val="clear" w:color="auto" w:fill="auto"/>
                </w:tcPr>
                <w:p w14:paraId="1963EF37" w14:textId="77777777" w:rsidR="00675F02" w:rsidRPr="00CB6F5C" w:rsidRDefault="00675F02" w:rsidP="00527F53">
                  <w:pPr>
                    <w:jc w:val="center"/>
                    <w:rPr>
                      <w:rFonts w:cs="Times New Roman"/>
                    </w:rPr>
                  </w:pPr>
                  <w:r w:rsidRPr="00CB6F5C">
                    <w:rPr>
                      <w:rFonts w:cs="Times New Roman"/>
                    </w:rPr>
                    <w:t>………………………………</w:t>
                  </w:r>
                  <w:r>
                    <w:rPr>
                      <w:rFonts w:cs="Times New Roman"/>
                    </w:rPr>
                    <w:t>…………</w:t>
                  </w:r>
                </w:p>
              </w:tc>
            </w:tr>
            <w:tr w:rsidR="00675F02" w:rsidRPr="00CB6F5C" w14:paraId="7B96012A" w14:textId="77777777" w:rsidTr="00527F53">
              <w:trPr>
                <w:trHeight w:val="278"/>
                <w:jc w:val="center"/>
              </w:trPr>
              <w:tc>
                <w:tcPr>
                  <w:tcW w:w="2657" w:type="dxa"/>
                  <w:shd w:val="clear" w:color="auto" w:fill="auto"/>
                </w:tcPr>
                <w:p w14:paraId="14EDF3BD" w14:textId="77777777" w:rsidR="00675F02" w:rsidRPr="00CB6F5C" w:rsidRDefault="00675F02" w:rsidP="00527F53">
                  <w:pPr>
                    <w:jc w:val="center"/>
                    <w:rPr>
                      <w:rFonts w:cs="Times New Roman"/>
                    </w:rPr>
                  </w:pPr>
                </w:p>
              </w:tc>
              <w:tc>
                <w:tcPr>
                  <w:tcW w:w="2658" w:type="dxa"/>
                  <w:shd w:val="clear" w:color="auto" w:fill="auto"/>
                </w:tcPr>
                <w:p w14:paraId="07AC6471" w14:textId="77777777" w:rsidR="00675F02" w:rsidRPr="00CB6F5C" w:rsidRDefault="00675F02" w:rsidP="00527F53">
                  <w:pPr>
                    <w:jc w:val="center"/>
                    <w:rPr>
                      <w:rFonts w:cs="Times New Roman"/>
                    </w:rPr>
                  </w:pPr>
                </w:p>
              </w:tc>
            </w:tr>
            <w:tr w:rsidR="00675F02" w:rsidRPr="00CB6F5C" w14:paraId="424E0108" w14:textId="77777777" w:rsidTr="00527F53">
              <w:trPr>
                <w:trHeight w:val="278"/>
                <w:jc w:val="center"/>
              </w:trPr>
              <w:tc>
                <w:tcPr>
                  <w:tcW w:w="2657" w:type="dxa"/>
                  <w:shd w:val="clear" w:color="auto" w:fill="auto"/>
                </w:tcPr>
                <w:p w14:paraId="44B7985A" w14:textId="77777777" w:rsidR="00675F02" w:rsidRPr="00CB6F5C" w:rsidRDefault="00675F02" w:rsidP="00527F53">
                  <w:pPr>
                    <w:jc w:val="center"/>
                    <w:rPr>
                      <w:rFonts w:cs="Times New Roman"/>
                    </w:rPr>
                  </w:pPr>
                </w:p>
              </w:tc>
              <w:tc>
                <w:tcPr>
                  <w:tcW w:w="2658" w:type="dxa"/>
                  <w:shd w:val="clear" w:color="auto" w:fill="auto"/>
                </w:tcPr>
                <w:p w14:paraId="525C8458" w14:textId="77777777" w:rsidR="00675F02" w:rsidRPr="00CB6F5C" w:rsidRDefault="00675F02" w:rsidP="00527F53">
                  <w:pPr>
                    <w:jc w:val="center"/>
                    <w:rPr>
                      <w:rFonts w:cs="Times New Roman"/>
                    </w:rPr>
                  </w:pPr>
                </w:p>
              </w:tc>
            </w:tr>
          </w:tbl>
          <w:p w14:paraId="458A5A4F" w14:textId="77777777" w:rsidR="00675F02" w:rsidRPr="00F43468" w:rsidRDefault="00675F02" w:rsidP="00527F53"/>
        </w:tc>
      </w:tr>
    </w:tbl>
    <w:p w14:paraId="036B615E" w14:textId="77777777" w:rsidR="00675F02" w:rsidRDefault="00675F02" w:rsidP="00675F02">
      <w:pPr>
        <w:rPr>
          <w:u w:val="single"/>
        </w:rPr>
      </w:pPr>
    </w:p>
    <w:p w14:paraId="4982FA8F" w14:textId="77777777" w:rsidR="00675F02" w:rsidRDefault="00675F02" w:rsidP="00675F02">
      <w:pPr>
        <w:rPr>
          <w:u w:val="single"/>
        </w:rPr>
      </w:pPr>
    </w:p>
    <w:p w14:paraId="40D32E9E" w14:textId="77777777" w:rsidR="00675F02" w:rsidRDefault="00675F02" w:rsidP="00675F02">
      <w:pPr>
        <w:rPr>
          <w:u w:val="single"/>
        </w:rPr>
      </w:pPr>
    </w:p>
    <w:p w14:paraId="00B0481B" w14:textId="77777777" w:rsidR="00675F02" w:rsidRPr="00F43468" w:rsidRDefault="00675F02" w:rsidP="00675F02">
      <w:pPr>
        <w:rPr>
          <w:u w:val="single"/>
        </w:rPr>
      </w:pPr>
    </w:p>
    <w:p w14:paraId="05CAEC15" w14:textId="77777777" w:rsidR="00675F02" w:rsidRPr="00F43468" w:rsidRDefault="00675F02" w:rsidP="00675F02">
      <w:pPr>
        <w:rPr>
          <w:u w:val="single"/>
        </w:rPr>
      </w:pPr>
      <w:r w:rsidRPr="00F43468">
        <w:rPr>
          <w:u w:val="single"/>
        </w:rPr>
        <w:t>Melléklet</w:t>
      </w:r>
      <w:r>
        <w:rPr>
          <w:u w:val="single"/>
        </w:rPr>
        <w:t xml:space="preserve">ek </w:t>
      </w:r>
      <w:r w:rsidRPr="00890503">
        <w:t>(az aláírandó szerződéshez kerül becsatolásra):</w:t>
      </w:r>
    </w:p>
    <w:p w14:paraId="54CFA4EA" w14:textId="77777777" w:rsidR="00675F02" w:rsidRPr="00F43468" w:rsidRDefault="00675F02" w:rsidP="00675F02">
      <w:pPr>
        <w:numPr>
          <w:ilvl w:val="0"/>
          <w:numId w:val="1"/>
        </w:numPr>
        <w:tabs>
          <w:tab w:val="clear" w:pos="720"/>
          <w:tab w:val="num" w:pos="284"/>
        </w:tabs>
        <w:ind w:hanging="720"/>
      </w:pPr>
      <w:r w:rsidRPr="00F43468">
        <w:t>sz. melléklet: a … sz. Képviselő-testületi határozat másolata</w:t>
      </w:r>
    </w:p>
    <w:p w14:paraId="3CF68EB1" w14:textId="77777777" w:rsidR="00D11F84" w:rsidRDefault="00675F02" w:rsidP="00675F02">
      <w:r w:rsidRPr="00F43468">
        <w:t>sz. melléklet: kimutatás a megállap</w:t>
      </w:r>
      <w:r>
        <w:t>odás tárgyát k</w:t>
      </w:r>
    </w:p>
    <w:sectPr w:rsidR="00D11F8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A9071" w14:textId="77777777" w:rsidR="00051F37" w:rsidRDefault="00051F37" w:rsidP="00051F37">
      <w:r>
        <w:separator/>
      </w:r>
    </w:p>
  </w:endnote>
  <w:endnote w:type="continuationSeparator" w:id="0">
    <w:p w14:paraId="137F9E49" w14:textId="77777777" w:rsidR="00051F37" w:rsidRDefault="00051F37" w:rsidP="0005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963479"/>
      <w:docPartObj>
        <w:docPartGallery w:val="Page Numbers (Bottom of Page)"/>
        <w:docPartUnique/>
      </w:docPartObj>
    </w:sdtPr>
    <w:sdtContent>
      <w:p w14:paraId="2CE04AC2" w14:textId="3A5733C3" w:rsidR="009D32B3" w:rsidRDefault="009D32B3">
        <w:pPr>
          <w:pStyle w:val="llb"/>
          <w:jc w:val="center"/>
        </w:pPr>
        <w:r>
          <w:fldChar w:fldCharType="begin"/>
        </w:r>
        <w:r>
          <w:instrText>PAGE   \* MERGEFORMAT</w:instrText>
        </w:r>
        <w:r>
          <w:fldChar w:fldCharType="separate"/>
        </w:r>
        <w:r>
          <w:rPr>
            <w:noProof/>
          </w:rPr>
          <w:t>5</w:t>
        </w:r>
        <w:r>
          <w:fldChar w:fldCharType="end"/>
        </w:r>
      </w:p>
    </w:sdtContent>
  </w:sdt>
  <w:p w14:paraId="0EC9DFF1" w14:textId="77777777" w:rsidR="009D32B3" w:rsidRDefault="009D32B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45D9B" w14:textId="77777777" w:rsidR="00051F37" w:rsidRDefault="00051F37" w:rsidP="00051F37">
      <w:r>
        <w:separator/>
      </w:r>
    </w:p>
  </w:footnote>
  <w:footnote w:type="continuationSeparator" w:id="0">
    <w:p w14:paraId="3B979B47" w14:textId="77777777" w:rsidR="00051F37" w:rsidRDefault="00051F37" w:rsidP="00051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6B777" w14:textId="5BE32800" w:rsidR="00051F37" w:rsidRDefault="00051F37" w:rsidP="00051F37">
    <w:pPr>
      <w:pStyle w:val="lfej"/>
      <w:jc w:val="right"/>
    </w:pPr>
    <w:r>
      <w:t>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743B1"/>
    <w:multiLevelType w:val="hybridMultilevel"/>
    <w:tmpl w:val="1EE24174"/>
    <w:lvl w:ilvl="0" w:tplc="7D7C7B8A">
      <w:start w:val="1"/>
      <w:numFmt w:val="upperRoman"/>
      <w:lvlText w:val="%1."/>
      <w:lvlJc w:val="left"/>
      <w:pPr>
        <w:tabs>
          <w:tab w:val="num" w:pos="510"/>
        </w:tabs>
        <w:ind w:left="510" w:hanging="51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50243DC6"/>
    <w:multiLevelType w:val="hybridMultilevel"/>
    <w:tmpl w:val="6802A30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02"/>
    <w:rsid w:val="00051F37"/>
    <w:rsid w:val="00667567"/>
    <w:rsid w:val="00675F02"/>
    <w:rsid w:val="009D32B3"/>
    <w:rsid w:val="00D11F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E702"/>
  <w15:docId w15:val="{DDDAF546-823B-43BF-9077-5AC9EB02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75F02"/>
    <w:pPr>
      <w:spacing w:after="0" w:line="240" w:lineRule="auto"/>
    </w:pPr>
    <w:rPr>
      <w:rFonts w:ascii="Times New Roman" w:hAnsi="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Body Text Char Char Char Char Char Char Char Char Char Char Char Char Char Char Char Char Char,Body Text Char Char Char Char Char Char Char Char Char Char Char Char Char Char Char Char Char Char Char Char Char Char Char"/>
    <w:basedOn w:val="Norml"/>
    <w:link w:val="SzvegtrzsChar"/>
    <w:rsid w:val="00675F02"/>
    <w:pPr>
      <w:spacing w:after="120"/>
    </w:pPr>
    <w:rPr>
      <w:rFonts w:eastAsia="Times New Roman" w:cs="Times New Roman"/>
    </w:rPr>
  </w:style>
  <w:style w:type="character" w:customStyle="1" w:styleId="SzvegtrzsChar">
    <w:name w:val="Szövegtörzs Char"/>
    <w:aliases w:val="Body Text Char Char Char Char Char Char Char Char Char Char Char Char Char Char Char Char Char Char,Body Text Char Char Char Char Char Char Char Char Char Char Char Char Char Char Char Char Char Char Char Char Char Char Char Char"/>
    <w:basedOn w:val="Bekezdsalapbettpusa"/>
    <w:link w:val="Szvegtrzs"/>
    <w:rsid w:val="00675F02"/>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675F02"/>
    <w:rPr>
      <w:sz w:val="16"/>
      <w:szCs w:val="16"/>
    </w:rPr>
  </w:style>
  <w:style w:type="paragraph" w:styleId="Jegyzetszveg">
    <w:name w:val="annotation text"/>
    <w:basedOn w:val="Norml"/>
    <w:link w:val="JegyzetszvegChar"/>
    <w:uiPriority w:val="99"/>
    <w:semiHidden/>
    <w:unhideWhenUsed/>
    <w:rsid w:val="00675F02"/>
    <w:rPr>
      <w:rFonts w:eastAsia="Times New Roman" w:cs="Times New Roman"/>
      <w:sz w:val="20"/>
      <w:szCs w:val="20"/>
    </w:rPr>
  </w:style>
  <w:style w:type="character" w:customStyle="1" w:styleId="JegyzetszvegChar">
    <w:name w:val="Jegyzetszöveg Char"/>
    <w:basedOn w:val="Bekezdsalapbettpusa"/>
    <w:link w:val="Jegyzetszveg"/>
    <w:uiPriority w:val="99"/>
    <w:semiHidden/>
    <w:rsid w:val="00675F02"/>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675F02"/>
    <w:rPr>
      <w:rFonts w:ascii="Tahoma" w:hAnsi="Tahoma" w:cs="Tahoma"/>
      <w:sz w:val="16"/>
      <w:szCs w:val="16"/>
    </w:rPr>
  </w:style>
  <w:style w:type="character" w:customStyle="1" w:styleId="BuborkszvegChar">
    <w:name w:val="Buborékszöveg Char"/>
    <w:basedOn w:val="Bekezdsalapbettpusa"/>
    <w:link w:val="Buborkszveg"/>
    <w:uiPriority w:val="99"/>
    <w:semiHidden/>
    <w:rsid w:val="00675F02"/>
    <w:rPr>
      <w:rFonts w:ascii="Tahoma" w:hAnsi="Tahoma" w:cs="Tahoma"/>
      <w:sz w:val="16"/>
      <w:szCs w:val="16"/>
      <w:lang w:eastAsia="hu-HU"/>
    </w:rPr>
  </w:style>
  <w:style w:type="paragraph" w:styleId="lfej">
    <w:name w:val="header"/>
    <w:basedOn w:val="Norml"/>
    <w:link w:val="lfejChar"/>
    <w:uiPriority w:val="99"/>
    <w:unhideWhenUsed/>
    <w:rsid w:val="00051F37"/>
    <w:pPr>
      <w:tabs>
        <w:tab w:val="center" w:pos="4536"/>
        <w:tab w:val="right" w:pos="9072"/>
      </w:tabs>
    </w:pPr>
  </w:style>
  <w:style w:type="character" w:customStyle="1" w:styleId="lfejChar">
    <w:name w:val="Élőfej Char"/>
    <w:basedOn w:val="Bekezdsalapbettpusa"/>
    <w:link w:val="lfej"/>
    <w:uiPriority w:val="99"/>
    <w:rsid w:val="00051F37"/>
    <w:rPr>
      <w:rFonts w:ascii="Times New Roman" w:hAnsi="Times New Roman"/>
      <w:sz w:val="24"/>
      <w:szCs w:val="24"/>
      <w:lang w:eastAsia="hu-HU"/>
    </w:rPr>
  </w:style>
  <w:style w:type="paragraph" w:styleId="llb">
    <w:name w:val="footer"/>
    <w:basedOn w:val="Norml"/>
    <w:link w:val="llbChar"/>
    <w:uiPriority w:val="99"/>
    <w:unhideWhenUsed/>
    <w:rsid w:val="00051F37"/>
    <w:pPr>
      <w:tabs>
        <w:tab w:val="center" w:pos="4536"/>
        <w:tab w:val="right" w:pos="9072"/>
      </w:tabs>
    </w:pPr>
  </w:style>
  <w:style w:type="character" w:customStyle="1" w:styleId="llbChar">
    <w:name w:val="Élőláb Char"/>
    <w:basedOn w:val="Bekezdsalapbettpusa"/>
    <w:link w:val="llb"/>
    <w:uiPriority w:val="99"/>
    <w:rsid w:val="00051F37"/>
    <w:rPr>
      <w:rFonts w:ascii="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1613</Words>
  <Characters>11135</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Piszák Anikó</dc:creator>
  <cp:lastModifiedBy>Krizmanichné Magyari Klára</cp:lastModifiedBy>
  <cp:revision>4</cp:revision>
  <dcterms:created xsi:type="dcterms:W3CDTF">2018-04-18T15:27:00Z</dcterms:created>
  <dcterms:modified xsi:type="dcterms:W3CDTF">2018-04-18T15:29:00Z</dcterms:modified>
</cp:coreProperties>
</file>