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67" w:rsidRDefault="00826867" w:rsidP="00D54900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sz. melléklet</w:t>
      </w:r>
    </w:p>
    <w:p w:rsidR="00684ABE" w:rsidRDefault="00684ABE" w:rsidP="00684ABE">
      <w:pPr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Összegző táblázat a fenntartói megállapodásban foglalt feladatok teljesítéséről</w:t>
      </w:r>
    </w:p>
    <w:p w:rsidR="00684ABE" w:rsidRPr="00D54900" w:rsidRDefault="00684ABE" w:rsidP="00684ABE">
      <w:pPr>
        <w:ind w:left="708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51"/>
        <w:gridCol w:w="4893"/>
      </w:tblGrid>
      <w:tr w:rsidR="00777FA0" w:rsidTr="00777FA0">
        <w:tc>
          <w:tcPr>
            <w:tcW w:w="7151" w:type="dxa"/>
          </w:tcPr>
          <w:p w:rsidR="00777FA0" w:rsidRPr="00FC3D62" w:rsidRDefault="00777FA0" w:rsidP="00684A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Mesebolt Bábszínház</w:t>
            </w:r>
          </w:p>
        </w:tc>
        <w:tc>
          <w:tcPr>
            <w:tcW w:w="4893" w:type="dxa"/>
          </w:tcPr>
          <w:p w:rsidR="00777FA0" w:rsidRPr="00FC3D62" w:rsidRDefault="00777FA0" w:rsidP="00FC3D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teljesítés</w:t>
            </w:r>
            <w:r w:rsidR="00684ABE">
              <w:rPr>
                <w:rFonts w:ascii="Arial" w:hAnsi="Arial" w:cs="Arial"/>
                <w:b/>
                <w:sz w:val="24"/>
                <w:szCs w:val="24"/>
              </w:rPr>
              <w:t xml:space="preserve"> a beszámoló alapján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művészek szakmai fejlődésének biztosítása</w:t>
            </w:r>
          </w:p>
        </w:tc>
        <w:tc>
          <w:tcPr>
            <w:tcW w:w="4893" w:type="dxa"/>
          </w:tcPr>
          <w:p w:rsidR="00777FA0" w:rsidRPr="00826867" w:rsidRDefault="00777FA0">
            <w:r w:rsidRPr="00826867">
              <w:t>igen (2 díj)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műhelymunka feltételeinek megteremtése</w:t>
            </w:r>
          </w:p>
        </w:tc>
        <w:tc>
          <w:tcPr>
            <w:tcW w:w="4893" w:type="dxa"/>
          </w:tcPr>
          <w:p w:rsidR="00777FA0" w:rsidRPr="00826867" w:rsidRDefault="00777FA0" w:rsidP="00A358DA">
            <w:r w:rsidRPr="00826867"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évadonként legalább 4 bemutató</w:t>
            </w:r>
          </w:p>
        </w:tc>
        <w:tc>
          <w:tcPr>
            <w:tcW w:w="4893" w:type="dxa"/>
          </w:tcPr>
          <w:p w:rsidR="00777FA0" w:rsidRPr="00826867" w:rsidRDefault="00777FA0">
            <w:r w:rsidRPr="00826867">
              <w:t>igen (11+1 felújítás)</w:t>
            </w:r>
          </w:p>
        </w:tc>
      </w:tr>
      <w:tr w:rsidR="00777FA0" w:rsidRPr="00560221" w:rsidTr="00777FA0">
        <w:tc>
          <w:tcPr>
            <w:tcW w:w="7151" w:type="dxa"/>
          </w:tcPr>
          <w:p w:rsidR="00777FA0" w:rsidRPr="00560221" w:rsidRDefault="00777FA0">
            <w:r w:rsidRPr="00560221">
              <w:t>kortárs és klasszikus</w:t>
            </w:r>
            <w:r w:rsidR="00E55638" w:rsidRPr="00560221">
              <w:t xml:space="preserve"> magyar szerzők aránya 50% </w:t>
            </w:r>
          </w:p>
        </w:tc>
        <w:tc>
          <w:tcPr>
            <w:tcW w:w="4893" w:type="dxa"/>
          </w:tcPr>
          <w:p w:rsidR="00777FA0" w:rsidRPr="00560221" w:rsidRDefault="00560221">
            <w:r w:rsidRPr="00560221">
              <w:t>75%</w:t>
            </w:r>
          </w:p>
        </w:tc>
      </w:tr>
      <w:tr w:rsidR="00777FA0" w:rsidTr="00777FA0">
        <w:tc>
          <w:tcPr>
            <w:tcW w:w="7151" w:type="dxa"/>
          </w:tcPr>
          <w:p w:rsidR="00777FA0" w:rsidRPr="00560221" w:rsidRDefault="00777FA0" w:rsidP="00A358DA">
            <w:r w:rsidRPr="00560221">
              <w:t>1 felnőtt bemutató (egyeztetve a Weöres Sándor Színházzal)</w:t>
            </w:r>
          </w:p>
        </w:tc>
        <w:tc>
          <w:tcPr>
            <w:tcW w:w="4893" w:type="dxa"/>
          </w:tcPr>
          <w:p w:rsidR="00777FA0" w:rsidRDefault="001E5C86" w:rsidP="00684ABE">
            <w:r w:rsidRPr="00560221">
              <w:t xml:space="preserve">nem kötelezettség, csak lehetőség 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előadások (lehetőség szerint – teltházzal) évadonként 22</w:t>
            </w:r>
            <w:r w:rsidR="00560221">
              <w:t>0, ebből 80% Szombathelyen</w:t>
            </w:r>
          </w:p>
        </w:tc>
        <w:tc>
          <w:tcPr>
            <w:tcW w:w="4893" w:type="dxa"/>
          </w:tcPr>
          <w:p w:rsidR="00777FA0" w:rsidRDefault="00777FA0">
            <w:r>
              <w:t>igen (195+55+54=304)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35% kulturálisan kevésbé ellátott településen, 5%-ot határon túli magyarlakta területen (tájelőadások)</w:t>
            </w:r>
          </w:p>
        </w:tc>
        <w:tc>
          <w:tcPr>
            <w:tcW w:w="4893" w:type="dxa"/>
          </w:tcPr>
          <w:p w:rsidR="00777FA0" w:rsidRDefault="00777FA0" w:rsidP="00CC0D5C">
            <w:r>
              <w:t>tájelőadások összesen: 54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fizetőnéző-szám a nézőtéri befogadóképesség 75%-</w:t>
            </w:r>
            <w:proofErr w:type="gramStart"/>
            <w:r>
              <w:t>a</w:t>
            </w:r>
            <w:proofErr w:type="gramEnd"/>
          </w:p>
        </w:tc>
        <w:tc>
          <w:tcPr>
            <w:tcW w:w="4893" w:type="dxa"/>
          </w:tcPr>
          <w:p w:rsidR="00777FA0" w:rsidRDefault="00777FA0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proofErr w:type="spellStart"/>
            <w:r>
              <w:t>össz-nézőszám</w:t>
            </w:r>
            <w:proofErr w:type="spellEnd"/>
            <w:r>
              <w:t>: 25.000 fő</w:t>
            </w:r>
          </w:p>
        </w:tc>
        <w:tc>
          <w:tcPr>
            <w:tcW w:w="4893" w:type="dxa"/>
          </w:tcPr>
          <w:p w:rsidR="00777FA0" w:rsidRDefault="00684ABE">
            <w:r>
              <w:t>igen (32.266</w:t>
            </w:r>
            <w:r w:rsidR="00777FA0">
              <w:t>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fizetőnéző-szám: 20.000 fő</w:t>
            </w:r>
          </w:p>
        </w:tc>
        <w:tc>
          <w:tcPr>
            <w:tcW w:w="4893" w:type="dxa"/>
          </w:tcPr>
          <w:p w:rsidR="00777FA0" w:rsidRDefault="00777FA0">
            <w:r>
              <w:t>igen (27.112)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kiemelt minősítésű besorolás megőrzése</w:t>
            </w:r>
          </w:p>
        </w:tc>
        <w:tc>
          <w:tcPr>
            <w:tcW w:w="4893" w:type="dxa"/>
          </w:tcPr>
          <w:p w:rsidR="00777FA0" w:rsidRDefault="00777FA0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A358DA">
            <w:r>
              <w:t xml:space="preserve">a műfaj sokszínűségének megőrzése, újszerű bábos </w:t>
            </w:r>
            <w:proofErr w:type="gramStart"/>
            <w:r>
              <w:t>előadó-művészeti  technikák</w:t>
            </w:r>
            <w:proofErr w:type="gramEnd"/>
            <w:r>
              <w:t xml:space="preserve"> alkalmazása</w:t>
            </w:r>
          </w:p>
        </w:tc>
        <w:tc>
          <w:tcPr>
            <w:tcW w:w="4893" w:type="dxa"/>
          </w:tcPr>
          <w:p w:rsidR="00777FA0" w:rsidRDefault="00777FA0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közönségkapcsolatok erősítése</w:t>
            </w:r>
          </w:p>
        </w:tc>
        <w:tc>
          <w:tcPr>
            <w:tcW w:w="4893" w:type="dxa"/>
          </w:tcPr>
          <w:p w:rsidR="00777FA0" w:rsidRDefault="00777FA0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bábszínházi szakmai programok szervezése amatőr és hivatásos szakemberek, társulatok közreműködésével</w:t>
            </w:r>
          </w:p>
        </w:tc>
        <w:tc>
          <w:tcPr>
            <w:tcW w:w="4893" w:type="dxa"/>
          </w:tcPr>
          <w:p w:rsidR="00777FA0" w:rsidRDefault="00777FA0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Együttműködés a határon túli magyarság szervezeteivel, a város nemzetközi kapcsolataiban részt vesz</w:t>
            </w:r>
          </w:p>
        </w:tc>
        <w:tc>
          <w:tcPr>
            <w:tcW w:w="4893" w:type="dxa"/>
          </w:tcPr>
          <w:p w:rsidR="00777FA0" w:rsidRDefault="00777FA0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lehetőség szerint tevékenysége kiegészítése közművelődési programokkal</w:t>
            </w:r>
            <w:proofErr w:type="gramStart"/>
            <w:r>
              <w:t>,  intézményekkel</w:t>
            </w:r>
            <w:proofErr w:type="gramEnd"/>
            <w:r>
              <w:t>, művészekkel</w:t>
            </w:r>
          </w:p>
        </w:tc>
        <w:tc>
          <w:tcPr>
            <w:tcW w:w="4893" w:type="dxa"/>
          </w:tcPr>
          <w:p w:rsidR="00777FA0" w:rsidRDefault="00777FA0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 xml:space="preserve">tárgyévi adatszolgáltatás megküldése az </w:t>
            </w:r>
            <w:proofErr w:type="spellStart"/>
            <w:r>
              <w:t>Emtv.-ben</w:t>
            </w:r>
            <w:proofErr w:type="spellEnd"/>
            <w:r>
              <w:t xml:space="preserve"> megfogalmazottak szerint</w:t>
            </w:r>
          </w:p>
        </w:tc>
        <w:tc>
          <w:tcPr>
            <w:tcW w:w="4893" w:type="dxa"/>
          </w:tcPr>
          <w:p w:rsidR="00777FA0" w:rsidRDefault="00777FA0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 xml:space="preserve">írásos beszámoló a feladatok teljesítéséről az illetékes bizottság részére </w:t>
            </w:r>
          </w:p>
        </w:tc>
        <w:tc>
          <w:tcPr>
            <w:tcW w:w="4893" w:type="dxa"/>
          </w:tcPr>
          <w:p w:rsidR="00777FA0" w:rsidRDefault="00777FA0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a fenntartói megállapodás lejártát megelőzően záró beszámoló készítése a tényleges adatokkal</w:t>
            </w:r>
          </w:p>
        </w:tc>
        <w:tc>
          <w:tcPr>
            <w:tcW w:w="4893" w:type="dxa"/>
          </w:tcPr>
          <w:p w:rsidR="00777FA0" w:rsidRDefault="00777FA0">
            <w:r>
              <w:t xml:space="preserve">soron következő beszámoló határideje: </w:t>
            </w:r>
            <w:r>
              <w:rPr>
                <w:b/>
              </w:rPr>
              <w:t xml:space="preserve">2018. november </w:t>
            </w:r>
            <w:r w:rsidRPr="00E15027">
              <w:rPr>
                <w:b/>
              </w:rPr>
              <w:t>15.</w:t>
            </w:r>
            <w:r>
              <w:rPr>
                <w:b/>
              </w:rPr>
              <w:t xml:space="preserve"> napja</w:t>
            </w:r>
          </w:p>
        </w:tc>
      </w:tr>
    </w:tbl>
    <w:p w:rsidR="00826867" w:rsidRPr="00684ABE" w:rsidRDefault="00826867" w:rsidP="00684ABE">
      <w:pPr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51"/>
        <w:gridCol w:w="4893"/>
      </w:tblGrid>
      <w:tr w:rsidR="00777FA0" w:rsidTr="00777FA0">
        <w:tc>
          <w:tcPr>
            <w:tcW w:w="7151" w:type="dxa"/>
          </w:tcPr>
          <w:p w:rsidR="00777FA0" w:rsidRPr="00FC3D62" w:rsidRDefault="00777FA0" w:rsidP="00684A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3D62">
              <w:rPr>
                <w:rFonts w:ascii="Arial" w:hAnsi="Arial" w:cs="Arial"/>
                <w:b/>
                <w:sz w:val="24"/>
                <w:szCs w:val="24"/>
              </w:rPr>
              <w:t>A Weöres</w:t>
            </w:r>
            <w:r w:rsidR="00684ABE">
              <w:rPr>
                <w:rFonts w:ascii="Arial" w:hAnsi="Arial" w:cs="Arial"/>
                <w:b/>
                <w:sz w:val="24"/>
                <w:szCs w:val="24"/>
              </w:rPr>
              <w:t xml:space="preserve"> Sándor Színház Nonprofit Kft.</w:t>
            </w:r>
          </w:p>
        </w:tc>
        <w:tc>
          <w:tcPr>
            <w:tcW w:w="4893" w:type="dxa"/>
          </w:tcPr>
          <w:p w:rsidR="00777FA0" w:rsidRPr="00FC3D62" w:rsidRDefault="00777FA0" w:rsidP="00EC3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teljesítés</w:t>
            </w:r>
            <w:r w:rsidR="00684ABE">
              <w:rPr>
                <w:rFonts w:ascii="Arial" w:hAnsi="Arial" w:cs="Arial"/>
                <w:b/>
                <w:sz w:val="24"/>
                <w:szCs w:val="24"/>
              </w:rPr>
              <w:t xml:space="preserve"> a beszámoló alapján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legmagasabb szakmai minőségi követelmények</w:t>
            </w:r>
          </w:p>
        </w:tc>
        <w:tc>
          <w:tcPr>
            <w:tcW w:w="4893" w:type="dxa"/>
          </w:tcPr>
          <w:p w:rsidR="00777FA0" w:rsidRDefault="00777FA0" w:rsidP="00EC3DBA">
            <w:proofErr w:type="gramStart"/>
            <w:r>
              <w:t>igen  (</w:t>
            </w:r>
            <w:proofErr w:type="gramEnd"/>
            <w:r>
              <w:t>4 díj, 5 előadás vendégjátékon)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művészek szakmai fejlődésének biztosítása</w:t>
            </w:r>
          </w:p>
        </w:tc>
        <w:tc>
          <w:tcPr>
            <w:tcW w:w="4893" w:type="dxa"/>
          </w:tcPr>
          <w:p w:rsidR="00777FA0" w:rsidRDefault="00777FA0" w:rsidP="00EC3DBA">
            <w:r>
              <w:t>igen (pl. társulati tagok saját előadásainak (3) létrehozása, bemutatása + 2 díj)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műhelymunka feltételeinek megteremtése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felnőtt és ifjúsági korosztály számára szóló előadások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évadonként legalább 7 új bemutató</w:t>
            </w:r>
          </w:p>
        </w:tc>
        <w:tc>
          <w:tcPr>
            <w:tcW w:w="4893" w:type="dxa"/>
          </w:tcPr>
          <w:p w:rsidR="00777FA0" w:rsidRDefault="00777FA0" w:rsidP="00EC3DBA">
            <w:r>
              <w:t>igen (10)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az új bemutatók közül min. 1 kortárs magyar és 1 klasszikus magyar szerző műve</w:t>
            </w:r>
          </w:p>
        </w:tc>
        <w:tc>
          <w:tcPr>
            <w:tcW w:w="4893" w:type="dxa"/>
          </w:tcPr>
          <w:p w:rsidR="00777FA0" w:rsidRDefault="00777FA0" w:rsidP="00EC3DBA">
            <w:r>
              <w:t>igen (4 kortárs, 1 klasszikus magyar)</w:t>
            </w:r>
          </w:p>
        </w:tc>
      </w:tr>
      <w:tr w:rsidR="00777FA0" w:rsidTr="00560221">
        <w:tc>
          <w:tcPr>
            <w:tcW w:w="7151" w:type="dxa"/>
            <w:shd w:val="clear" w:color="auto" w:fill="auto"/>
          </w:tcPr>
          <w:p w:rsidR="00777FA0" w:rsidRPr="00560221" w:rsidRDefault="00777FA0" w:rsidP="00EC3DBA">
            <w:r w:rsidRPr="00560221">
              <w:t>évadonként legfeljebb 2 bemutató a gyermekközönség számára</w:t>
            </w:r>
          </w:p>
        </w:tc>
        <w:tc>
          <w:tcPr>
            <w:tcW w:w="4893" w:type="dxa"/>
            <w:shd w:val="clear" w:color="auto" w:fill="auto"/>
          </w:tcPr>
          <w:p w:rsidR="00777FA0" w:rsidRDefault="00777FA0" w:rsidP="00EC3DBA">
            <w:r w:rsidRPr="00560221">
              <w:t>nem</w:t>
            </w:r>
            <w:r w:rsidR="001E5C86" w:rsidRPr="00560221">
              <w:t xml:space="preserve"> kötelezettség, csak lehetőség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évadonként legalább 250 előadás, ebből 90% saját társulattal</w:t>
            </w:r>
          </w:p>
        </w:tc>
        <w:tc>
          <w:tcPr>
            <w:tcW w:w="4893" w:type="dxa"/>
          </w:tcPr>
          <w:p w:rsidR="00777FA0" w:rsidRDefault="00777FA0" w:rsidP="00EC3DBA">
            <w:r>
              <w:t>igen (342) saját társulattal: 92%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 xml:space="preserve">élő zenekaros, énekkaros előadások száma: 15 </w:t>
            </w:r>
          </w:p>
        </w:tc>
        <w:tc>
          <w:tcPr>
            <w:tcW w:w="4893" w:type="dxa"/>
          </w:tcPr>
          <w:p w:rsidR="00777FA0" w:rsidRDefault="00777FA0" w:rsidP="00EC3DBA">
            <w:r>
              <w:t>igen (62)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stúdió-előadások: 40</w:t>
            </w:r>
          </w:p>
        </w:tc>
        <w:tc>
          <w:tcPr>
            <w:tcW w:w="4893" w:type="dxa"/>
          </w:tcPr>
          <w:p w:rsidR="00777FA0" w:rsidRDefault="00777FA0" w:rsidP="00EC3DBA">
            <w:r>
              <w:t>igen (63)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lehetőség szerint évadonként 6 előadás városon kívül</w:t>
            </w:r>
          </w:p>
        </w:tc>
        <w:tc>
          <w:tcPr>
            <w:tcW w:w="4893" w:type="dxa"/>
          </w:tcPr>
          <w:p w:rsidR="00777FA0" w:rsidRDefault="00777FA0" w:rsidP="00EC3DBA">
            <w:r>
              <w:t>igen (7)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előadások – lehetőség szerint – teltházzal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fizetőnéző-szám a nézőtéri befogadóképesség 70%-</w:t>
            </w:r>
            <w:proofErr w:type="gramStart"/>
            <w:r>
              <w:t>a</w:t>
            </w:r>
            <w:proofErr w:type="gramEnd"/>
          </w:p>
        </w:tc>
        <w:tc>
          <w:tcPr>
            <w:tcW w:w="4893" w:type="dxa"/>
          </w:tcPr>
          <w:p w:rsidR="00777FA0" w:rsidRDefault="00777FA0" w:rsidP="00EC3DBA">
            <w:r>
              <w:t>igen (89%)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proofErr w:type="spellStart"/>
            <w:r>
              <w:t>össz-nézőszám</w:t>
            </w:r>
            <w:proofErr w:type="spellEnd"/>
            <w:r>
              <w:t>: 42.000 fő</w:t>
            </w:r>
          </w:p>
        </w:tc>
        <w:tc>
          <w:tcPr>
            <w:tcW w:w="4893" w:type="dxa"/>
          </w:tcPr>
          <w:p w:rsidR="00777FA0" w:rsidRDefault="00777FA0" w:rsidP="00EC3DBA">
            <w:r>
              <w:t>igen (megbecsülhető)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fizetőnéző-szám: 40.000 fő</w:t>
            </w:r>
          </w:p>
        </w:tc>
        <w:tc>
          <w:tcPr>
            <w:tcW w:w="4893" w:type="dxa"/>
          </w:tcPr>
          <w:p w:rsidR="00777FA0" w:rsidRDefault="00777FA0" w:rsidP="00EC3DBA">
            <w:r>
              <w:t>igen (62.333)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kiemelt minősítésű besorolás megőrzése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műfaji sokszínűség, újszerű színházi előadó-művészeti technikák alkalmazása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közönségkapcsolatok folyamatos erősítése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oktatási-nevelési intézményekkel való együttműködés</w:t>
            </w:r>
          </w:p>
        </w:tc>
        <w:tc>
          <w:tcPr>
            <w:tcW w:w="4893" w:type="dxa"/>
          </w:tcPr>
          <w:p w:rsidR="00777FA0" w:rsidRDefault="00777FA0" w:rsidP="00EC3DBA">
            <w:r>
              <w:t>igen (TÉR-ERP- Színházi nevelési programhét, ált. és középiskolák: A kút c. előadás)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Szombathely nemzetközi kapcsolataiban részt vesz, a város nemzetközi együttműködésének elősegítése</w:t>
            </w:r>
          </w:p>
        </w:tc>
        <w:tc>
          <w:tcPr>
            <w:tcW w:w="4893" w:type="dxa"/>
          </w:tcPr>
          <w:p w:rsidR="00777FA0" w:rsidRDefault="00777FA0" w:rsidP="00EC3DBA">
            <w:r>
              <w:t>igen (Az ETC tagja lett, illetve a Szombathelyre tervezett Nemzetközi Kortárs Drámafesztivál résztvevőinek kiválasztása és kapcsolatfelvétel)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részvétel a város kiemelt rendezvényein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 xml:space="preserve">tárgyévi adatszolgáltatás megküldése az </w:t>
            </w:r>
            <w:proofErr w:type="spellStart"/>
            <w:r>
              <w:t>Emtv.-ben</w:t>
            </w:r>
            <w:proofErr w:type="spellEnd"/>
            <w:r>
              <w:t xml:space="preserve"> megfogalmazottak szerint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írásos beszámoló a feladatok teljesítéséről az illetékes bizottság részére (4.7.)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a fenntartói megállapodás lejártát megelőzően záró beszámoló készítése a tényleges adatokkal</w:t>
            </w:r>
          </w:p>
        </w:tc>
        <w:tc>
          <w:tcPr>
            <w:tcW w:w="4893" w:type="dxa"/>
          </w:tcPr>
          <w:p w:rsidR="00777FA0" w:rsidRDefault="00777FA0" w:rsidP="00EC3DBA">
            <w:r>
              <w:t xml:space="preserve">soron következő beszámoló határideje: </w:t>
            </w:r>
            <w:r w:rsidRPr="00777FA0">
              <w:rPr>
                <w:b/>
              </w:rPr>
              <w:t>2018. november 15.</w:t>
            </w:r>
          </w:p>
        </w:tc>
      </w:tr>
    </w:tbl>
    <w:p w:rsidR="00826867" w:rsidRDefault="00826867" w:rsidP="00D54900">
      <w:pPr>
        <w:rPr>
          <w:rFonts w:ascii="Arial" w:hAnsi="Arial" w:cs="Arial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51"/>
        <w:gridCol w:w="4893"/>
      </w:tblGrid>
      <w:tr w:rsidR="00777FA0" w:rsidTr="00777FA0">
        <w:tc>
          <w:tcPr>
            <w:tcW w:w="7151" w:type="dxa"/>
          </w:tcPr>
          <w:p w:rsidR="00777FA0" w:rsidRPr="00FC3D62" w:rsidRDefault="00684ABE" w:rsidP="00684A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sz w:val="24"/>
                <w:szCs w:val="24"/>
              </w:rPr>
              <w:t>Savaria Szimfonikus Zenekar</w:t>
            </w:r>
            <w:bookmarkEnd w:id="0"/>
          </w:p>
        </w:tc>
        <w:tc>
          <w:tcPr>
            <w:tcW w:w="4893" w:type="dxa"/>
          </w:tcPr>
          <w:p w:rsidR="00777FA0" w:rsidRPr="00FC3D62" w:rsidRDefault="00777FA0" w:rsidP="00EC3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teljesítés</w:t>
            </w:r>
            <w:r w:rsidR="00684ABE">
              <w:rPr>
                <w:rFonts w:ascii="Arial" w:hAnsi="Arial" w:cs="Arial"/>
                <w:b/>
                <w:sz w:val="24"/>
                <w:szCs w:val="24"/>
              </w:rPr>
              <w:t xml:space="preserve"> a beszámoló alapján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művészek szakmai fejlődésének biztosítása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műhelymunka feltételeinek megteremtése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hangverseny legalább 50</w:t>
            </w:r>
          </w:p>
        </w:tc>
        <w:tc>
          <w:tcPr>
            <w:tcW w:w="4893" w:type="dxa"/>
          </w:tcPr>
          <w:p w:rsidR="00777FA0" w:rsidRDefault="00777FA0" w:rsidP="00EC3DBA">
            <w:r>
              <w:t>igen (59, de szervezőként, lebonyolítóként 113)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külföldi fellépések lehetőség szerint</w:t>
            </w:r>
          </w:p>
        </w:tc>
        <w:tc>
          <w:tcPr>
            <w:tcW w:w="4893" w:type="dxa"/>
          </w:tcPr>
          <w:p w:rsidR="00777FA0" w:rsidRDefault="00777FA0" w:rsidP="00EC3DBA">
            <w:r>
              <w:t>igen (7)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legalább 2 klasszikus zenekari mű bérletsorozatban, legalább 1 kortárs magyar zenemű ősbemutatója</w:t>
            </w:r>
          </w:p>
        </w:tc>
        <w:tc>
          <w:tcPr>
            <w:tcW w:w="4893" w:type="dxa"/>
          </w:tcPr>
          <w:p w:rsidR="00777FA0" w:rsidRDefault="00777FA0" w:rsidP="00EC3DBA">
            <w:proofErr w:type="gramStart"/>
            <w:r>
              <w:t xml:space="preserve">igen </w:t>
            </w:r>
            <w:r w:rsidRPr="00BD4208">
              <w:rPr>
                <w:b/>
              </w:rPr>
              <w:t xml:space="preserve"> </w:t>
            </w:r>
            <w:r w:rsidRPr="00BC1CD8">
              <w:t>(</w:t>
            </w:r>
            <w:proofErr w:type="gramEnd"/>
            <w:r>
              <w:t xml:space="preserve">klasszikus: </w:t>
            </w:r>
            <w:r w:rsidRPr="00BC1CD8">
              <w:t>6)</w:t>
            </w:r>
          </w:p>
          <w:p w:rsidR="00777FA0" w:rsidRPr="00BD4208" w:rsidRDefault="00684ABE" w:rsidP="00EC3DBA">
            <w:pPr>
              <w:rPr>
                <w:b/>
              </w:rPr>
            </w:pPr>
            <w:r>
              <w:t>(</w:t>
            </w:r>
            <w:r w:rsidR="000944A7">
              <w:t>2016/2017-es évadban: 4</w:t>
            </w:r>
            <w:r>
              <w:t>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ifjúsági hangversenyek legalább az évad hangversenyeinek 15%-</w:t>
            </w:r>
            <w:proofErr w:type="gramStart"/>
            <w:r>
              <w:t>a</w:t>
            </w:r>
            <w:proofErr w:type="gramEnd"/>
          </w:p>
        </w:tc>
        <w:tc>
          <w:tcPr>
            <w:tcW w:w="4893" w:type="dxa"/>
          </w:tcPr>
          <w:p w:rsidR="00777FA0" w:rsidRDefault="00652C6F" w:rsidP="00EC3DBA">
            <w:r>
              <w:t>igen (45)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évadonként legalább 5 koncert Szombathelyen kívül (Magyarországon)</w:t>
            </w:r>
          </w:p>
        </w:tc>
        <w:tc>
          <w:tcPr>
            <w:tcW w:w="4893" w:type="dxa"/>
          </w:tcPr>
          <w:p w:rsidR="00777FA0" w:rsidRDefault="00777FA0" w:rsidP="00EC3DBA">
            <w:r>
              <w:t>igen (47)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előadások – lehetőség szerint – teltházzal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fizetőnéző-szám a nézőtéri befogadóképesség 75%-</w:t>
            </w:r>
            <w:proofErr w:type="gramStart"/>
            <w:r>
              <w:t>a</w:t>
            </w:r>
            <w:proofErr w:type="gramEnd"/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proofErr w:type="spellStart"/>
            <w:r>
              <w:t>össz-nézőszám</w:t>
            </w:r>
            <w:proofErr w:type="spellEnd"/>
            <w:r>
              <w:t>: 30.000 fő</w:t>
            </w:r>
          </w:p>
        </w:tc>
        <w:tc>
          <w:tcPr>
            <w:tcW w:w="4893" w:type="dxa"/>
          </w:tcPr>
          <w:p w:rsidR="00777FA0" w:rsidRDefault="00777FA0" w:rsidP="00EC3DBA">
            <w:r>
              <w:t xml:space="preserve">igen (40.000) 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fizetőnéző-szám a nézőtéri befogadóképesség 75%-</w:t>
            </w:r>
            <w:proofErr w:type="gramStart"/>
            <w:r>
              <w:t>a</w:t>
            </w:r>
            <w:proofErr w:type="gramEnd"/>
          </w:p>
        </w:tc>
        <w:tc>
          <w:tcPr>
            <w:tcW w:w="4893" w:type="dxa"/>
          </w:tcPr>
          <w:p w:rsidR="00777FA0" w:rsidRDefault="00652C6F" w:rsidP="00EC3DBA">
            <w:r>
              <w:t>igen</w:t>
            </w:r>
            <w:r w:rsidR="00684ABE">
              <w:t xml:space="preserve"> (</w:t>
            </w:r>
            <w:r w:rsidR="00856FAB">
              <w:t>Bartók Terem+Agora+Iseum=23.000</w:t>
            </w:r>
            <w:r w:rsidR="00684ABE">
              <w:t>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fizetőnéző-szám: 22.000 fő</w:t>
            </w:r>
          </w:p>
        </w:tc>
        <w:tc>
          <w:tcPr>
            <w:tcW w:w="4893" w:type="dxa"/>
          </w:tcPr>
          <w:p w:rsidR="00777FA0" w:rsidRDefault="00856FAB" w:rsidP="00EC3DBA">
            <w:r>
              <w:t>27.000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nemzeti minősítésű besorolás megőrzése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műfaji sokszínűség, újszerű zenei technikák alkalmazása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Közszolgáltatási Szerződésben meghatározott zeneművészeti szakmai programok, feladatok teljesítése</w:t>
            </w:r>
          </w:p>
        </w:tc>
        <w:tc>
          <w:tcPr>
            <w:tcW w:w="4893" w:type="dxa"/>
          </w:tcPr>
          <w:p w:rsidR="00777FA0" w:rsidRDefault="00856FAB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Nemzetközi Bartók Szeminárium és Fesztivállal együttműködés, közreműködés, hely biztosítása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Együttműködés a határon túli magyarság szervezeteivel, a város nemzetközi kapcsolataiban részt vesz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lehetőség szerint tevékenysége kiegészítése közművelődési programokkal</w:t>
            </w:r>
            <w:proofErr w:type="gramStart"/>
            <w:r>
              <w:t>,  intézményekkel</w:t>
            </w:r>
            <w:proofErr w:type="gramEnd"/>
            <w:r>
              <w:t>, művészekkel)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 xml:space="preserve">tárgyévi adatszolgáltatás megküldése az </w:t>
            </w:r>
            <w:proofErr w:type="spellStart"/>
            <w:r>
              <w:t>Emtv.-ben</w:t>
            </w:r>
            <w:proofErr w:type="spellEnd"/>
            <w:r>
              <w:t xml:space="preserve"> megfogalmazottak szerint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 xml:space="preserve">írásos beszámoló a feladatok teljesítéséről az illetékes bizottság részére 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a fenntartói megállapodás lejártát megelőzően záró beszámoló készítése a tényleges adatokkal</w:t>
            </w:r>
          </w:p>
        </w:tc>
        <w:tc>
          <w:tcPr>
            <w:tcW w:w="4893" w:type="dxa"/>
          </w:tcPr>
          <w:p w:rsidR="00777FA0" w:rsidRDefault="00777FA0" w:rsidP="00EC3DBA">
            <w:r>
              <w:t xml:space="preserve">soron következő beszámoló határideje: </w:t>
            </w:r>
            <w:r w:rsidRPr="00777FA0">
              <w:rPr>
                <w:b/>
              </w:rPr>
              <w:t>2018. november 15. napja</w:t>
            </w:r>
          </w:p>
        </w:tc>
      </w:tr>
    </w:tbl>
    <w:p w:rsidR="00826867" w:rsidRPr="00826867" w:rsidRDefault="00826867" w:rsidP="00777FA0">
      <w:pPr>
        <w:rPr>
          <w:rFonts w:ascii="Arial" w:hAnsi="Arial" w:cs="Arial"/>
          <w:b/>
          <w:sz w:val="24"/>
          <w:szCs w:val="24"/>
        </w:rPr>
      </w:pPr>
    </w:p>
    <w:sectPr w:rsidR="00826867" w:rsidRPr="00826867" w:rsidSect="00FC3D6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867" w:rsidRDefault="00826867" w:rsidP="00826867">
      <w:pPr>
        <w:spacing w:after="0" w:line="240" w:lineRule="auto"/>
      </w:pPr>
      <w:r>
        <w:separator/>
      </w:r>
    </w:p>
  </w:endnote>
  <w:endnote w:type="continuationSeparator" w:id="0">
    <w:p w:rsidR="00826867" w:rsidRDefault="00826867" w:rsidP="0082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611451"/>
      <w:docPartObj>
        <w:docPartGallery w:val="Page Numbers (Bottom of Page)"/>
        <w:docPartUnique/>
      </w:docPartObj>
    </w:sdtPr>
    <w:sdtEndPr/>
    <w:sdtContent>
      <w:p w:rsidR="00826867" w:rsidRDefault="0082686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ABE">
          <w:rPr>
            <w:noProof/>
          </w:rPr>
          <w:t>2</w:t>
        </w:r>
        <w:r>
          <w:fldChar w:fldCharType="end"/>
        </w:r>
      </w:p>
    </w:sdtContent>
  </w:sdt>
  <w:p w:rsidR="00826867" w:rsidRDefault="0082686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867" w:rsidRDefault="00826867" w:rsidP="00826867">
      <w:pPr>
        <w:spacing w:after="0" w:line="240" w:lineRule="auto"/>
      </w:pPr>
      <w:r>
        <w:separator/>
      </w:r>
    </w:p>
  </w:footnote>
  <w:footnote w:type="continuationSeparator" w:id="0">
    <w:p w:rsidR="00826867" w:rsidRDefault="00826867" w:rsidP="0082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4639D"/>
    <w:multiLevelType w:val="hybridMultilevel"/>
    <w:tmpl w:val="BCCEC238"/>
    <w:lvl w:ilvl="0" w:tplc="DC3814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04"/>
    <w:rsid w:val="00015B4F"/>
    <w:rsid w:val="000944A7"/>
    <w:rsid w:val="000A260D"/>
    <w:rsid w:val="000D6224"/>
    <w:rsid w:val="000F6B16"/>
    <w:rsid w:val="00161DE1"/>
    <w:rsid w:val="001747A9"/>
    <w:rsid w:val="001A6DAE"/>
    <w:rsid w:val="001B657B"/>
    <w:rsid w:val="001E5C86"/>
    <w:rsid w:val="0020561B"/>
    <w:rsid w:val="00305932"/>
    <w:rsid w:val="00322FEE"/>
    <w:rsid w:val="00347C04"/>
    <w:rsid w:val="0048354C"/>
    <w:rsid w:val="00560221"/>
    <w:rsid w:val="00652C6F"/>
    <w:rsid w:val="00684ABE"/>
    <w:rsid w:val="006F1CF5"/>
    <w:rsid w:val="00777FA0"/>
    <w:rsid w:val="00826867"/>
    <w:rsid w:val="00853B55"/>
    <w:rsid w:val="00856FAB"/>
    <w:rsid w:val="008E2505"/>
    <w:rsid w:val="00A358DA"/>
    <w:rsid w:val="00AB4E77"/>
    <w:rsid w:val="00C15C04"/>
    <w:rsid w:val="00C40C71"/>
    <w:rsid w:val="00CC0D5C"/>
    <w:rsid w:val="00D04372"/>
    <w:rsid w:val="00D54900"/>
    <w:rsid w:val="00D55CAF"/>
    <w:rsid w:val="00DE4217"/>
    <w:rsid w:val="00E15027"/>
    <w:rsid w:val="00E22024"/>
    <w:rsid w:val="00E55638"/>
    <w:rsid w:val="00E629F9"/>
    <w:rsid w:val="00E764FE"/>
    <w:rsid w:val="00FC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F819B-77C6-4A2F-BAF9-4C04A332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C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2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6867"/>
  </w:style>
  <w:style w:type="paragraph" w:styleId="llb">
    <w:name w:val="footer"/>
    <w:basedOn w:val="Norml"/>
    <w:link w:val="llbChar"/>
    <w:uiPriority w:val="99"/>
    <w:unhideWhenUsed/>
    <w:rsid w:val="0082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6867"/>
  </w:style>
  <w:style w:type="paragraph" w:styleId="Listaszerbekezds">
    <w:name w:val="List Paragraph"/>
    <w:basedOn w:val="Norml"/>
    <w:uiPriority w:val="34"/>
    <w:qFormat/>
    <w:rsid w:val="00D5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DBD06-4F7A-4A6B-8646-80FF3C3F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676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13</cp:revision>
  <dcterms:created xsi:type="dcterms:W3CDTF">2018-04-18T08:53:00Z</dcterms:created>
  <dcterms:modified xsi:type="dcterms:W3CDTF">2018-04-20T06:32:00Z</dcterms:modified>
</cp:coreProperties>
</file>