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6A" w:rsidRPr="00211DEE" w:rsidRDefault="009C0702" w:rsidP="00766F6A">
      <w:pPr>
        <w:jc w:val="both"/>
        <w:rPr>
          <w:sz w:val="20"/>
          <w:szCs w:val="20"/>
        </w:rPr>
      </w:pPr>
      <w:r>
        <w:rPr>
          <w:noProof/>
          <w:sz w:val="20"/>
          <w:szCs w:val="20"/>
        </w:rPr>
        <mc:AlternateContent>
          <mc:Choice Requires="wpg">
            <w:drawing>
              <wp:anchor distT="0" distB="0" distL="114300" distR="114300" simplePos="0" relativeHeight="251660288" behindDoc="0" locked="0" layoutInCell="1" allowOverlap="1">
                <wp:simplePos x="0" y="0"/>
                <wp:positionH relativeFrom="column">
                  <wp:posOffset>1028700</wp:posOffset>
                </wp:positionH>
                <wp:positionV relativeFrom="paragraph">
                  <wp:posOffset>-228600</wp:posOffset>
                </wp:positionV>
                <wp:extent cx="5257165" cy="914400"/>
                <wp:effectExtent l="0" t="0" r="5080" b="1397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165" cy="914400"/>
                          <a:chOff x="2858" y="1238"/>
                          <a:chExt cx="8279" cy="1355"/>
                        </a:xfrm>
                      </wpg:grpSpPr>
                      <wps:wsp>
                        <wps:cNvPr id="2" name="Line 3"/>
                        <wps:cNvCnPr>
                          <a:cxnSpLocks noChangeShapeType="1"/>
                        </wps:cNvCnPr>
                        <wps:spPr bwMode="auto">
                          <a:xfrm flipH="1">
                            <a:off x="3037" y="2593"/>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2858" y="1238"/>
                            <a:ext cx="50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F6A" w:rsidRPr="003D6A0C" w:rsidRDefault="00766F6A" w:rsidP="00766F6A">
                              <w:pPr>
                                <w:rPr>
                                  <w:b/>
                                  <w:smallCaps/>
                                </w:rPr>
                              </w:pPr>
                              <w:r w:rsidRPr="003D6A0C">
                                <w:rPr>
                                  <w:b/>
                                  <w:smallCaps/>
                                </w:rPr>
                                <w:t xml:space="preserve">Őrségi </w:t>
                              </w:r>
                              <w:r>
                                <w:rPr>
                                  <w:b/>
                                  <w:smallCaps/>
                                </w:rPr>
                                <w:t>N</w:t>
                              </w:r>
                              <w:r w:rsidRPr="003D6A0C">
                                <w:rPr>
                                  <w:b/>
                                  <w:smallCaps/>
                                </w:rPr>
                                <w:t>emzet</w:t>
                              </w:r>
                              <w:r>
                                <w:rPr>
                                  <w:b/>
                                  <w:smallCaps/>
                                </w:rPr>
                                <w:t>i</w:t>
                              </w:r>
                              <w:r w:rsidRPr="003D6A0C">
                                <w:rPr>
                                  <w:b/>
                                  <w:smallCaps/>
                                </w:rPr>
                                <w:t xml:space="preserve"> Park Igazgatóság</w:t>
                              </w:r>
                            </w:p>
                            <w:p w:rsidR="00766F6A" w:rsidRPr="003D6A0C" w:rsidRDefault="00766F6A" w:rsidP="00766F6A">
                              <w:pPr>
                                <w:rPr>
                                  <w:sz w:val="20"/>
                                  <w:szCs w:val="20"/>
                                </w:rPr>
                              </w:pPr>
                              <w:r w:rsidRPr="003D6A0C">
                                <w:rPr>
                                  <w:sz w:val="20"/>
                                  <w:szCs w:val="20"/>
                                </w:rPr>
                                <w:t>9941 Őriszentpéter, Siskaszer 26/A</w:t>
                              </w:r>
                            </w:p>
                            <w:p w:rsidR="00766F6A" w:rsidRPr="003D6A0C" w:rsidRDefault="00766F6A" w:rsidP="00766F6A">
                              <w:pPr>
                                <w:rPr>
                                  <w:sz w:val="20"/>
                                  <w:szCs w:val="20"/>
                                </w:rPr>
                              </w:pPr>
                              <w:r w:rsidRPr="003D6A0C">
                                <w:rPr>
                                  <w:sz w:val="20"/>
                                  <w:szCs w:val="20"/>
                                </w:rPr>
                                <w:t>Telefon: (94) 548-036, Fax: (94) 428-791</w:t>
                              </w:r>
                            </w:p>
                            <w:p w:rsidR="00766F6A" w:rsidRPr="00967D72" w:rsidRDefault="00766F6A" w:rsidP="00766F6A">
                              <w:pPr>
                                <w:rPr>
                                  <w:sz w:val="20"/>
                                  <w:szCs w:val="20"/>
                                </w:rPr>
                              </w:pPr>
                              <w:r w:rsidRPr="003D6A0C">
                                <w:rPr>
                                  <w:sz w:val="20"/>
                                  <w:szCs w:val="20"/>
                                </w:rPr>
                                <w:t xml:space="preserve">E-mail: </w:t>
                              </w:r>
                              <w:hyperlink r:id="rId5" w:history="1">
                                <w:r w:rsidRPr="00CF3AF5">
                                  <w:rPr>
                                    <w:rStyle w:val="Hiperhivatkozs"/>
                                    <w:sz w:val="20"/>
                                    <w:szCs w:val="20"/>
                                  </w:rPr>
                                  <w:t>orseginp@onp.kvvm.hu</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1pt;margin-top:-18pt;width:413.95pt;height:1in;z-index:251660288" coordorigin="2858,1238" coordsize="8279,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">
                <v:line id="Line 3" o:spid="_x0000_s1027" style="position:absolute;flip:x;visibility:visible;mso-wrap-style:square" from="3037,2593" to="11137,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shapetype id="_x0000_t202" coordsize="21600,21600" o:spt="202" path="m,l,21600r21600,l21600,xe">
                  <v:stroke joinstyle="miter"/>
                  <v:path gradientshapeok="t" o:connecttype="rect"/>
                </v:shapetype>
                <v:shape id="Text Box 4" o:spid="_x0000_s1028" type="#_x0000_t202" style="position:absolute;left:2858;top:1238;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66F6A" w:rsidRPr="003D6A0C" w:rsidRDefault="00766F6A" w:rsidP="00766F6A">
                        <w:pPr>
                          <w:rPr>
                            <w:b/>
                            <w:smallCaps/>
                          </w:rPr>
                        </w:pPr>
                        <w:r w:rsidRPr="003D6A0C">
                          <w:rPr>
                            <w:b/>
                            <w:smallCaps/>
                          </w:rPr>
                          <w:t xml:space="preserve">Őrségi </w:t>
                        </w:r>
                        <w:r>
                          <w:rPr>
                            <w:b/>
                            <w:smallCaps/>
                          </w:rPr>
                          <w:t>N</w:t>
                        </w:r>
                        <w:r w:rsidRPr="003D6A0C">
                          <w:rPr>
                            <w:b/>
                            <w:smallCaps/>
                          </w:rPr>
                          <w:t>emzet</w:t>
                        </w:r>
                        <w:r>
                          <w:rPr>
                            <w:b/>
                            <w:smallCaps/>
                          </w:rPr>
                          <w:t>i</w:t>
                        </w:r>
                        <w:r w:rsidRPr="003D6A0C">
                          <w:rPr>
                            <w:b/>
                            <w:smallCaps/>
                          </w:rPr>
                          <w:t xml:space="preserve"> Park Igazgatóság</w:t>
                        </w:r>
                      </w:p>
                      <w:p w:rsidR="00766F6A" w:rsidRPr="003D6A0C" w:rsidRDefault="00766F6A" w:rsidP="00766F6A">
                        <w:pPr>
                          <w:rPr>
                            <w:sz w:val="20"/>
                            <w:szCs w:val="20"/>
                          </w:rPr>
                        </w:pPr>
                        <w:r w:rsidRPr="003D6A0C">
                          <w:rPr>
                            <w:sz w:val="20"/>
                            <w:szCs w:val="20"/>
                          </w:rPr>
                          <w:t>9941 Őriszentpéter, Siskaszer 26/A</w:t>
                        </w:r>
                      </w:p>
                      <w:p w:rsidR="00766F6A" w:rsidRPr="003D6A0C" w:rsidRDefault="00766F6A" w:rsidP="00766F6A">
                        <w:pPr>
                          <w:rPr>
                            <w:sz w:val="20"/>
                            <w:szCs w:val="20"/>
                          </w:rPr>
                        </w:pPr>
                        <w:r w:rsidRPr="003D6A0C">
                          <w:rPr>
                            <w:sz w:val="20"/>
                            <w:szCs w:val="20"/>
                          </w:rPr>
                          <w:t>Telefon: (94) 548-036, Fax: (94) 428-791</w:t>
                        </w:r>
                      </w:p>
                      <w:p w:rsidR="00766F6A" w:rsidRPr="00967D72" w:rsidRDefault="00766F6A" w:rsidP="00766F6A">
                        <w:pPr>
                          <w:rPr>
                            <w:sz w:val="20"/>
                            <w:szCs w:val="20"/>
                          </w:rPr>
                        </w:pPr>
                        <w:r w:rsidRPr="003D6A0C">
                          <w:rPr>
                            <w:sz w:val="20"/>
                            <w:szCs w:val="20"/>
                          </w:rPr>
                          <w:t xml:space="preserve">E-mail: </w:t>
                        </w:r>
                        <w:hyperlink r:id="rId6" w:history="1">
                          <w:r w:rsidRPr="00CF3AF5">
                            <w:rPr>
                              <w:rStyle w:val="Hiperhivatkozs"/>
                              <w:sz w:val="20"/>
                              <w:szCs w:val="20"/>
                            </w:rPr>
                            <w:t>orseginp@onp.kvvm.hu</w:t>
                          </w:r>
                        </w:hyperlink>
                      </w:p>
                    </w:txbxContent>
                  </v:textbox>
                </v:shape>
                <w10:wrap type="square"/>
              </v:group>
            </w:pict>
          </mc:Fallback>
        </mc:AlternateContent>
      </w:r>
      <w:r w:rsidR="00766F6A">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-342900</wp:posOffset>
            </wp:positionV>
            <wp:extent cx="1143000" cy="1143000"/>
            <wp:effectExtent l="19050" t="0" r="0" b="0"/>
            <wp:wrapSquare wrapText="bothSides"/>
            <wp:docPr id="5" name="Kép 5" descr="Őrségi Nemzeti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Őrségi Nemzeti Park logo"/>
                    <pic:cNvPicPr>
                      <a:picLocks noChangeAspect="1" noChangeArrowheads="1"/>
                    </pic:cNvPicPr>
                  </pic:nvPicPr>
                  <pic:blipFill>
                    <a:blip r:embed="rId7"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766F6A" w:rsidRDefault="00766F6A" w:rsidP="00766F6A"/>
    <w:tbl>
      <w:tblPr>
        <w:tblW w:w="9299" w:type="dxa"/>
        <w:tblLook w:val="01E0" w:firstRow="1" w:lastRow="1" w:firstColumn="1" w:lastColumn="1" w:noHBand="0" w:noVBand="0"/>
      </w:tblPr>
      <w:tblGrid>
        <w:gridCol w:w="4439"/>
        <w:gridCol w:w="1440"/>
        <w:gridCol w:w="3420"/>
      </w:tblGrid>
      <w:tr w:rsidR="00766F6A" w:rsidTr="004A0E4E">
        <w:tc>
          <w:tcPr>
            <w:tcW w:w="4439" w:type="dxa"/>
            <w:shd w:val="clear" w:color="auto" w:fill="auto"/>
          </w:tcPr>
          <w:p w:rsidR="00766F6A" w:rsidRPr="00A8626C" w:rsidRDefault="00766F6A" w:rsidP="004A0E4E">
            <w:pPr>
              <w:rPr>
                <w:b/>
              </w:rPr>
            </w:pPr>
            <w:r>
              <w:rPr>
                <w:b/>
              </w:rPr>
              <w:t>Szombathely Megyei Jogú Város Polgármestere</w:t>
            </w:r>
          </w:p>
          <w:p w:rsidR="00766F6A" w:rsidRPr="0090518D" w:rsidRDefault="00766F6A" w:rsidP="004A0E4E">
            <w:pPr>
              <w:rPr>
                <w:b/>
              </w:rPr>
            </w:pPr>
            <w:r>
              <w:rPr>
                <w:b/>
              </w:rPr>
              <w:t>Dr. Puskás Tivadar</w:t>
            </w:r>
          </w:p>
          <w:p w:rsidR="00766F6A" w:rsidRPr="00B36329" w:rsidRDefault="00766F6A" w:rsidP="004A0E4E">
            <w:r>
              <w:t>polgármester</w:t>
            </w:r>
          </w:p>
        </w:tc>
        <w:tc>
          <w:tcPr>
            <w:tcW w:w="1440" w:type="dxa"/>
          </w:tcPr>
          <w:p w:rsidR="00766F6A" w:rsidRDefault="00766F6A" w:rsidP="004A0E4E">
            <w:pPr>
              <w:jc w:val="right"/>
            </w:pPr>
            <w:r>
              <w:t>Tárgy:</w:t>
            </w:r>
          </w:p>
        </w:tc>
        <w:tc>
          <w:tcPr>
            <w:tcW w:w="3420" w:type="dxa"/>
          </w:tcPr>
          <w:p w:rsidR="00766F6A" w:rsidRDefault="00766F6A" w:rsidP="004A0E4E">
            <w:r>
              <w:t>Adatszolgáltatás Szombathely településképi arculati kézikönyvéhez és településképi rendeletéhez</w:t>
            </w:r>
          </w:p>
        </w:tc>
      </w:tr>
      <w:tr w:rsidR="00766F6A" w:rsidTr="004A0E4E">
        <w:tc>
          <w:tcPr>
            <w:tcW w:w="4439" w:type="dxa"/>
            <w:shd w:val="clear" w:color="auto" w:fill="auto"/>
          </w:tcPr>
          <w:p w:rsidR="00766F6A" w:rsidRPr="00D019C9" w:rsidRDefault="00766F6A" w:rsidP="004A0E4E"/>
        </w:tc>
        <w:tc>
          <w:tcPr>
            <w:tcW w:w="1440" w:type="dxa"/>
          </w:tcPr>
          <w:p w:rsidR="00766F6A" w:rsidRDefault="00766F6A" w:rsidP="004A0E4E">
            <w:pPr>
              <w:jc w:val="right"/>
            </w:pPr>
            <w:r>
              <w:t>Ügy száma:</w:t>
            </w:r>
          </w:p>
        </w:tc>
        <w:tc>
          <w:tcPr>
            <w:tcW w:w="3420" w:type="dxa"/>
          </w:tcPr>
          <w:p w:rsidR="00766F6A" w:rsidRDefault="00087A08" w:rsidP="004A0E4E">
            <w:pPr>
              <w:jc w:val="both"/>
            </w:pPr>
            <w:r>
              <w:t>25-3849</w:t>
            </w:r>
            <w:r w:rsidR="00766F6A">
              <w:t>-  /2017.</w:t>
            </w:r>
          </w:p>
        </w:tc>
      </w:tr>
      <w:tr w:rsidR="00766F6A" w:rsidTr="004A0E4E">
        <w:tc>
          <w:tcPr>
            <w:tcW w:w="4439" w:type="dxa"/>
            <w:shd w:val="clear" w:color="auto" w:fill="auto"/>
          </w:tcPr>
          <w:p w:rsidR="00766F6A" w:rsidRDefault="00766F6A" w:rsidP="004A0E4E">
            <w:r>
              <w:t>9700 Szombathely, Kossuth L. u. 1-3.</w:t>
            </w:r>
          </w:p>
        </w:tc>
        <w:tc>
          <w:tcPr>
            <w:tcW w:w="1440" w:type="dxa"/>
          </w:tcPr>
          <w:p w:rsidR="00766F6A" w:rsidRDefault="00766F6A" w:rsidP="004A0E4E">
            <w:pPr>
              <w:jc w:val="right"/>
            </w:pPr>
            <w:r>
              <w:t>Hiv. szám: Ügyintéző:</w:t>
            </w:r>
          </w:p>
        </w:tc>
        <w:tc>
          <w:tcPr>
            <w:tcW w:w="3420" w:type="dxa"/>
          </w:tcPr>
          <w:p w:rsidR="00766F6A" w:rsidRDefault="00087A08" w:rsidP="004A0E4E">
            <w:pPr>
              <w:jc w:val="both"/>
            </w:pPr>
            <w:r>
              <w:t>539-10</w:t>
            </w:r>
            <w:r w:rsidR="00766F6A">
              <w:t xml:space="preserve">/2017. </w:t>
            </w:r>
          </w:p>
          <w:p w:rsidR="00766F6A" w:rsidRDefault="00766F6A" w:rsidP="004A0E4E">
            <w:pPr>
              <w:jc w:val="both"/>
            </w:pPr>
            <w:r>
              <w:t>Kóródi Blanka</w:t>
            </w:r>
          </w:p>
        </w:tc>
      </w:tr>
      <w:tr w:rsidR="00766F6A" w:rsidTr="004A0E4E">
        <w:tc>
          <w:tcPr>
            <w:tcW w:w="4439" w:type="dxa"/>
            <w:shd w:val="clear" w:color="auto" w:fill="auto"/>
          </w:tcPr>
          <w:p w:rsidR="00766F6A" w:rsidRPr="00FB5173" w:rsidRDefault="00766F6A" w:rsidP="004A0E4E"/>
        </w:tc>
        <w:tc>
          <w:tcPr>
            <w:tcW w:w="1440" w:type="dxa"/>
          </w:tcPr>
          <w:p w:rsidR="00766F6A" w:rsidRDefault="00766F6A" w:rsidP="004A0E4E">
            <w:r>
              <w:t xml:space="preserve">  </w:t>
            </w:r>
          </w:p>
        </w:tc>
        <w:tc>
          <w:tcPr>
            <w:tcW w:w="3420" w:type="dxa"/>
          </w:tcPr>
          <w:p w:rsidR="00766F6A" w:rsidRDefault="00766F6A" w:rsidP="004A0E4E">
            <w:pPr>
              <w:jc w:val="both"/>
            </w:pPr>
          </w:p>
        </w:tc>
      </w:tr>
    </w:tbl>
    <w:p w:rsidR="00766F6A" w:rsidRDefault="00766F6A" w:rsidP="00766F6A">
      <w:pPr>
        <w:tabs>
          <w:tab w:val="left" w:pos="5760"/>
        </w:tabs>
      </w:pPr>
      <w:r>
        <w:tab/>
      </w:r>
    </w:p>
    <w:p w:rsidR="00766F6A" w:rsidRDefault="00766F6A" w:rsidP="00766F6A">
      <w:pPr>
        <w:tabs>
          <w:tab w:val="left" w:pos="5760"/>
        </w:tabs>
      </w:pPr>
      <w:r>
        <w:tab/>
      </w:r>
    </w:p>
    <w:p w:rsidR="00766F6A" w:rsidRDefault="00766F6A" w:rsidP="00766F6A">
      <w:pPr>
        <w:tabs>
          <w:tab w:val="left" w:pos="5760"/>
        </w:tabs>
      </w:pPr>
    </w:p>
    <w:p w:rsidR="00766F6A" w:rsidRPr="008B4275" w:rsidRDefault="00766F6A" w:rsidP="00766F6A">
      <w:pPr>
        <w:jc w:val="center"/>
        <w:rPr>
          <w:b/>
          <w:snapToGrid w:val="0"/>
        </w:rPr>
      </w:pPr>
      <w:r>
        <w:rPr>
          <w:b/>
          <w:snapToGrid w:val="0"/>
        </w:rPr>
        <w:t>Tisztelt Polgármester Úr!</w:t>
      </w:r>
    </w:p>
    <w:p w:rsidR="00766F6A" w:rsidRDefault="00766F6A" w:rsidP="00766F6A">
      <w:pPr>
        <w:jc w:val="both"/>
        <w:rPr>
          <w:snapToGrid w:val="0"/>
        </w:rPr>
      </w:pPr>
    </w:p>
    <w:p w:rsidR="00766F6A" w:rsidRDefault="009B3AB0" w:rsidP="00766F6A">
      <w:pPr>
        <w:pStyle w:val="western"/>
        <w:spacing w:before="0" w:beforeAutospacing="0" w:after="0"/>
        <w:jc w:val="both"/>
      </w:pPr>
      <w:r>
        <w:t>Szombathely</w:t>
      </w:r>
      <w:r w:rsidR="00766F6A">
        <w:t xml:space="preserve"> ö</w:t>
      </w:r>
      <w:r w:rsidR="00766F6A" w:rsidRPr="00D70EFF">
        <w:t>nkormányzata a településkép védelméről szóló 2016. évi LXXIV. törvény (továbbiakban: törvény) értelmében településképi arculati kézikönyv (továbbiakban: kézikönyv)</w:t>
      </w:r>
      <w:r w:rsidR="00766F6A">
        <w:t xml:space="preserve"> készítését tervezi. </w:t>
      </w:r>
    </w:p>
    <w:p w:rsidR="00766F6A" w:rsidRPr="00D70EFF" w:rsidRDefault="00766F6A" w:rsidP="00766F6A">
      <w:pPr>
        <w:pStyle w:val="western"/>
        <w:spacing w:before="0" w:beforeAutospacing="0" w:after="0"/>
        <w:jc w:val="both"/>
      </w:pPr>
      <w:r>
        <w:t xml:space="preserve">A törvény </w:t>
      </w:r>
      <w:r w:rsidRPr="00101B54">
        <w:t>4. § (1) bekezdése szerint: A településképi rendelet szakmai megalapozása érdekében kézikönyv készül. A</w:t>
      </w:r>
      <w:r>
        <w:rPr>
          <w:rFonts w:ascii="Times" w:hAnsi="Times" w:cs="Times"/>
        </w:rPr>
        <w:t xml:space="preserve"> kézikönyv és a helyi településképi rendelet (továbbiakban: HTR) elkészítésére, egyeztetésére, elfogadására és módosítására vonatkozó részletes szabályokat a</w:t>
      </w:r>
      <w:r>
        <w:t xml:space="preserve"> településfejlesztési koncepcióról, az integrált településfejlesztési stratégiáról és a településrendezési eszközökről, valamint egyes településrendezési sajátos jogintézményekről szóló </w:t>
      </w:r>
      <w:r w:rsidRPr="00D70EFF">
        <w:rPr>
          <w:bCs/>
        </w:rPr>
        <w:t>314/2012. (XI. 8.) Korm. rendelet</w:t>
      </w:r>
      <w:r w:rsidRPr="00D70EFF">
        <w:t xml:space="preserve"> (továbbiakban Korm. rendelet) </w:t>
      </w:r>
      <w:r w:rsidRPr="00D70EFF">
        <w:rPr>
          <w:rFonts w:ascii="Times" w:hAnsi="Times" w:cs="Times"/>
        </w:rPr>
        <w:t>tartalmazza.</w:t>
      </w:r>
    </w:p>
    <w:p w:rsidR="00766F6A" w:rsidRDefault="00766F6A" w:rsidP="00766F6A">
      <w:pPr>
        <w:pStyle w:val="western"/>
        <w:spacing w:before="0" w:beforeAutospacing="0" w:after="0"/>
        <w:jc w:val="both"/>
      </w:pPr>
    </w:p>
    <w:p w:rsidR="00766F6A" w:rsidRPr="009B3AB0" w:rsidRDefault="009B3AB0" w:rsidP="00766F6A">
      <w:pPr>
        <w:pStyle w:val="western"/>
        <w:spacing w:before="0" w:beforeAutospacing="0" w:after="0"/>
        <w:jc w:val="both"/>
      </w:pPr>
      <w:r>
        <w:t>A Szombathely</w:t>
      </w:r>
      <w:r w:rsidR="00766F6A">
        <w:t xml:space="preserve"> közigazgatási területén található, az Őrségi Nemzeti Park Igazgatóság működési körébe eső védett területekkel és településképi jelentőségű kategóriákkal kapcsolatos adatszolgáltatásunkat levelünk melléklete tartalmazza. </w:t>
      </w:r>
    </w:p>
    <w:p w:rsidR="00766F6A" w:rsidRDefault="00766F6A" w:rsidP="00766F6A">
      <w:pPr>
        <w:pStyle w:val="western"/>
        <w:spacing w:before="0" w:beforeAutospacing="0" w:after="0"/>
        <w:jc w:val="both"/>
      </w:pPr>
    </w:p>
    <w:p w:rsidR="00766F6A" w:rsidRDefault="00766F6A" w:rsidP="00766F6A">
      <w:pPr>
        <w:pStyle w:val="western"/>
        <w:tabs>
          <w:tab w:val="left" w:pos="2835"/>
        </w:tabs>
        <w:spacing w:before="0" w:beforeAutospacing="0" w:after="0"/>
        <w:jc w:val="both"/>
      </w:pPr>
      <w:r>
        <w:t xml:space="preserve">Az Országos Területrendezési Tervről szóló 2003. évi XXVI. törvény (továbbiakban: </w:t>
      </w:r>
      <w:r w:rsidRPr="00933214">
        <w:rPr>
          <w:bCs/>
        </w:rPr>
        <w:t>OTrT</w:t>
      </w:r>
      <w:r>
        <w:t xml:space="preserve">) 13., 17-19. §-ai szabályozzák a nemzeti ökológiai hálózatra és annak a magterület, az ökológiai folyosó és a pufferterület övezetekre vonatkozó előírásokat. </w:t>
      </w:r>
      <w:r w:rsidRPr="00151F67">
        <w:t>Kérjük az OTrT</w:t>
      </w:r>
      <w:r>
        <w:t xml:space="preserve"> szabályozását </w:t>
      </w:r>
      <w:r w:rsidRPr="00151F67">
        <w:t xml:space="preserve">és a Megyei TrT említett övezetekre vonatkozó </w:t>
      </w:r>
      <w:r>
        <w:t>ajánlásait</w:t>
      </w:r>
      <w:r w:rsidRPr="00151F67">
        <w:t xml:space="preserve"> a </w:t>
      </w:r>
      <w:r>
        <w:t xml:space="preserve">kézikönyv készítése során figyelembe </w:t>
      </w:r>
      <w:r w:rsidRPr="00151F67">
        <w:t>venni.</w:t>
      </w:r>
    </w:p>
    <w:p w:rsidR="00766F6A" w:rsidRDefault="00766F6A" w:rsidP="00766F6A">
      <w:pPr>
        <w:pStyle w:val="western"/>
        <w:spacing w:before="0" w:beforeAutospacing="0" w:after="0"/>
        <w:jc w:val="both"/>
        <w:rPr>
          <w:bCs/>
        </w:rPr>
      </w:pPr>
    </w:p>
    <w:p w:rsidR="00766F6A" w:rsidRDefault="00766F6A" w:rsidP="00766F6A">
      <w:pPr>
        <w:pStyle w:val="western"/>
        <w:spacing w:before="0" w:beforeAutospacing="0" w:after="0"/>
        <w:jc w:val="both"/>
        <w:rPr>
          <w:b/>
          <w:bCs/>
        </w:rPr>
      </w:pPr>
      <w:r w:rsidRPr="00151F67">
        <w:rPr>
          <w:bCs/>
        </w:rPr>
        <w:t xml:space="preserve">Jelezzük, hogy az OTrT 14/A. §-a tartalmazza a </w:t>
      </w:r>
      <w:r w:rsidRPr="00933214">
        <w:rPr>
          <w:bCs/>
        </w:rPr>
        <w:t>„tájképvédelmi szempontból kiemelten kezelendő területek” övezetére vonatkozó szakmai</w:t>
      </w:r>
      <w:r w:rsidRPr="00151F67">
        <w:rPr>
          <w:bCs/>
        </w:rPr>
        <w:t xml:space="preserve"> előírásokat, amelyek figyelembevétele szükséges a </w:t>
      </w:r>
      <w:r>
        <w:rPr>
          <w:bCs/>
        </w:rPr>
        <w:t>kézikönyv és a HTR készítése</w:t>
      </w:r>
      <w:r w:rsidRPr="00151F67">
        <w:rPr>
          <w:bCs/>
        </w:rPr>
        <w:t xml:space="preserve"> során.</w:t>
      </w:r>
    </w:p>
    <w:p w:rsidR="00766F6A" w:rsidRDefault="00766F6A" w:rsidP="00766F6A">
      <w:pPr>
        <w:pStyle w:val="western"/>
        <w:spacing w:before="0" w:beforeAutospacing="0" w:after="0"/>
        <w:jc w:val="both"/>
        <w:rPr>
          <w:b/>
          <w:bCs/>
        </w:rPr>
      </w:pPr>
    </w:p>
    <w:p w:rsidR="00766F6A" w:rsidRPr="00B21D26" w:rsidRDefault="00766F6A" w:rsidP="00766F6A">
      <w:pPr>
        <w:pStyle w:val="western"/>
        <w:spacing w:before="0" w:beforeAutospacing="0" w:after="0"/>
        <w:jc w:val="both"/>
      </w:pPr>
      <w:r>
        <w:t>A természet védelméről szóló 1996. évi LIII. törvény 6. § (3) - (5) bekezdései szabályozzák az egyedi tájértékekre vonatkozó feladatokat.</w:t>
      </w:r>
    </w:p>
    <w:p w:rsidR="00766F6A" w:rsidRDefault="00766F6A" w:rsidP="00766F6A">
      <w:pPr>
        <w:pStyle w:val="western"/>
        <w:spacing w:before="0" w:beforeAutospacing="0" w:after="0"/>
        <w:jc w:val="both"/>
        <w:rPr>
          <w:bCs/>
        </w:rPr>
      </w:pPr>
    </w:p>
    <w:p w:rsidR="00766F6A" w:rsidRDefault="00766F6A" w:rsidP="00766F6A">
      <w:pPr>
        <w:pStyle w:val="western"/>
        <w:spacing w:before="0" w:beforeAutospacing="0" w:after="0"/>
        <w:jc w:val="both"/>
      </w:pPr>
      <w:r w:rsidRPr="00D70EFF">
        <w:t xml:space="preserve">Kérjük, hogy a HTR készítése során a </w:t>
      </w:r>
      <w:r w:rsidRPr="00D70EFF">
        <w:rPr>
          <w:color w:val="auto"/>
        </w:rPr>
        <w:t>Tvt.</w:t>
      </w:r>
      <w:r w:rsidRPr="00D70EFF">
        <w:t>15. § (1) pontjában szereplő feltételeknek eleget tevő összes területet tervezett természeti területként kezeljék. Ezeken a területeken kiemelt figyelmet kell fordítani a tájkép, a természetes életközösségek (növénytársulások) és élőhelyek megóvására. A tervezett természeti területek kihirdetésére vonatkozó előírást a Tvt. 15. §</w:t>
      </w:r>
      <w:r>
        <w:t xml:space="preserve"> (2) bekezdése tartalmazza. </w:t>
      </w:r>
    </w:p>
    <w:p w:rsidR="00766F6A" w:rsidRDefault="00766F6A" w:rsidP="00766F6A">
      <w:pPr>
        <w:pStyle w:val="western"/>
        <w:spacing w:before="0" w:beforeAutospacing="0" w:after="0"/>
        <w:jc w:val="both"/>
        <w:rPr>
          <w:b/>
          <w:bCs/>
        </w:rPr>
      </w:pPr>
    </w:p>
    <w:p w:rsidR="00766F6A" w:rsidRDefault="00766F6A" w:rsidP="00766F6A">
      <w:pPr>
        <w:pStyle w:val="western"/>
        <w:spacing w:before="0" w:beforeAutospacing="0" w:after="0"/>
        <w:jc w:val="both"/>
      </w:pPr>
      <w:r w:rsidRPr="00D70EFF">
        <w:t xml:space="preserve">Az országos településrendezési és építési követelményekről szóló 253/1997. (XII. 20.) Korm. rendelet (továbbiakban: OTÉK) 30/A. § (1) bekezdése értelmében a </w:t>
      </w:r>
      <w:r w:rsidRPr="00D70EFF">
        <w:rPr>
          <w:iCs/>
        </w:rPr>
        <w:t>mocsár, a nádas és a sziklás terület természetközeli területnek minősülnek.</w:t>
      </w:r>
      <w:r w:rsidRPr="00D70EFF">
        <w:t xml:space="preserve"> Ugyanezen paragrafus (2) bekezdése</w:t>
      </w:r>
      <w:r>
        <w:t xml:space="preserve"> értelmében a természetközeli területeken épületet elhelyezni nem lehet.</w:t>
      </w:r>
    </w:p>
    <w:p w:rsidR="00766F6A" w:rsidRDefault="00766F6A" w:rsidP="00766F6A">
      <w:pPr>
        <w:pStyle w:val="western"/>
        <w:spacing w:before="0" w:beforeAutospacing="0" w:after="0"/>
        <w:jc w:val="both"/>
      </w:pPr>
    </w:p>
    <w:p w:rsidR="00766F6A" w:rsidRDefault="00766F6A" w:rsidP="00766F6A">
      <w:pPr>
        <w:pStyle w:val="western"/>
        <w:spacing w:before="0" w:beforeAutospacing="0" w:after="0"/>
        <w:jc w:val="both"/>
      </w:pPr>
      <w:r>
        <w:t>Felhívjuk a figyelmet a területek biológiai aktivitásértékének számításáról szóló 9/2007. (IV. 3.) ÖTM rendeletben foglaltak figyelembe vételére.</w:t>
      </w:r>
    </w:p>
    <w:p w:rsidR="00766F6A" w:rsidRDefault="00766F6A" w:rsidP="00766F6A">
      <w:pPr>
        <w:pStyle w:val="western"/>
        <w:spacing w:before="0" w:beforeAutospacing="0" w:after="0"/>
        <w:jc w:val="both"/>
      </w:pPr>
    </w:p>
    <w:p w:rsidR="00766F6A" w:rsidRDefault="00766F6A" w:rsidP="00766F6A">
      <w:pPr>
        <w:pStyle w:val="western"/>
        <w:spacing w:before="0" w:beforeAutospacing="0" w:after="0"/>
        <w:jc w:val="both"/>
      </w:pPr>
      <w:r>
        <w:t>Növénytelepítések során elsősorban hazánkban honos fajok telepítését javasoljuk (ld. melléklet). Törekedni kell az inváziós növényfajok visszaszorítására.</w:t>
      </w:r>
    </w:p>
    <w:p w:rsidR="00766F6A" w:rsidRDefault="00766F6A" w:rsidP="00766F6A">
      <w:pPr>
        <w:pStyle w:val="western"/>
        <w:spacing w:before="0" w:beforeAutospacing="0" w:after="0"/>
        <w:jc w:val="both"/>
      </w:pPr>
    </w:p>
    <w:p w:rsidR="00766F6A" w:rsidRDefault="00766F6A" w:rsidP="00766F6A">
      <w:pPr>
        <w:jc w:val="both"/>
      </w:pPr>
      <w:r>
        <w:t>Kérjük, hogy a jövőben a közösségi terek, épületek, létesítmények, ipari üzemek éjszakai megvilágításának tervezése, kialakítása az éjszaki életmódot folytató állatvilág védelmének figyelembe vételével történjen, amelyhez felajánljuk szakmai segítségünket (a részleteket levelünk melléklete tartalmazza).</w:t>
      </w:r>
    </w:p>
    <w:p w:rsidR="00766F6A" w:rsidRDefault="00766F6A" w:rsidP="00766F6A">
      <w:pPr>
        <w:jc w:val="both"/>
      </w:pPr>
    </w:p>
    <w:p w:rsidR="00766F6A" w:rsidRDefault="00766F6A" w:rsidP="00766F6A">
      <w:pPr>
        <w:jc w:val="both"/>
      </w:pPr>
      <w:r>
        <w:t>A nem védett élőhelyeken előforduló védett természeti értékek megóvása érdekében általános kikötésként kérjük, hogy cserjeirtás és fakitermelés csak vegetációs időn kívül (szeptember 1. és március 15. között) történjen. Javasoljuk, hogy vegetációs időben fakitermelés csak a természetvédelmi hatóság engedélyével történhessen.</w:t>
      </w:r>
    </w:p>
    <w:p w:rsidR="00766F6A" w:rsidRDefault="00766F6A" w:rsidP="00766F6A">
      <w:pPr>
        <w:pStyle w:val="western"/>
        <w:spacing w:before="0" w:beforeAutospacing="0" w:after="0"/>
        <w:jc w:val="both"/>
        <w:rPr>
          <w:b/>
          <w:bCs/>
          <w:u w:val="single"/>
        </w:rPr>
      </w:pPr>
    </w:p>
    <w:p w:rsidR="00766F6A" w:rsidRDefault="00766F6A" w:rsidP="00766F6A">
      <w:pPr>
        <w:pStyle w:val="HTML-kntformzott"/>
        <w:shd w:val="clear" w:color="auto" w:fill="FFFFFF"/>
        <w:jc w:val="both"/>
        <w:rPr>
          <w:rFonts w:ascii="Times New Roman" w:hAnsi="Times New Roman" w:cs="Times New Roman"/>
          <w:color w:val="000000"/>
          <w:sz w:val="24"/>
          <w:szCs w:val="24"/>
        </w:rPr>
      </w:pPr>
      <w:r w:rsidRPr="001A42D5">
        <w:rPr>
          <w:rFonts w:ascii="Times New Roman" w:hAnsi="Times New Roman" w:cs="Times New Roman"/>
          <w:color w:val="000000"/>
          <w:sz w:val="24"/>
          <w:szCs w:val="24"/>
        </w:rPr>
        <w:t>A</w:t>
      </w:r>
      <w:r>
        <w:rPr>
          <w:rFonts w:ascii="Times New Roman" w:hAnsi="Times New Roman" w:cs="Times New Roman"/>
          <w:color w:val="000000"/>
          <w:sz w:val="24"/>
          <w:szCs w:val="24"/>
        </w:rPr>
        <w:t xml:space="preserve"> kézikönyvnek legalább a Korm. rendelet 12. mellékletében meghatározott fejezeteket tartalmaznia kell. A </w:t>
      </w:r>
      <w:r w:rsidRPr="001A42D5">
        <w:rPr>
          <w:rFonts w:ascii="Times New Roman" w:hAnsi="Times New Roman" w:cs="Times New Roman"/>
          <w:color w:val="000000"/>
          <w:sz w:val="24"/>
          <w:szCs w:val="24"/>
        </w:rPr>
        <w:t>kézikönyv</w:t>
      </w:r>
      <w:r>
        <w:rPr>
          <w:rFonts w:ascii="Times New Roman" w:hAnsi="Times New Roman" w:cs="Times New Roman"/>
          <w:color w:val="000000"/>
          <w:sz w:val="24"/>
          <w:szCs w:val="24"/>
        </w:rPr>
        <w:t xml:space="preserve">et szerkeszthető - </w:t>
      </w:r>
      <w:r w:rsidRPr="001A42D5">
        <w:rPr>
          <w:rFonts w:ascii="Times New Roman" w:hAnsi="Times New Roman" w:cs="Times New Roman"/>
          <w:color w:val="000000"/>
          <w:sz w:val="24"/>
          <w:szCs w:val="24"/>
        </w:rPr>
        <w:t xml:space="preserve">egyeztetésre és nyilvántartásra alkalmas </w:t>
      </w:r>
      <w:r>
        <w:rPr>
          <w:rFonts w:ascii="Times New Roman" w:hAnsi="Times New Roman" w:cs="Times New Roman"/>
          <w:color w:val="000000"/>
          <w:sz w:val="24"/>
          <w:szCs w:val="24"/>
        </w:rPr>
        <w:t>-</w:t>
      </w:r>
      <w:r w:rsidRPr="001A42D5">
        <w:rPr>
          <w:rFonts w:ascii="Times New Roman" w:hAnsi="Times New Roman" w:cs="Times New Roman"/>
          <w:color w:val="000000"/>
          <w:sz w:val="24"/>
          <w:szCs w:val="24"/>
        </w:rPr>
        <w:t xml:space="preserve"> digitális formátumban</w:t>
      </w:r>
      <w:r>
        <w:rPr>
          <w:rFonts w:ascii="Times New Roman" w:hAnsi="Times New Roman" w:cs="Times New Roman"/>
          <w:color w:val="000000"/>
          <w:sz w:val="24"/>
          <w:szCs w:val="24"/>
        </w:rPr>
        <w:t xml:space="preserve"> kell</w:t>
      </w:r>
      <w:r w:rsidRPr="001A42D5">
        <w:rPr>
          <w:rFonts w:ascii="Times New Roman" w:hAnsi="Times New Roman" w:cs="Times New Roman"/>
          <w:color w:val="000000"/>
          <w:sz w:val="24"/>
          <w:szCs w:val="24"/>
        </w:rPr>
        <w:t xml:space="preserve"> kész</w:t>
      </w:r>
      <w:r>
        <w:rPr>
          <w:rFonts w:ascii="Times New Roman" w:hAnsi="Times New Roman" w:cs="Times New Roman"/>
          <w:color w:val="000000"/>
          <w:sz w:val="24"/>
          <w:szCs w:val="24"/>
        </w:rPr>
        <w:t>íteni</w:t>
      </w:r>
      <w:r w:rsidRPr="001A42D5">
        <w:rPr>
          <w:rFonts w:ascii="Times New Roman" w:hAnsi="Times New Roman" w:cs="Times New Roman"/>
          <w:color w:val="000000"/>
          <w:sz w:val="24"/>
          <w:szCs w:val="24"/>
        </w:rPr>
        <w:t>, papír formátumú dokumentálásra is alkalmas módon.</w:t>
      </w:r>
    </w:p>
    <w:p w:rsidR="00766F6A" w:rsidRPr="00E63400" w:rsidRDefault="00766F6A" w:rsidP="00766F6A">
      <w:pPr>
        <w:spacing w:after="20"/>
        <w:jc w:val="both"/>
        <w:rPr>
          <w:color w:val="000000"/>
        </w:rPr>
      </w:pPr>
      <w:r w:rsidRPr="00D70EFF">
        <w:rPr>
          <w:color w:val="000000"/>
        </w:rPr>
        <w:t>A Korm. rendelet 22. § (2) bekezdése szerint a településképi rendelet állapítja mega helyi</w:t>
      </w:r>
      <w:r w:rsidRPr="00E63400">
        <w:rPr>
          <w:color w:val="000000"/>
        </w:rPr>
        <w:t xml:space="preserve"> építészeti örökség területi és egyedi védelmét (a továbbiakban: helyi védelem), illetve a védelem megszüntetését,a településszerkezet, településkarakter, tájképi elem és egyéb helyi adottság alapján a településképi szempontból meghatározó területeket,</w:t>
      </w:r>
      <w:r>
        <w:rPr>
          <w:color w:val="000000"/>
        </w:rPr>
        <w:t xml:space="preserve"> valamint </w:t>
      </w:r>
      <w:r w:rsidRPr="00E63400">
        <w:rPr>
          <w:color w:val="000000"/>
        </w:rPr>
        <w:t>a településképi követelményeket.</w:t>
      </w:r>
    </w:p>
    <w:p w:rsidR="00766F6A" w:rsidRDefault="00766F6A" w:rsidP="00766F6A">
      <w:pPr>
        <w:jc w:val="both"/>
        <w:rPr>
          <w:color w:val="000000"/>
        </w:rPr>
      </w:pPr>
      <w:r>
        <w:rPr>
          <w:color w:val="000000"/>
        </w:rPr>
        <w:t>A HTR előkészítése kapcsán jelezzük, hogy a</w:t>
      </w:r>
      <w:r w:rsidRPr="00A479AA">
        <w:rPr>
          <w:color w:val="000000"/>
        </w:rPr>
        <w:t xml:space="preserve"> természet védelméről szóló 1996. évi LIII. törvény</w:t>
      </w:r>
      <w:r>
        <w:rPr>
          <w:color w:val="000000"/>
        </w:rPr>
        <w:t xml:space="preserve"> (továbbiakban: Tvt.) tartalmazza a természeti értékek és természeti területek általános védelmével, tájvédelemmel, tájképi adottságok és egyedi tájértékek védelmével kapcsolatos előírásokat. </w:t>
      </w:r>
    </w:p>
    <w:p w:rsidR="00766F6A" w:rsidRDefault="00766F6A" w:rsidP="00766F6A">
      <w:pPr>
        <w:jc w:val="both"/>
        <w:rPr>
          <w:color w:val="000000"/>
        </w:rPr>
      </w:pPr>
    </w:p>
    <w:p w:rsidR="00766F6A" w:rsidRPr="0019310D" w:rsidRDefault="00766F6A" w:rsidP="00766F6A">
      <w:pPr>
        <w:jc w:val="both"/>
        <w:rPr>
          <w:color w:val="000000"/>
        </w:rPr>
      </w:pPr>
      <w:r w:rsidRPr="0019310D">
        <w:rPr>
          <w:color w:val="000000"/>
        </w:rPr>
        <w:t xml:space="preserve">Igazgatóságunk álláspontja szerint a tájképvédelmi szempontból kiemelten kezelendő terület övezetéhez tartozó területek </w:t>
      </w:r>
      <w:r>
        <w:rPr>
          <w:color w:val="000000"/>
        </w:rPr>
        <w:t>-</w:t>
      </w:r>
      <w:r w:rsidRPr="0019310D">
        <w:rPr>
          <w:color w:val="000000"/>
        </w:rPr>
        <w:t xml:space="preserve"> azok természeti értékei, illetve a természetközeli jelleg által meghatározott tájkarakter miatt, vagy a jellegzetes tájhasználatra tekintettel </w:t>
      </w:r>
      <w:r>
        <w:rPr>
          <w:color w:val="000000"/>
        </w:rPr>
        <w:t>-</w:t>
      </w:r>
      <w:r w:rsidRPr="0019310D">
        <w:rPr>
          <w:color w:val="000000"/>
        </w:rPr>
        <w:t xml:space="preserve"> a településképet meghatározó településkarakternek tekinthetők. Fontosnak tartjuk a természetvédelmi szempontú kijelölés alatt álló területek természeti állapotának megtartását, javítását, a településképet meghatározó településkarakter minőségének megóvását, a kilátás- és rálátásvédelem megvalósítását.</w:t>
      </w:r>
    </w:p>
    <w:p w:rsidR="00766F6A" w:rsidRDefault="00766F6A" w:rsidP="00766F6A">
      <w:pPr>
        <w:jc w:val="both"/>
        <w:rPr>
          <w:color w:val="000000"/>
        </w:rPr>
      </w:pPr>
    </w:p>
    <w:p w:rsidR="00766F6A" w:rsidRPr="00D70EFF" w:rsidRDefault="00766F6A" w:rsidP="00766F6A">
      <w:pPr>
        <w:autoSpaceDE w:val="0"/>
        <w:autoSpaceDN w:val="0"/>
        <w:adjustRightInd w:val="0"/>
        <w:jc w:val="both"/>
      </w:pPr>
      <w:r>
        <w:rPr>
          <w:color w:val="000000"/>
        </w:rPr>
        <w:t>A</w:t>
      </w:r>
      <w:r w:rsidRPr="00B71738">
        <w:rPr>
          <w:color w:val="000000"/>
        </w:rPr>
        <w:t xml:space="preserve">z </w:t>
      </w:r>
      <w:r>
        <w:t xml:space="preserve">országos természetvédelmi oltalom alatt álló területek, a Natura 2000 területek, a nemzeti ökológiai hálózat övezetei és a </w:t>
      </w:r>
      <w:r w:rsidRPr="0019559B">
        <w:t xml:space="preserve">tájképvédelmi szempontból kiemelten kezelendő területek </w:t>
      </w:r>
      <w:r w:rsidRPr="00D70EFF">
        <w:t>övezete által érintett külterületi egységet a kézikönyvben és HTR-ben „településképi szempontból meghatározó területként” szükséges lehatárolni és kezelni.</w:t>
      </w:r>
    </w:p>
    <w:p w:rsidR="00766F6A" w:rsidRPr="00D70EFF" w:rsidRDefault="00766F6A" w:rsidP="00766F6A">
      <w:pPr>
        <w:autoSpaceDE w:val="0"/>
        <w:autoSpaceDN w:val="0"/>
        <w:adjustRightInd w:val="0"/>
        <w:jc w:val="both"/>
      </w:pPr>
    </w:p>
    <w:p w:rsidR="00766F6A" w:rsidRPr="00D70EFF" w:rsidRDefault="00766F6A" w:rsidP="00766F6A">
      <w:pPr>
        <w:autoSpaceDE w:val="0"/>
        <w:autoSpaceDN w:val="0"/>
        <w:adjustRightInd w:val="0"/>
        <w:jc w:val="both"/>
      </w:pPr>
      <w:r w:rsidRPr="00D70EFF">
        <w:rPr>
          <w:color w:val="000000"/>
        </w:rPr>
        <w:t xml:space="preserve">Az </w:t>
      </w:r>
      <w:r w:rsidRPr="00D70EFF">
        <w:t xml:space="preserve">országos természetvédelmi oltalom alatt álló területek, a Natura 2000 területek, a </w:t>
      </w:r>
      <w:r>
        <w:t>nemzeti</w:t>
      </w:r>
      <w:r w:rsidRPr="00D70EFF">
        <w:t xml:space="preserve"> ökológiai hálózat övezetei és a tájképvédelmi szempontból kiemelten kezelendő területek övezete álta</w:t>
      </w:r>
      <w:r>
        <w:t>l érintett belterületet</w:t>
      </w:r>
      <w:r w:rsidRPr="00D70EFF">
        <w:t xml:space="preserve"> a kézikönyvben és HTR-ben „védett” vagy „településképi szempontból meghatározó területként” szükséges lehatárolni és kezelni.</w:t>
      </w:r>
    </w:p>
    <w:p w:rsidR="00766F6A" w:rsidRDefault="00766F6A" w:rsidP="00766F6A">
      <w:pPr>
        <w:pStyle w:val="western"/>
        <w:spacing w:before="0" w:beforeAutospacing="0" w:after="0"/>
        <w:jc w:val="both"/>
        <w:rPr>
          <w:b/>
          <w:bCs/>
        </w:rPr>
      </w:pPr>
    </w:p>
    <w:p w:rsidR="00766F6A" w:rsidRDefault="00766F6A" w:rsidP="00766F6A">
      <w:pPr>
        <w:pStyle w:val="western"/>
        <w:spacing w:before="0" w:beforeAutospacing="0" w:after="0"/>
        <w:jc w:val="both"/>
        <w:rPr>
          <w:bCs/>
          <w:iCs/>
        </w:rPr>
      </w:pPr>
      <w:r>
        <w:t xml:space="preserve">A </w:t>
      </w:r>
      <w:r w:rsidRPr="0019559B">
        <w:t>településképi szempontból meghatározó terület</w:t>
      </w:r>
      <w:r>
        <w:t xml:space="preserve">be sorolt egységekre </w:t>
      </w:r>
      <w:r>
        <w:rPr>
          <w:bCs/>
          <w:iCs/>
        </w:rPr>
        <w:t>településképi követelmények megfogalmazását javasoljuk:</w:t>
      </w:r>
    </w:p>
    <w:p w:rsidR="00766F6A" w:rsidRDefault="00766F6A" w:rsidP="00766F6A">
      <w:pPr>
        <w:pStyle w:val="western"/>
        <w:spacing w:before="0" w:beforeAutospacing="0" w:after="0"/>
        <w:jc w:val="both"/>
        <w:rPr>
          <w:bCs/>
          <w:iCs/>
        </w:rPr>
      </w:pPr>
    </w:p>
    <w:p w:rsidR="00766F6A" w:rsidRDefault="00766F6A" w:rsidP="00766F6A">
      <w:pPr>
        <w:pStyle w:val="western"/>
        <w:spacing w:before="0" w:beforeAutospacing="0" w:after="0"/>
        <w:jc w:val="both"/>
        <w:rPr>
          <w:bCs/>
          <w:iCs/>
        </w:rPr>
      </w:pPr>
      <w:r>
        <w:rPr>
          <w:bCs/>
          <w:iCs/>
        </w:rPr>
        <w:t>Kötelező területi építészeti követelményként:</w:t>
      </w:r>
    </w:p>
    <w:p w:rsidR="00766F6A" w:rsidRPr="009A310A" w:rsidRDefault="00766F6A" w:rsidP="00766F6A">
      <w:pPr>
        <w:pStyle w:val="western"/>
        <w:numPr>
          <w:ilvl w:val="0"/>
          <w:numId w:val="1"/>
        </w:numPr>
        <w:spacing w:before="0" w:beforeAutospacing="0" w:after="0"/>
        <w:jc w:val="both"/>
      </w:pPr>
      <w:r>
        <w:rPr>
          <w:bCs/>
          <w:iCs/>
        </w:rPr>
        <w:t>a beépítés telepítési módjára,</w:t>
      </w:r>
    </w:p>
    <w:p w:rsidR="00766F6A" w:rsidRPr="009A310A" w:rsidRDefault="00766F6A" w:rsidP="00766F6A">
      <w:pPr>
        <w:pStyle w:val="western"/>
        <w:numPr>
          <w:ilvl w:val="0"/>
          <w:numId w:val="1"/>
        </w:numPr>
        <w:spacing w:before="0" w:beforeAutospacing="0" w:after="0"/>
        <w:jc w:val="both"/>
      </w:pPr>
      <w:r>
        <w:rPr>
          <w:bCs/>
          <w:iCs/>
        </w:rPr>
        <w:t>a beépítés szintszámra,</w:t>
      </w:r>
    </w:p>
    <w:p w:rsidR="00766F6A" w:rsidRDefault="00766F6A" w:rsidP="00766F6A">
      <w:pPr>
        <w:pStyle w:val="western"/>
        <w:numPr>
          <w:ilvl w:val="0"/>
          <w:numId w:val="1"/>
        </w:numPr>
        <w:spacing w:before="0" w:beforeAutospacing="0" w:after="0"/>
        <w:jc w:val="both"/>
      </w:pPr>
      <w:r>
        <w:t>az épületek legmagasabb pontjára,</w:t>
      </w:r>
    </w:p>
    <w:p w:rsidR="00766F6A" w:rsidRDefault="00766F6A" w:rsidP="00766F6A">
      <w:pPr>
        <w:pStyle w:val="western"/>
        <w:numPr>
          <w:ilvl w:val="0"/>
          <w:numId w:val="1"/>
        </w:numPr>
        <w:spacing w:before="0" w:beforeAutospacing="0" w:after="0"/>
        <w:jc w:val="both"/>
      </w:pPr>
      <w:r>
        <w:t>kerítés kialakítására,</w:t>
      </w:r>
    </w:p>
    <w:p w:rsidR="00766F6A" w:rsidRDefault="00766F6A" w:rsidP="00766F6A">
      <w:pPr>
        <w:pStyle w:val="western"/>
        <w:numPr>
          <w:ilvl w:val="0"/>
          <w:numId w:val="1"/>
        </w:numPr>
        <w:spacing w:before="0" w:beforeAutospacing="0" w:after="0"/>
        <w:jc w:val="both"/>
      </w:pPr>
      <w:r>
        <w:t>kerti építmények, műtárgyak létesítésére vonatkozóan.</w:t>
      </w:r>
    </w:p>
    <w:p w:rsidR="00766F6A" w:rsidRDefault="00766F6A" w:rsidP="00766F6A">
      <w:pPr>
        <w:pStyle w:val="western"/>
        <w:spacing w:before="0" w:beforeAutospacing="0" w:after="0"/>
        <w:ind w:left="720"/>
        <w:jc w:val="both"/>
      </w:pPr>
    </w:p>
    <w:p w:rsidR="00766F6A" w:rsidRPr="002B54D8" w:rsidRDefault="00766F6A" w:rsidP="00766F6A">
      <w:pPr>
        <w:pStyle w:val="western"/>
        <w:spacing w:before="0" w:beforeAutospacing="0" w:after="0"/>
        <w:jc w:val="both"/>
        <w:rPr>
          <w:bCs/>
          <w:iCs/>
        </w:rPr>
      </w:pPr>
      <w:r>
        <w:rPr>
          <w:bCs/>
          <w:iCs/>
        </w:rPr>
        <w:t>M</w:t>
      </w:r>
      <w:r w:rsidRPr="002B54D8">
        <w:rPr>
          <w:bCs/>
          <w:iCs/>
        </w:rPr>
        <w:t xml:space="preserve">egengedő vagy tiltó </w:t>
      </w:r>
      <w:r>
        <w:rPr>
          <w:bCs/>
          <w:iCs/>
        </w:rPr>
        <w:t>e</w:t>
      </w:r>
      <w:r w:rsidRPr="002B54D8">
        <w:rPr>
          <w:bCs/>
          <w:iCs/>
        </w:rPr>
        <w:t>gyedi építészeti követelmény</w:t>
      </w:r>
      <w:r>
        <w:rPr>
          <w:bCs/>
          <w:iCs/>
        </w:rPr>
        <w:t>ként:</w:t>
      </w:r>
    </w:p>
    <w:p w:rsidR="00766F6A" w:rsidRDefault="00766F6A" w:rsidP="00766F6A">
      <w:pPr>
        <w:pStyle w:val="western"/>
        <w:numPr>
          <w:ilvl w:val="0"/>
          <w:numId w:val="1"/>
        </w:numPr>
        <w:spacing w:before="0" w:beforeAutospacing="0" w:after="0"/>
        <w:jc w:val="both"/>
      </w:pPr>
      <w:r>
        <w:t>építmény anyagára,</w:t>
      </w:r>
    </w:p>
    <w:p w:rsidR="00766F6A" w:rsidRDefault="00766F6A" w:rsidP="00766F6A">
      <w:pPr>
        <w:pStyle w:val="western"/>
        <w:numPr>
          <w:ilvl w:val="0"/>
          <w:numId w:val="1"/>
        </w:numPr>
        <w:spacing w:before="0" w:beforeAutospacing="0" w:after="0"/>
        <w:jc w:val="both"/>
      </w:pPr>
      <w:r>
        <w:t>az épület tömegformálására,</w:t>
      </w:r>
    </w:p>
    <w:p w:rsidR="00766F6A" w:rsidRDefault="00766F6A" w:rsidP="00766F6A">
      <w:pPr>
        <w:pStyle w:val="western"/>
        <w:numPr>
          <w:ilvl w:val="0"/>
          <w:numId w:val="1"/>
        </w:numPr>
        <w:spacing w:before="0" w:beforeAutospacing="0" w:after="0"/>
        <w:jc w:val="both"/>
      </w:pPr>
      <w:r>
        <w:t>az épülethomlokzati kialakításra,</w:t>
      </w:r>
    </w:p>
    <w:p w:rsidR="00766F6A" w:rsidRDefault="00766F6A" w:rsidP="00766F6A">
      <w:pPr>
        <w:pStyle w:val="western"/>
        <w:numPr>
          <w:ilvl w:val="0"/>
          <w:numId w:val="1"/>
        </w:numPr>
        <w:spacing w:before="0" w:beforeAutospacing="0" w:after="0"/>
        <w:jc w:val="both"/>
      </w:pPr>
      <w:r>
        <w:t>zöldfelületek kialakítására vonatkozóan.</w:t>
      </w:r>
    </w:p>
    <w:p w:rsidR="00766F6A" w:rsidRDefault="00766F6A" w:rsidP="00766F6A">
      <w:pPr>
        <w:pStyle w:val="Default"/>
        <w:rPr>
          <w:rFonts w:ascii="Times New Roman" w:hAnsi="Times New Roman" w:cs="Times New Roman"/>
        </w:rPr>
      </w:pPr>
    </w:p>
    <w:p w:rsidR="00766F6A" w:rsidRDefault="00766F6A" w:rsidP="00766F6A">
      <w:pPr>
        <w:autoSpaceDE w:val="0"/>
        <w:autoSpaceDN w:val="0"/>
        <w:adjustRightInd w:val="0"/>
        <w:jc w:val="both"/>
        <w:rPr>
          <w:bCs/>
        </w:rPr>
      </w:pPr>
      <w:r w:rsidRPr="00EE27AD">
        <w:rPr>
          <w:bCs/>
        </w:rPr>
        <w:t xml:space="preserve">Felhívom továbbá a </w:t>
      </w:r>
      <w:r>
        <w:rPr>
          <w:bCs/>
        </w:rPr>
        <w:t>figyelmüket, hogy a törvény 11/B § értelmében a törvény 1. sz. mellékletében szereplő területeken, köztük a fent említett védett természeti területeken, a Natura 2000 területeken, az ökológiai hálózat magterületén és ökológiai folyosó területén, egyedi tájérték, valamint a tájképvédelmi szempontból kiemelten kezelendő területeken reklámhordozó és reklám – jogszabályban meghatározott kivétellel – nem helyezhető el.</w:t>
      </w:r>
    </w:p>
    <w:p w:rsidR="00766F6A" w:rsidRPr="0019559B" w:rsidRDefault="00766F6A" w:rsidP="00766F6A">
      <w:pPr>
        <w:autoSpaceDE w:val="0"/>
        <w:autoSpaceDN w:val="0"/>
        <w:adjustRightInd w:val="0"/>
        <w:jc w:val="both"/>
      </w:pPr>
    </w:p>
    <w:p w:rsidR="00766F6A" w:rsidRDefault="00766F6A" w:rsidP="00766F6A">
      <w:pPr>
        <w:pStyle w:val="western"/>
        <w:spacing w:before="0" w:beforeAutospacing="0" w:after="0"/>
        <w:jc w:val="both"/>
      </w:pPr>
      <w:r>
        <w:t>A településképi arculati kézikönyvvel kapcsolatos természet- és tájvédelmi szakmai véleményünket a Korm. rendelet 43/A. § (6) bekezdésének b) és c) pontja szerint részünkre megküldött, tervező által kidolgozott kézikönyv és rendelet alapján adjuk meg. A dokumentumok egyeztetése a Korm. rendelet 43/A. § (9) bekezdése értelmében a Lechner Tudásközpont által üzemeltetett digitális egyeztetési felületen történik (</w:t>
      </w:r>
      <w:hyperlink r:id="rId8" w:history="1">
        <w:r w:rsidRPr="00383A3B">
          <w:rPr>
            <w:rStyle w:val="Hiperhivatkozs"/>
          </w:rPr>
          <w:t>http://tak.lechnerkozpont.hu/</w:t>
        </w:r>
      </w:hyperlink>
      <w:r>
        <w:t xml:space="preserve">). </w:t>
      </w:r>
    </w:p>
    <w:p w:rsidR="00766F6A" w:rsidRDefault="00766F6A" w:rsidP="00766F6A">
      <w:pPr>
        <w:pStyle w:val="western"/>
        <w:spacing w:before="0" w:beforeAutospacing="0" w:after="0"/>
        <w:jc w:val="both"/>
      </w:pPr>
    </w:p>
    <w:p w:rsidR="00766F6A" w:rsidRDefault="00766F6A" w:rsidP="00766F6A">
      <w:pPr>
        <w:pStyle w:val="western"/>
        <w:spacing w:before="0" w:beforeAutospacing="0" w:after="0"/>
        <w:jc w:val="both"/>
      </w:pPr>
      <w:r w:rsidRPr="00D70EFF">
        <w:t>A Korm. rendelet 43/B. § (1) bekezdésének c) pontja értelmében az elfogadott kézikönyvet és rendeletet szíveskedjenek igazgatóságunk részére megküldés helyett szerkeszthető digitális formátumban a jegyzőkönyvvel együtt, mint elektronikus úton hitelesített dokumentumot elérhetővé tenni a Lechner Tudásközpont által üzemeltetett digitális felületen. A feltöltésre kerülő szöveges dokumentumokat pdf vagy odt formátumban, a térképi munkarészeket pdf formátumban kell biztosítani.</w:t>
      </w:r>
    </w:p>
    <w:p w:rsidR="00766F6A" w:rsidRPr="004F2F54" w:rsidRDefault="00766F6A" w:rsidP="00766F6A">
      <w:pPr>
        <w:jc w:val="both"/>
      </w:pPr>
    </w:p>
    <w:p w:rsidR="00766F6A" w:rsidRPr="004F2F54" w:rsidRDefault="00766F6A" w:rsidP="00766F6A">
      <w:pPr>
        <w:tabs>
          <w:tab w:val="left" w:pos="5760"/>
        </w:tabs>
      </w:pPr>
      <w:r w:rsidRPr="004F2F54">
        <w:t xml:space="preserve">Őriszentpéter, </w:t>
      </w:r>
      <w:r w:rsidR="009B3AB0">
        <w:t>2017. augusztus 9</w:t>
      </w:r>
      <w:r>
        <w:t>.</w:t>
      </w:r>
    </w:p>
    <w:p w:rsidR="00766F6A" w:rsidRDefault="00766F6A" w:rsidP="00766F6A">
      <w:pPr>
        <w:tabs>
          <w:tab w:val="left" w:pos="5760"/>
        </w:tabs>
      </w:pPr>
    </w:p>
    <w:p w:rsidR="00766F6A" w:rsidRPr="004F2F54" w:rsidRDefault="00766F6A" w:rsidP="00766F6A">
      <w:pPr>
        <w:tabs>
          <w:tab w:val="left" w:pos="5760"/>
        </w:tabs>
      </w:pPr>
    </w:p>
    <w:p w:rsidR="00766F6A" w:rsidRPr="004F2F54" w:rsidRDefault="00766F6A" w:rsidP="00766F6A">
      <w:pPr>
        <w:tabs>
          <w:tab w:val="left" w:pos="3420"/>
          <w:tab w:val="left" w:pos="5760"/>
        </w:tabs>
      </w:pPr>
      <w:r w:rsidRPr="004F2F54">
        <w:tab/>
        <w:t>Üdvözlettel:</w:t>
      </w:r>
    </w:p>
    <w:p w:rsidR="00766F6A" w:rsidRDefault="00766F6A" w:rsidP="00766F6A">
      <w:pPr>
        <w:tabs>
          <w:tab w:val="left" w:pos="3420"/>
          <w:tab w:val="left" w:pos="5760"/>
        </w:tabs>
      </w:pPr>
    </w:p>
    <w:p w:rsidR="00766F6A" w:rsidRPr="00C01D8A" w:rsidRDefault="00766F6A" w:rsidP="00766F6A">
      <w:pPr>
        <w:tabs>
          <w:tab w:val="left" w:pos="3420"/>
          <w:tab w:val="left" w:pos="5760"/>
        </w:tabs>
      </w:pPr>
    </w:p>
    <w:tbl>
      <w:tblPr>
        <w:tblW w:w="0" w:type="auto"/>
        <w:tblLook w:val="01E0" w:firstRow="1" w:lastRow="1" w:firstColumn="1" w:lastColumn="1" w:noHBand="0" w:noVBand="0"/>
      </w:tblPr>
      <w:tblGrid>
        <w:gridCol w:w="4968"/>
        <w:gridCol w:w="3420"/>
      </w:tblGrid>
      <w:tr w:rsidR="00766F6A" w:rsidRPr="00C01D8A" w:rsidTr="004A0E4E">
        <w:tc>
          <w:tcPr>
            <w:tcW w:w="4968" w:type="dxa"/>
            <w:vMerge w:val="restart"/>
          </w:tcPr>
          <w:p w:rsidR="00766F6A" w:rsidRPr="00C01D8A" w:rsidRDefault="00766F6A" w:rsidP="004A0E4E">
            <w:pPr>
              <w:tabs>
                <w:tab w:val="left" w:pos="3420"/>
                <w:tab w:val="left" w:pos="5760"/>
              </w:tabs>
              <w:jc w:val="both"/>
            </w:pPr>
          </w:p>
        </w:tc>
        <w:tc>
          <w:tcPr>
            <w:tcW w:w="3420" w:type="dxa"/>
          </w:tcPr>
          <w:p w:rsidR="00766F6A" w:rsidRPr="00C01D8A" w:rsidRDefault="00766F6A" w:rsidP="004A0E4E">
            <w:pPr>
              <w:tabs>
                <w:tab w:val="left" w:pos="3420"/>
                <w:tab w:val="left" w:pos="5760"/>
              </w:tabs>
              <w:jc w:val="center"/>
            </w:pPr>
            <w:r>
              <w:t>Dr. Markovics Tibor</w:t>
            </w:r>
          </w:p>
        </w:tc>
      </w:tr>
      <w:tr w:rsidR="00766F6A" w:rsidRPr="00C01D8A" w:rsidTr="004A0E4E">
        <w:tc>
          <w:tcPr>
            <w:tcW w:w="4968" w:type="dxa"/>
            <w:vMerge/>
            <w:vAlign w:val="center"/>
          </w:tcPr>
          <w:p w:rsidR="00766F6A" w:rsidRPr="00C01D8A" w:rsidRDefault="00766F6A" w:rsidP="004A0E4E">
            <w:pPr>
              <w:jc w:val="both"/>
            </w:pPr>
          </w:p>
        </w:tc>
        <w:tc>
          <w:tcPr>
            <w:tcW w:w="3420" w:type="dxa"/>
          </w:tcPr>
          <w:p w:rsidR="00766F6A" w:rsidRPr="00C01D8A" w:rsidRDefault="00766F6A" w:rsidP="004A0E4E">
            <w:pPr>
              <w:tabs>
                <w:tab w:val="left" w:pos="3420"/>
                <w:tab w:val="left" w:pos="5760"/>
              </w:tabs>
              <w:jc w:val="center"/>
            </w:pPr>
            <w:r w:rsidRPr="00C01D8A">
              <w:t>igazgató</w:t>
            </w:r>
          </w:p>
        </w:tc>
      </w:tr>
    </w:tbl>
    <w:p w:rsidR="00766F6A" w:rsidRDefault="00766F6A" w:rsidP="00766F6A"/>
    <w:p w:rsidR="00766F6A" w:rsidRDefault="00766F6A" w:rsidP="00766F6A"/>
    <w:p w:rsidR="00766F6A" w:rsidRDefault="00766F6A" w:rsidP="00766F6A"/>
    <w:p w:rsidR="00766F6A" w:rsidRDefault="00766F6A" w:rsidP="00766F6A"/>
    <w:p w:rsidR="00820038" w:rsidRDefault="00820038"/>
    <w:p w:rsidR="009C0702" w:rsidRDefault="009C0702"/>
    <w:p w:rsidR="009C0702" w:rsidRDefault="009C0702"/>
    <w:p w:rsidR="009C0702" w:rsidRPr="009759B4" w:rsidRDefault="009C0702" w:rsidP="009C0702">
      <w:pPr>
        <w:pStyle w:val="Nincstrkz"/>
        <w:jc w:val="center"/>
        <w:rPr>
          <w:rFonts w:ascii="Times New Roman" w:hAnsi="Times New Roman" w:cs="Times New Roman"/>
          <w:sz w:val="24"/>
          <w:szCs w:val="24"/>
          <w:u w:val="single"/>
        </w:rPr>
      </w:pPr>
      <w:r w:rsidRPr="009759B4">
        <w:rPr>
          <w:rFonts w:ascii="Times New Roman" w:hAnsi="Times New Roman" w:cs="Times New Roman"/>
          <w:sz w:val="24"/>
          <w:szCs w:val="24"/>
          <w:u w:val="single"/>
        </w:rPr>
        <w:t>MELLÉKLET</w:t>
      </w:r>
    </w:p>
    <w:p w:rsidR="009C0702" w:rsidRPr="009759B4" w:rsidRDefault="009C0702" w:rsidP="009C0702">
      <w:pPr>
        <w:pStyle w:val="Nincstrkz"/>
        <w:jc w:val="center"/>
        <w:rPr>
          <w:rFonts w:ascii="Times New Roman" w:hAnsi="Times New Roman" w:cs="Times New Roman"/>
          <w:sz w:val="24"/>
          <w:szCs w:val="24"/>
          <w:u w:val="single"/>
        </w:rPr>
      </w:pPr>
    </w:p>
    <w:p w:rsidR="009C0702" w:rsidRPr="009759B4" w:rsidRDefault="009C0702" w:rsidP="009C0702">
      <w:pPr>
        <w:pStyle w:val="Nincstrkz"/>
        <w:jc w:val="center"/>
        <w:rPr>
          <w:rFonts w:ascii="Times New Roman" w:hAnsi="Times New Roman" w:cs="Times New Roman"/>
          <w:sz w:val="24"/>
          <w:szCs w:val="24"/>
        </w:rPr>
      </w:pPr>
      <w:r w:rsidRPr="009759B4">
        <w:rPr>
          <w:rFonts w:ascii="Times New Roman" w:hAnsi="Times New Roman" w:cs="Times New Roman"/>
          <w:sz w:val="24"/>
          <w:szCs w:val="24"/>
          <w:u w:val="single"/>
        </w:rPr>
        <w:t>ADATSZOLGÁLTATÁS - SZOMBATHELY</w:t>
      </w:r>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Nincstrkz"/>
        <w:rPr>
          <w:rFonts w:ascii="Times New Roman" w:hAnsi="Times New Roman" w:cs="Times New Roman"/>
          <w:b/>
          <w:sz w:val="24"/>
          <w:szCs w:val="24"/>
        </w:rPr>
      </w:pPr>
      <w:r w:rsidRPr="009759B4">
        <w:rPr>
          <w:rFonts w:ascii="Times New Roman" w:hAnsi="Times New Roman" w:cs="Times New Roman"/>
          <w:b/>
          <w:sz w:val="24"/>
          <w:szCs w:val="24"/>
        </w:rPr>
        <w:t>Országos természetvédelmi oltalom alatt álló területek</w:t>
      </w:r>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western"/>
        <w:spacing w:before="0" w:beforeAutospacing="0" w:after="0"/>
        <w:jc w:val="both"/>
      </w:pPr>
      <w:r w:rsidRPr="009759B4">
        <w:t>Szombathely közigazgatási területén országos jelentőségű védett természeti területek találhatók.</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Egyedi jogszabállyal védett természetvédelmi terület a Kámoni Arborétum.</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jc w:val="both"/>
        <w:rPr>
          <w:snapToGrid w:val="0"/>
        </w:rPr>
      </w:pPr>
      <w:r w:rsidRPr="009759B4">
        <w:t xml:space="preserve">A természet védelméről szóló 1996. évi LIII. törvény 23. § (2) bekezdés értelmében a törvény erejénél („ex lege”) fogva védelem alatt áll valamennyi láp. A törvény 28. § (4) bekezdése alapján a lápok természetvédelmi területnek minősülnek. </w:t>
      </w:r>
      <w:r w:rsidRPr="009759B4">
        <w:rPr>
          <w:rFonts w:eastAsia="Calibri"/>
          <w:snapToGrid w:val="0"/>
        </w:rPr>
        <w:t>Szombathely település területén 1 db láp található</w:t>
      </w:r>
      <w:r w:rsidRPr="009759B4">
        <w:rPr>
          <w:snapToGrid w:val="0"/>
        </w:rPr>
        <w:t>: a Potyondi-mocsár, amely</w:t>
      </w:r>
      <w:r w:rsidRPr="009759B4">
        <w:t xml:space="preserve"> a Szombathely 01037 hrsz-ú ingatlanon helyezkedik el</w:t>
      </w:r>
      <w:r w:rsidRPr="009759B4">
        <w:rPr>
          <w:snapToGrid w:val="0"/>
        </w:rPr>
        <w:t>.</w:t>
      </w:r>
    </w:p>
    <w:p w:rsidR="009C0702" w:rsidRPr="009759B4" w:rsidRDefault="009C0702" w:rsidP="009C0702">
      <w:pPr>
        <w:pStyle w:val="Nincstrkz"/>
        <w:rPr>
          <w:rFonts w:ascii="Times New Roman" w:hAnsi="Times New Roman" w:cs="Times New Roman"/>
          <w:b/>
          <w:sz w:val="24"/>
          <w:szCs w:val="24"/>
        </w:rPr>
      </w:pPr>
      <w:r w:rsidRPr="009759B4">
        <w:rPr>
          <w:rFonts w:ascii="Times New Roman" w:hAnsi="Times New Roman" w:cs="Times New Roman"/>
          <w:b/>
          <w:sz w:val="24"/>
          <w:szCs w:val="24"/>
        </w:rPr>
        <w:t>Natura 2000 területek</w:t>
      </w:r>
    </w:p>
    <w:p w:rsidR="009C0702" w:rsidRPr="009759B4" w:rsidRDefault="009C0702" w:rsidP="009C0702">
      <w:pPr>
        <w:pStyle w:val="Nincstrkz"/>
        <w:rPr>
          <w:rFonts w:ascii="Times New Roman" w:hAnsi="Times New Roman" w:cs="Times New Roman"/>
          <w:b/>
          <w:sz w:val="24"/>
          <w:szCs w:val="24"/>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 xml:space="preserve">A települést európai közösségi jelentőségű természetvédelmi rendeltetésű terület nem érinti. </w:t>
      </w:r>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Nincstrkz"/>
        <w:rPr>
          <w:rFonts w:ascii="Times New Roman" w:hAnsi="Times New Roman" w:cs="Times New Roman"/>
          <w:b/>
          <w:sz w:val="24"/>
          <w:szCs w:val="24"/>
        </w:rPr>
      </w:pPr>
      <w:r w:rsidRPr="009759B4">
        <w:rPr>
          <w:rFonts w:ascii="Times New Roman" w:hAnsi="Times New Roman" w:cs="Times New Roman"/>
          <w:b/>
          <w:sz w:val="24"/>
          <w:szCs w:val="24"/>
        </w:rPr>
        <w:t>Nemzeti Ökológiai Hálózat övezetei</w:t>
      </w:r>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A települést a Nemzeti Ökológiai Hálózat magterülete és ökológiai folyosója érinti. Az ilyen besorolás alá eső területek térinformatikai adatai dxf és shp formátumban letölthetők az alábbi linkről.</w:t>
      </w:r>
    </w:p>
    <w:p w:rsidR="009C0702" w:rsidRPr="009759B4" w:rsidRDefault="009C0702" w:rsidP="009C0702">
      <w:pPr>
        <w:pStyle w:val="Nincstrkz"/>
        <w:jc w:val="both"/>
        <w:rPr>
          <w:rFonts w:ascii="Times New Roman" w:hAnsi="Times New Roman" w:cs="Times New Roman"/>
          <w:sz w:val="24"/>
          <w:szCs w:val="24"/>
        </w:rPr>
      </w:pPr>
      <w:hyperlink r:id="rId9" w:history="1">
        <w:r w:rsidRPr="009759B4">
          <w:rPr>
            <w:rStyle w:val="Hiperhivatkozs"/>
          </w:rPr>
          <w:t>https://drive.google.com/open?id=0B1XQzDi1nNZhVGNLbkhuWVhpTzg</w:t>
        </w:r>
      </w:hyperlink>
    </w:p>
    <w:p w:rsidR="009C0702" w:rsidRPr="009759B4" w:rsidRDefault="009C0702" w:rsidP="009C0702">
      <w:pPr>
        <w:pStyle w:val="Nincstrkz"/>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 xml:space="preserve">Fontosnak tartjuk megjegyezni, hogy a Nemzeti Ökológiai Hálózat elhelyezkedésének szakmai felülvizsgálata jelenleg zajlik. A továbbított verzió a felülvizsgálat előtti állapotot mutatja. </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b/>
          <w:sz w:val="24"/>
          <w:szCs w:val="24"/>
        </w:rPr>
      </w:pPr>
      <w:r w:rsidRPr="009759B4">
        <w:rPr>
          <w:rFonts w:ascii="Times New Roman" w:hAnsi="Times New Roman" w:cs="Times New Roman"/>
          <w:b/>
          <w:sz w:val="24"/>
          <w:szCs w:val="24"/>
        </w:rPr>
        <w:t>Kiemelt tájképvédelmi övezet</w:t>
      </w:r>
    </w:p>
    <w:p w:rsidR="009C0702" w:rsidRPr="009759B4" w:rsidRDefault="009C0702" w:rsidP="009C0702">
      <w:pPr>
        <w:pStyle w:val="Nincstrkz"/>
        <w:jc w:val="both"/>
        <w:rPr>
          <w:rFonts w:ascii="Times New Roman" w:hAnsi="Times New Roman" w:cs="Times New Roman"/>
          <w:b/>
          <w:sz w:val="24"/>
          <w:szCs w:val="24"/>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A települést a tájképvédelmi szempontból kiemelten kezelendő terület övezete érinti, amely digitálisan az alábbi linkről tölthető le.</w:t>
      </w:r>
    </w:p>
    <w:p w:rsidR="009C0702" w:rsidRPr="009759B4" w:rsidRDefault="009C0702" w:rsidP="009C0702">
      <w:pPr>
        <w:pStyle w:val="Nincstrkz"/>
        <w:jc w:val="both"/>
        <w:rPr>
          <w:rFonts w:ascii="Times New Roman" w:hAnsi="Times New Roman" w:cs="Times New Roman"/>
          <w:sz w:val="24"/>
          <w:szCs w:val="24"/>
        </w:rPr>
      </w:pPr>
      <w:hyperlink r:id="rId10" w:history="1">
        <w:r w:rsidRPr="009759B4">
          <w:rPr>
            <w:rStyle w:val="Hiperhivatkozs"/>
            <w:bCs/>
          </w:rPr>
          <w:t>http://www.terport.hu/webfm_send/4214</w:t>
        </w:r>
      </w:hyperlink>
      <w:r w:rsidRPr="009759B4">
        <w:rPr>
          <w:rFonts w:ascii="Times New Roman" w:hAnsi="Times New Roman" w:cs="Times New Roman"/>
          <w:sz w:val="24"/>
          <w:szCs w:val="24"/>
        </w:rPr>
        <w:t>.</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b/>
          <w:sz w:val="24"/>
          <w:szCs w:val="24"/>
        </w:rPr>
      </w:pPr>
      <w:r w:rsidRPr="009759B4">
        <w:rPr>
          <w:rFonts w:ascii="Times New Roman" w:hAnsi="Times New Roman" w:cs="Times New Roman"/>
          <w:b/>
          <w:sz w:val="24"/>
          <w:szCs w:val="24"/>
        </w:rPr>
        <w:t>A helyi jelentőségű védett természeti terület</w:t>
      </w:r>
    </w:p>
    <w:p w:rsidR="009C0702" w:rsidRPr="009759B4" w:rsidRDefault="009C0702" w:rsidP="009C0702">
      <w:pPr>
        <w:pStyle w:val="Nincstrkz"/>
        <w:jc w:val="both"/>
        <w:rPr>
          <w:rFonts w:ascii="Times New Roman" w:hAnsi="Times New Roman" w:cs="Times New Roman"/>
          <w:b/>
          <w:sz w:val="24"/>
          <w:szCs w:val="24"/>
        </w:rPr>
      </w:pPr>
    </w:p>
    <w:p w:rsidR="009C0702" w:rsidRPr="009759B4" w:rsidRDefault="009C0702" w:rsidP="009C0702">
      <w:pPr>
        <w:jc w:val="both"/>
        <w:rPr>
          <w:snapToGrid w:val="0"/>
        </w:rPr>
      </w:pPr>
      <w:r w:rsidRPr="009759B4">
        <w:rPr>
          <w:snapToGrid w:val="0"/>
        </w:rPr>
        <w:t>Bogáti kastélypark</w:t>
      </w:r>
    </w:p>
    <w:p w:rsidR="009C0702" w:rsidRPr="009759B4" w:rsidRDefault="009C0702" w:rsidP="009C0702">
      <w:pPr>
        <w:jc w:val="both"/>
        <w:rPr>
          <w:snapToGrid w:val="0"/>
        </w:rPr>
      </w:pPr>
      <w:r w:rsidRPr="009759B4">
        <w:rPr>
          <w:snapToGrid w:val="0"/>
        </w:rPr>
        <w:t>Brenner park</w:t>
      </w:r>
    </w:p>
    <w:p w:rsidR="009C0702" w:rsidRPr="009759B4" w:rsidRDefault="009C0702" w:rsidP="009C0702">
      <w:pPr>
        <w:jc w:val="both"/>
        <w:rPr>
          <w:snapToGrid w:val="0"/>
        </w:rPr>
      </w:pPr>
      <w:r w:rsidRPr="009759B4">
        <w:rPr>
          <w:snapToGrid w:val="0"/>
        </w:rPr>
        <w:t>Ezredévi park</w:t>
      </w:r>
    </w:p>
    <w:p w:rsidR="009C0702" w:rsidRPr="009759B4" w:rsidRDefault="009C0702" w:rsidP="009C0702">
      <w:pPr>
        <w:jc w:val="both"/>
        <w:rPr>
          <w:snapToGrid w:val="0"/>
        </w:rPr>
      </w:pPr>
      <w:r w:rsidRPr="009759B4">
        <w:rPr>
          <w:snapToGrid w:val="0"/>
        </w:rPr>
        <w:t>Gayer-park</w:t>
      </w:r>
    </w:p>
    <w:p w:rsidR="009C0702" w:rsidRPr="009759B4" w:rsidRDefault="009C0702" w:rsidP="009C0702">
      <w:pPr>
        <w:jc w:val="both"/>
        <w:rPr>
          <w:snapToGrid w:val="0"/>
        </w:rPr>
      </w:pPr>
      <w:r w:rsidRPr="009759B4">
        <w:rPr>
          <w:snapToGrid w:val="0"/>
        </w:rPr>
        <w:t>Szent István-park</w:t>
      </w:r>
    </w:p>
    <w:p w:rsidR="009C0702" w:rsidRPr="009759B4" w:rsidRDefault="009C0702" w:rsidP="009C0702">
      <w:pPr>
        <w:jc w:val="both"/>
        <w:rPr>
          <w:b/>
          <w:snapToGrid w:val="0"/>
        </w:rPr>
      </w:pPr>
      <w:r w:rsidRPr="009759B4">
        <w:rPr>
          <w:b/>
          <w:snapToGrid w:val="0"/>
        </w:rPr>
        <w:t>Egyéb helyi jelentőségű védett értékek</w:t>
      </w:r>
    </w:p>
    <w:p w:rsidR="009C0702" w:rsidRPr="009759B4" w:rsidRDefault="009C0702" w:rsidP="009C0702">
      <w:pPr>
        <w:jc w:val="both"/>
        <w:rPr>
          <w:snapToGrid w:val="0"/>
        </w:rPr>
      </w:pPr>
      <w:r w:rsidRPr="009759B4">
        <w:rPr>
          <w:snapToGrid w:val="0"/>
        </w:rPr>
        <w:t>A Szombathely Megyei Jogú Város Közgyűlése 33/2012. (XI.12.) önkormányzati rendeletének 3. számú mellékletében szereplő helyi jelentőségű védett fák.</w:t>
      </w: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eastAsiaTheme="minorHAnsi" w:hAnsi="Times New Roman" w:cs="Times New Roman"/>
          <w:snapToGrid w:val="0"/>
          <w:sz w:val="24"/>
          <w:szCs w:val="24"/>
          <w:lang w:eastAsia="en-US"/>
        </w:rPr>
        <w:t>A magas korú és belterületi elhelyezkedésük miatt jelentős fák megóvása kívánatos.</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pStyle w:val="Nincstrkz"/>
        <w:jc w:val="both"/>
        <w:rPr>
          <w:rFonts w:ascii="Times New Roman" w:hAnsi="Times New Roman" w:cs="Times New Roman"/>
          <w:b/>
          <w:sz w:val="24"/>
          <w:szCs w:val="24"/>
        </w:rPr>
      </w:pPr>
      <w:r w:rsidRPr="009759B4">
        <w:rPr>
          <w:rFonts w:ascii="Times New Roman" w:hAnsi="Times New Roman" w:cs="Times New Roman"/>
          <w:b/>
          <w:sz w:val="24"/>
          <w:szCs w:val="24"/>
        </w:rPr>
        <w:t>Egyéb védett természeti értékek</w:t>
      </w:r>
    </w:p>
    <w:p w:rsidR="009C0702" w:rsidRPr="009759B4" w:rsidRDefault="009C0702" w:rsidP="009C0702">
      <w:pPr>
        <w:pStyle w:val="Nincstrkz"/>
        <w:jc w:val="both"/>
        <w:rPr>
          <w:rFonts w:ascii="Times New Roman" w:hAnsi="Times New Roman" w:cs="Times New Roman"/>
          <w:sz w:val="24"/>
          <w:szCs w:val="24"/>
        </w:rPr>
      </w:pPr>
    </w:p>
    <w:p w:rsidR="009C0702" w:rsidRPr="009759B4" w:rsidRDefault="009C0702" w:rsidP="009C0702">
      <w:pPr>
        <w:jc w:val="both"/>
        <w:rPr>
          <w:rFonts w:eastAsia="Calibri"/>
        </w:rPr>
      </w:pPr>
      <w:r w:rsidRPr="009759B4">
        <w:t>1. Kérjük, hogy a tömbben elhelyezkedő lakások, irodaépületek, közintézmények esetében vegyék figyelembe az alábbiakat.</w:t>
      </w:r>
      <w:r w:rsidRPr="009759B4">
        <w:rPr>
          <w:rFonts w:eastAsia="Calibri"/>
        </w:rPr>
        <w:t xml:space="preserve"> A háztömbök potenciális élőhelyei lehetnek védett állatfajoknak (fecskefajok, denevérfajok). A természet védelméről szóló 1996. évi LIII. törvény 43.§ (1) bekezdése értelmében „Tilos a védett állatfajok egyedének zavarása, károsítása, kínzása, elpusztítása, szaporodásának és más élettevékenységének veszélyeztetése, lakó-, élő-, táplálkozó-, költő-, pihenő- vagy búvóhelyeinek lerombolása, károsítása.”A védett állatfajok védelmére, tartására, hasznosítására és bemutatására vonatkozó részletes szabályokról szóló 348/2006. (XII. 23.) Korm. rendelet 5.§ (2) bekezdése alapján „ A védelemben részesülő állatfaj egyede lakó-, élő-, költő-, búvó- vagy pihenőhelyként használt épületrészen külső felújítás vagy karbantartás a természetvédelmi hatóság engedélyével végezhető.” Fenti jogszabályok értelmében a felújítási munkák során időbeni korlátozások bevezetésére, valamint egyéb természetvédelmi vonatkozású intézkedésekre lehet, ill. kell számítani, amennyiben védett fajok jelenléte igazolható vagy feltételezhető. </w:t>
      </w:r>
    </w:p>
    <w:p w:rsidR="009C0702" w:rsidRPr="009759B4" w:rsidRDefault="009C0702" w:rsidP="009C0702">
      <w:pPr>
        <w:jc w:val="both"/>
      </w:pPr>
      <w:r w:rsidRPr="009759B4">
        <w:t>2. Szombathely város belterületén, a Pelikán parkban kiemelkedő természetvédelmi jelentőséggel bíró védett vetési varjú telep található, amely jelenleg kb. 200 fészkelő párt számlál. Igazgatóságunk hangsúlyozni kívánja, hogy természetvédelmi szempontból a vetési varjak élőhelyének hosszú távú fennmaradása kívánatos, amely a fészkelésre alkalmas fák kíméletével, megőrzésével biztosítható, ezért a városfejlesztés során ezt figyelembe kell venni. Igazgatóságunk továbbra is javasolja a vetési varjú telep élőhelyét jelentő Pelikán park helyi jelentőségű védett természeti területté nyilvánítását.</w:t>
      </w:r>
    </w:p>
    <w:p w:rsidR="009C0702" w:rsidRPr="009759B4" w:rsidRDefault="009C0702" w:rsidP="009C0702">
      <w:pPr>
        <w:jc w:val="both"/>
      </w:pPr>
      <w:r w:rsidRPr="009759B4">
        <w:rPr>
          <w:b/>
        </w:rPr>
        <w:t>Növénytelepítéseknél javasolt növényzet</w:t>
      </w:r>
    </w:p>
    <w:p w:rsidR="009C0702" w:rsidRPr="009759B4" w:rsidRDefault="009C0702" w:rsidP="009C0702">
      <w:pPr>
        <w:pStyle w:val="Szvegtrzs"/>
        <w:jc w:val="both"/>
        <w:rPr>
          <w:iCs/>
        </w:rPr>
      </w:pPr>
      <w:r w:rsidRPr="009759B4">
        <w:rPr>
          <w:iCs/>
        </w:rPr>
        <w:t>A telepíthető fás szárú növényfajok mindenképp őshonos, táji adottságoknak megfelelő növényfajok legyenek.</w:t>
      </w:r>
    </w:p>
    <w:p w:rsidR="009C0702" w:rsidRPr="009759B4" w:rsidRDefault="009C0702" w:rsidP="009C0702">
      <w:pPr>
        <w:pStyle w:val="Szvegtrzs"/>
        <w:ind w:left="567"/>
        <w:jc w:val="both"/>
        <w:rPr>
          <w:iCs/>
        </w:rPr>
      </w:pPr>
      <w:r w:rsidRPr="009759B4">
        <w:rPr>
          <w:iCs/>
        </w:rPr>
        <w:t>A telepítésre javasolt fák meghatározásánál javasolt együttesen figyelembe venni:</w:t>
      </w:r>
    </w:p>
    <w:p w:rsidR="009C0702" w:rsidRPr="009759B4" w:rsidRDefault="009C0702" w:rsidP="009C0702">
      <w:pPr>
        <w:pStyle w:val="Szvegtrzs"/>
        <w:numPr>
          <w:ilvl w:val="0"/>
          <w:numId w:val="4"/>
        </w:numPr>
        <w:jc w:val="both"/>
        <w:rPr>
          <w:iCs/>
        </w:rPr>
      </w:pPr>
      <w:r w:rsidRPr="009759B4">
        <w:rPr>
          <w:iCs/>
        </w:rPr>
        <w:t>a növénytelepítésre vonatkozó jogi szabályozást,</w:t>
      </w:r>
    </w:p>
    <w:p w:rsidR="009C0702" w:rsidRPr="009759B4" w:rsidRDefault="009C0702" w:rsidP="009C0702">
      <w:pPr>
        <w:pStyle w:val="Szvegtrzs"/>
        <w:numPr>
          <w:ilvl w:val="0"/>
          <w:numId w:val="4"/>
        </w:numPr>
        <w:jc w:val="both"/>
        <w:rPr>
          <w:iCs/>
        </w:rPr>
      </w:pPr>
      <w:r w:rsidRPr="009759B4">
        <w:rPr>
          <w:iCs/>
        </w:rPr>
        <w:t>Orlóci L. (szerk.) (2015): Közterületi sorfák jegyzékét,</w:t>
      </w:r>
    </w:p>
    <w:p w:rsidR="009C0702" w:rsidRPr="009759B4" w:rsidRDefault="009C0702" w:rsidP="009C0702">
      <w:pPr>
        <w:pStyle w:val="Szvegtrzs"/>
        <w:numPr>
          <w:ilvl w:val="0"/>
          <w:numId w:val="4"/>
        </w:numPr>
        <w:jc w:val="both"/>
        <w:rPr>
          <w:iCs/>
        </w:rPr>
      </w:pPr>
      <w:r w:rsidRPr="009759B4">
        <w:rPr>
          <w:iCs/>
        </w:rPr>
        <w:t>az ökológiai viszonyokat.</w:t>
      </w:r>
    </w:p>
    <w:p w:rsidR="009C0702" w:rsidRPr="009759B4" w:rsidRDefault="009C0702" w:rsidP="009C0702">
      <w:pPr>
        <w:pStyle w:val="Szvegtrzs"/>
        <w:jc w:val="both"/>
        <w:rPr>
          <w:iCs/>
        </w:rPr>
      </w:pPr>
      <w:r w:rsidRPr="009759B4">
        <w:rPr>
          <w:iCs/>
        </w:rPr>
        <w:t xml:space="preserve">Kérjük figyelembe venni, hogy inváziós faj telepítését akkor sem támogatjuk, ha az szerepel a </w:t>
      </w:r>
      <w:r w:rsidRPr="009759B4">
        <w:sym w:font="Symbol" w:char="F02D"/>
      </w:r>
      <w:r w:rsidRPr="009759B4">
        <w:rPr>
          <w:iCs/>
        </w:rPr>
        <w:t xml:space="preserve"> korábban összeállított </w:t>
      </w:r>
      <w:r w:rsidRPr="009759B4">
        <w:sym w:font="Symbol" w:char="F02D"/>
      </w:r>
      <w:r w:rsidRPr="009759B4">
        <w:rPr>
          <w:iCs/>
        </w:rPr>
        <w:t xml:space="preserve"> Közterületi sorfák jegyzékében.</w:t>
      </w:r>
    </w:p>
    <w:p w:rsidR="009C0702" w:rsidRPr="009759B4" w:rsidRDefault="009C0702" w:rsidP="009C0702">
      <w:pPr>
        <w:pStyle w:val="Szvegtrzs"/>
        <w:jc w:val="both"/>
        <w:rPr>
          <w:iCs/>
        </w:rPr>
      </w:pP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 xml:space="preserve">A fás szárú növények védelméről szóló 346/2008. (XII. 30.) Korm. rendelet 2. § (1) szerint fás szárú növény az ingatlan azon részén és oly módon telepíthető, hogy az </w:t>
      </w:r>
      <w:r w:rsidRPr="009759B4">
        <w:rPr>
          <w:rFonts w:ascii="Times New Roman" w:hAnsi="Times New Roman" w:cs="Times New Roman"/>
          <w:sz w:val="24"/>
          <w:szCs w:val="24"/>
        </w:rPr>
        <w:sym w:font="Symbol" w:char="F02D"/>
      </w:r>
      <w:r w:rsidRPr="009759B4">
        <w:rPr>
          <w:rFonts w:ascii="Times New Roman" w:hAnsi="Times New Roman" w:cs="Times New Roman"/>
          <w:sz w:val="24"/>
          <w:szCs w:val="24"/>
        </w:rPr>
        <w:t xml:space="preserve"> figyelemmel az adott faj, fajta tulajdonságaira, növekedési jellemzőire, szakszerű kezelésére </w:t>
      </w:r>
      <w:r w:rsidRPr="009759B4">
        <w:rPr>
          <w:rFonts w:ascii="Times New Roman" w:hAnsi="Times New Roman" w:cs="Times New Roman"/>
          <w:sz w:val="24"/>
          <w:szCs w:val="24"/>
        </w:rPr>
        <w:sym w:font="Symbol" w:char="F02D"/>
      </w:r>
      <w:r w:rsidRPr="009759B4">
        <w:rPr>
          <w:rFonts w:ascii="Times New Roman" w:hAnsi="Times New Roman" w:cs="Times New Roman"/>
          <w:sz w:val="24"/>
          <w:szCs w:val="24"/>
        </w:rPr>
        <w:t xml:space="preserve"> az emberi életet és egészséget nem veszélyeztetheti, a biztonságos közlekedést nem akadályozhatja, valamint nem okozhat kárt a meglévő építményekben, létesítményekben, és nem akadályozhatja azok biztonságos működését. A rendelet szerint a közterületen lévő fasor fahiányainak pótlása csak az adott fasor vonalába történő telepítéssel, a fasorra jellemző faj, fajta felhasználásával történhet, ha annak környezeti feltételei adottak. A rendelet meghatározza a fás szárú növény pótlására nem alkalmazható fajok listáját.</w:t>
      </w:r>
    </w:p>
    <w:p w:rsidR="009C0702" w:rsidRPr="009759B4" w:rsidRDefault="009C0702" w:rsidP="009C0702">
      <w:pPr>
        <w:pStyle w:val="Nincstrkz"/>
        <w:jc w:val="both"/>
        <w:rPr>
          <w:rFonts w:ascii="Times New Roman" w:hAnsi="Times New Roman" w:cs="Times New Roman"/>
          <w:sz w:val="24"/>
          <w:szCs w:val="24"/>
        </w:rPr>
      </w:pPr>
      <w:r w:rsidRPr="009759B4">
        <w:rPr>
          <w:rFonts w:ascii="Times New Roman" w:hAnsi="Times New Roman" w:cs="Times New Roman"/>
          <w:sz w:val="24"/>
          <w:szCs w:val="24"/>
        </w:rPr>
        <w:t>Ha a pótlás az rendelet mellékletben szereplő inváziós fás szárú növény kivételként meghatározott kertészeti változataival történik, az ingatlan tulajdonosa, vagyonkezelője, vagy az ingatlanon lévő fás szárú növényekkel bármely jogviszony alapján rendelkezni jogosult használója (a továbbiakban együtt: használó) köteles gondoskodni a fás szárú növény továbbterjedésének megakadályozása érdekében az újulat eltávolításáról.</w:t>
      </w:r>
    </w:p>
    <w:p w:rsidR="009C0702" w:rsidRPr="009759B4" w:rsidRDefault="009C0702" w:rsidP="009C0702">
      <w:pPr>
        <w:pStyle w:val="Szvegtrzs"/>
        <w:tabs>
          <w:tab w:val="left" w:pos="5670"/>
        </w:tabs>
        <w:jc w:val="both"/>
        <w:rPr>
          <w:b/>
          <w:iCs/>
        </w:rPr>
      </w:pPr>
    </w:p>
    <w:p w:rsidR="009C0702" w:rsidRPr="009759B4" w:rsidRDefault="009C0702" w:rsidP="009C0702">
      <w:pPr>
        <w:pStyle w:val="Szvegtrzs"/>
        <w:tabs>
          <w:tab w:val="left" w:pos="5670"/>
        </w:tabs>
        <w:jc w:val="both"/>
        <w:rPr>
          <w:b/>
          <w:iCs/>
        </w:rPr>
      </w:pPr>
      <w:r w:rsidRPr="009759B4">
        <w:rPr>
          <w:b/>
          <w:iCs/>
        </w:rPr>
        <w:t xml:space="preserve">Tájidegen, agresszíven gyomosító, invazív, így nem telepíthető növényfajok listája </w:t>
      </w:r>
    </w:p>
    <w:p w:rsidR="009C0702" w:rsidRPr="009759B4" w:rsidRDefault="009C0702" w:rsidP="009C0702">
      <w:pPr>
        <w:pStyle w:val="Szvegtrzs"/>
        <w:tabs>
          <w:tab w:val="left" w:pos="5670"/>
        </w:tabs>
        <w:jc w:val="both"/>
        <w:rPr>
          <w:b/>
          <w:iCs/>
        </w:rPr>
      </w:pPr>
    </w:p>
    <w:p w:rsidR="009C0702" w:rsidRDefault="009C0702" w:rsidP="009C0702">
      <w:pPr>
        <w:pStyle w:val="Szvegtrzs"/>
        <w:tabs>
          <w:tab w:val="left" w:pos="5670"/>
        </w:tabs>
        <w:jc w:val="both"/>
        <w:rPr>
          <w:b/>
          <w:iCs/>
        </w:rPr>
      </w:pPr>
      <w:r w:rsidRPr="009759B4">
        <w:rPr>
          <w:iCs/>
        </w:rPr>
        <w:t xml:space="preserve">Az idegenhonos inváziós fajok betelepítésének vagy behurcolásának és terjedésének megelőzéséről és kezeléséről szóló az Európai Parlament és a Tanács 1143/2014/EU rendelet, továbbá az Unió számára veszélyt jelentő idegenhonos inváziós fajok 1143/2014/EU európai parlamenti és tanácsi rendelet szerinti jegyzékének elfogadásáról szóló 2016/1141. végrehajtási rendelet, a fás szárú növények védelméről szóló 346/2008. (XII. 30.) Korm. rendelet alapján, figyelembe véve Mihály B. - Botta-Dukát Z.: Biológiai inváziók Magyarországon. Özönnövények I-II. A KvVM Természetvédelmi Hivatalának 9-10. tanulmányköteteit, a következő növényfajok telepítése </w:t>
      </w:r>
      <w:r w:rsidRPr="009759B4">
        <w:rPr>
          <w:iCs/>
          <w:u w:val="single"/>
        </w:rPr>
        <w:t>nem javasolt</w:t>
      </w:r>
      <w:r w:rsidRPr="009759B4">
        <w:rPr>
          <w:b/>
          <w:iCs/>
        </w:rPr>
        <w:t>:</w:t>
      </w:r>
    </w:p>
    <w:p w:rsidR="009C0702" w:rsidRPr="009759B4" w:rsidRDefault="009C0702" w:rsidP="009C0702">
      <w:pPr>
        <w:pStyle w:val="Szvegtrzs"/>
        <w:tabs>
          <w:tab w:val="left" w:pos="5670"/>
        </w:tabs>
        <w:jc w:val="both"/>
        <w:rPr>
          <w:b/>
          <w:iCs/>
        </w:rPr>
      </w:pPr>
    </w:p>
    <w:p w:rsidR="009C0702" w:rsidRPr="009759B4" w:rsidRDefault="009C0702" w:rsidP="009C0702">
      <w:pPr>
        <w:pStyle w:val="Listaszerbekezds"/>
        <w:numPr>
          <w:ilvl w:val="0"/>
          <w:numId w:val="3"/>
        </w:numPr>
        <w:ind w:left="360"/>
        <w:rPr>
          <w:iCs/>
        </w:rPr>
      </w:pPr>
      <w:r w:rsidRPr="009759B4">
        <w:rPr>
          <w:iCs/>
        </w:rPr>
        <w:t>fehér akác (Robinia pseudoacacia)</w:t>
      </w:r>
    </w:p>
    <w:p w:rsidR="009C0702" w:rsidRPr="009759B4" w:rsidRDefault="009C0702" w:rsidP="009C0702">
      <w:pPr>
        <w:pStyle w:val="Listaszerbekezds"/>
        <w:numPr>
          <w:ilvl w:val="0"/>
          <w:numId w:val="3"/>
        </w:numPr>
        <w:ind w:left="360"/>
        <w:rPr>
          <w:iCs/>
        </w:rPr>
      </w:pPr>
      <w:r w:rsidRPr="009759B4">
        <w:rPr>
          <w:iCs/>
        </w:rPr>
        <w:t>mirigyes bálványfa (Ailanthus altissima)</w:t>
      </w:r>
    </w:p>
    <w:p w:rsidR="009C0702" w:rsidRPr="009759B4" w:rsidRDefault="009C0702" w:rsidP="009C0702">
      <w:pPr>
        <w:pStyle w:val="Listaszerbekezds"/>
        <w:numPr>
          <w:ilvl w:val="0"/>
          <w:numId w:val="3"/>
        </w:numPr>
        <w:ind w:left="360"/>
        <w:rPr>
          <w:iCs/>
        </w:rPr>
      </w:pPr>
      <w:r w:rsidRPr="009759B4">
        <w:rPr>
          <w:iCs/>
        </w:rPr>
        <w:t>keskenylevelű ezüstfa (Eleagnus angustifolia)</w:t>
      </w:r>
    </w:p>
    <w:p w:rsidR="009C0702" w:rsidRPr="009759B4" w:rsidRDefault="009C0702" w:rsidP="009C0702">
      <w:pPr>
        <w:pStyle w:val="Listaszerbekezds"/>
        <w:numPr>
          <w:ilvl w:val="0"/>
          <w:numId w:val="3"/>
        </w:numPr>
        <w:ind w:left="360"/>
        <w:rPr>
          <w:iCs/>
        </w:rPr>
      </w:pPr>
      <w:r w:rsidRPr="009759B4">
        <w:rPr>
          <w:iCs/>
        </w:rPr>
        <w:t>zöld juhar (Acer negundo)</w:t>
      </w:r>
    </w:p>
    <w:p w:rsidR="009C0702" w:rsidRPr="009759B4" w:rsidRDefault="009C0702" w:rsidP="009C0702">
      <w:pPr>
        <w:pStyle w:val="Listaszerbekezds"/>
        <w:numPr>
          <w:ilvl w:val="0"/>
          <w:numId w:val="3"/>
        </w:numPr>
        <w:ind w:left="360"/>
        <w:rPr>
          <w:iCs/>
        </w:rPr>
      </w:pPr>
      <w:r w:rsidRPr="009759B4">
        <w:rPr>
          <w:iCs/>
        </w:rPr>
        <w:t>amerikai kőris (Fraxinus pennsylvanica)</w:t>
      </w:r>
    </w:p>
    <w:p w:rsidR="009C0702" w:rsidRPr="009759B4" w:rsidRDefault="009C0702" w:rsidP="009C0702">
      <w:pPr>
        <w:pStyle w:val="Listaszerbekezds"/>
        <w:numPr>
          <w:ilvl w:val="0"/>
          <w:numId w:val="3"/>
        </w:numPr>
        <w:ind w:left="360"/>
        <w:rPr>
          <w:iCs/>
        </w:rPr>
      </w:pPr>
      <w:r w:rsidRPr="009759B4">
        <w:rPr>
          <w:iCs/>
        </w:rPr>
        <w:t>kései meggy (Prunus serotina)</w:t>
      </w:r>
    </w:p>
    <w:p w:rsidR="009C0702" w:rsidRPr="009759B4" w:rsidRDefault="009C0702" w:rsidP="009C0702">
      <w:pPr>
        <w:pStyle w:val="Listaszerbekezds"/>
        <w:numPr>
          <w:ilvl w:val="0"/>
          <w:numId w:val="3"/>
        </w:numPr>
        <w:ind w:left="360"/>
        <w:rPr>
          <w:iCs/>
        </w:rPr>
      </w:pPr>
      <w:r w:rsidRPr="009759B4">
        <w:rPr>
          <w:iCs/>
        </w:rPr>
        <w:t>kanadai nyár (Populus x canadensis)</w:t>
      </w:r>
    </w:p>
    <w:p w:rsidR="009C0702" w:rsidRPr="009759B4" w:rsidRDefault="009C0702" w:rsidP="009C0702">
      <w:pPr>
        <w:pStyle w:val="Listaszerbekezds"/>
        <w:numPr>
          <w:ilvl w:val="0"/>
          <w:numId w:val="3"/>
        </w:numPr>
        <w:ind w:left="360"/>
        <w:rPr>
          <w:iCs/>
        </w:rPr>
      </w:pPr>
      <w:r w:rsidRPr="009759B4">
        <w:rPr>
          <w:iCs/>
        </w:rPr>
        <w:t>nyugati ostorfa (Celtis occidentalis)</w:t>
      </w:r>
    </w:p>
    <w:p w:rsidR="009C0702" w:rsidRPr="009759B4" w:rsidRDefault="009C0702" w:rsidP="009C0702">
      <w:pPr>
        <w:pStyle w:val="Listaszerbekezds"/>
        <w:numPr>
          <w:ilvl w:val="0"/>
          <w:numId w:val="3"/>
        </w:numPr>
        <w:ind w:left="360"/>
        <w:rPr>
          <w:iCs/>
        </w:rPr>
      </w:pPr>
      <w:r w:rsidRPr="009759B4">
        <w:rPr>
          <w:iCs/>
        </w:rPr>
        <w:t>cserjés gyalogakác (Amorpha fruticosa)</w:t>
      </w:r>
    </w:p>
    <w:p w:rsidR="009C0702" w:rsidRPr="009759B4" w:rsidRDefault="009C0702" w:rsidP="009C0702">
      <w:pPr>
        <w:pStyle w:val="Listaszerbekezds"/>
        <w:numPr>
          <w:ilvl w:val="0"/>
          <w:numId w:val="3"/>
        </w:numPr>
        <w:ind w:left="360"/>
        <w:rPr>
          <w:iCs/>
        </w:rPr>
      </w:pPr>
      <w:r w:rsidRPr="009759B4">
        <w:rPr>
          <w:iCs/>
        </w:rPr>
        <w:t>kisvirágú nebáncsvirág (Impatiens parviflora)</w:t>
      </w:r>
    </w:p>
    <w:p w:rsidR="009C0702" w:rsidRPr="009759B4" w:rsidRDefault="009C0702" w:rsidP="009C0702">
      <w:pPr>
        <w:pStyle w:val="Listaszerbekezds"/>
        <w:numPr>
          <w:ilvl w:val="0"/>
          <w:numId w:val="3"/>
        </w:numPr>
        <w:ind w:left="360"/>
        <w:rPr>
          <w:iCs/>
        </w:rPr>
      </w:pPr>
      <w:r w:rsidRPr="009759B4">
        <w:rPr>
          <w:iCs/>
        </w:rPr>
        <w:t>bíbor nebáncsvirág (Impatiens grandiflora)</w:t>
      </w:r>
    </w:p>
    <w:p w:rsidR="009C0702" w:rsidRPr="009759B4" w:rsidRDefault="009C0702" w:rsidP="009C0702">
      <w:pPr>
        <w:pStyle w:val="Listaszerbekezds"/>
        <w:numPr>
          <w:ilvl w:val="0"/>
          <w:numId w:val="3"/>
        </w:numPr>
        <w:ind w:left="360"/>
        <w:rPr>
          <w:iCs/>
        </w:rPr>
      </w:pPr>
      <w:r w:rsidRPr="009759B4">
        <w:rPr>
          <w:iCs/>
        </w:rPr>
        <w:t>japánkeserűfű-fajok (Fallopia spp.)</w:t>
      </w:r>
    </w:p>
    <w:p w:rsidR="009C0702" w:rsidRPr="009759B4" w:rsidRDefault="009C0702" w:rsidP="009C0702">
      <w:pPr>
        <w:pStyle w:val="Listaszerbekezds"/>
        <w:numPr>
          <w:ilvl w:val="0"/>
          <w:numId w:val="3"/>
        </w:numPr>
        <w:ind w:left="360"/>
        <w:rPr>
          <w:iCs/>
        </w:rPr>
      </w:pPr>
      <w:r w:rsidRPr="009759B4">
        <w:rPr>
          <w:iCs/>
        </w:rPr>
        <w:t>magas aranyvessző (Solidago gigantea)</w:t>
      </w:r>
    </w:p>
    <w:p w:rsidR="009C0702" w:rsidRPr="009759B4" w:rsidRDefault="009C0702" w:rsidP="009C0702">
      <w:pPr>
        <w:pStyle w:val="Listaszerbekezds"/>
        <w:numPr>
          <w:ilvl w:val="0"/>
          <w:numId w:val="3"/>
        </w:numPr>
        <w:ind w:left="360"/>
        <w:rPr>
          <w:iCs/>
        </w:rPr>
      </w:pPr>
      <w:r w:rsidRPr="009759B4">
        <w:rPr>
          <w:iCs/>
        </w:rPr>
        <w:t>kanadai aranyvessző (Solidago canadensis)</w:t>
      </w:r>
    </w:p>
    <w:p w:rsidR="009C0702" w:rsidRPr="009759B4" w:rsidRDefault="009C0702" w:rsidP="009C0702">
      <w:pPr>
        <w:pStyle w:val="Listaszerbekezds"/>
        <w:numPr>
          <w:ilvl w:val="0"/>
          <w:numId w:val="3"/>
        </w:numPr>
        <w:ind w:left="360"/>
        <w:rPr>
          <w:iCs/>
        </w:rPr>
      </w:pPr>
      <w:r w:rsidRPr="009759B4">
        <w:rPr>
          <w:iCs/>
        </w:rPr>
        <w:t>közönséges selyemkóró (Asclepias syriaca)</w:t>
      </w:r>
    </w:p>
    <w:p w:rsidR="009C0702" w:rsidRPr="009759B4" w:rsidRDefault="009C0702" w:rsidP="009C0702">
      <w:pPr>
        <w:pStyle w:val="Listaszerbekezds"/>
        <w:numPr>
          <w:ilvl w:val="0"/>
          <w:numId w:val="3"/>
        </w:numPr>
        <w:ind w:left="360"/>
        <w:rPr>
          <w:iCs/>
        </w:rPr>
      </w:pPr>
      <w:r w:rsidRPr="009759B4">
        <w:rPr>
          <w:iCs/>
        </w:rPr>
        <w:t>ürömlevelű parlagfű (Ambrosia artemisiiflora)</w:t>
      </w:r>
    </w:p>
    <w:p w:rsidR="009C0702" w:rsidRPr="009759B4" w:rsidRDefault="009C0702" w:rsidP="009C0702">
      <w:pPr>
        <w:pStyle w:val="Listaszerbekezds"/>
        <w:numPr>
          <w:ilvl w:val="0"/>
          <w:numId w:val="3"/>
        </w:numPr>
        <w:ind w:left="360"/>
        <w:rPr>
          <w:iCs/>
        </w:rPr>
      </w:pPr>
      <w:r w:rsidRPr="009759B4">
        <w:rPr>
          <w:iCs/>
        </w:rPr>
        <w:t>arany ribiszke (Ribes aureum)</w:t>
      </w:r>
    </w:p>
    <w:p w:rsidR="009C0702" w:rsidRPr="009759B4" w:rsidRDefault="009C0702" w:rsidP="009C0702">
      <w:pPr>
        <w:pStyle w:val="Listaszerbekezds"/>
        <w:numPr>
          <w:ilvl w:val="0"/>
          <w:numId w:val="3"/>
        </w:numPr>
        <w:ind w:left="360"/>
        <w:rPr>
          <w:iCs/>
        </w:rPr>
      </w:pPr>
      <w:r w:rsidRPr="009759B4">
        <w:rPr>
          <w:iCs/>
        </w:rPr>
        <w:t>adventív szőlőfajok (Vitis-hibridek)</w:t>
      </w:r>
    </w:p>
    <w:p w:rsidR="009C0702" w:rsidRPr="009759B4" w:rsidRDefault="009C0702" w:rsidP="009C0702">
      <w:pPr>
        <w:pStyle w:val="Listaszerbekezds"/>
        <w:numPr>
          <w:ilvl w:val="0"/>
          <w:numId w:val="3"/>
        </w:numPr>
        <w:ind w:left="360"/>
        <w:rPr>
          <w:iCs/>
        </w:rPr>
      </w:pPr>
      <w:r w:rsidRPr="009759B4">
        <w:rPr>
          <w:iCs/>
        </w:rPr>
        <w:t>vadszőlőfajok (Parthenocissus spp.)</w:t>
      </w:r>
    </w:p>
    <w:p w:rsidR="009C0702" w:rsidRPr="009759B4" w:rsidRDefault="009C0702" w:rsidP="009C0702">
      <w:pPr>
        <w:pStyle w:val="Listaszerbekezds"/>
        <w:numPr>
          <w:ilvl w:val="0"/>
          <w:numId w:val="3"/>
        </w:numPr>
        <w:ind w:left="360"/>
        <w:rPr>
          <w:iCs/>
        </w:rPr>
      </w:pPr>
      <w:r w:rsidRPr="009759B4">
        <w:rPr>
          <w:iCs/>
        </w:rPr>
        <w:t>süntök (Echinocystis lobata)</w:t>
      </w:r>
    </w:p>
    <w:p w:rsidR="009C0702" w:rsidRPr="009759B4" w:rsidRDefault="009C0702" w:rsidP="009C0702">
      <w:pPr>
        <w:pStyle w:val="Listaszerbekezds"/>
        <w:numPr>
          <w:ilvl w:val="0"/>
          <w:numId w:val="3"/>
        </w:numPr>
        <w:ind w:left="360"/>
        <w:rPr>
          <w:iCs/>
        </w:rPr>
      </w:pPr>
      <w:r w:rsidRPr="009759B4">
        <w:rPr>
          <w:iCs/>
        </w:rPr>
        <w:t>észak-amerikai őszirózsák (Aster spp.)</w:t>
      </w:r>
    </w:p>
    <w:p w:rsidR="009C0702" w:rsidRPr="009759B4" w:rsidRDefault="009C0702" w:rsidP="009C0702">
      <w:pPr>
        <w:pStyle w:val="Listaszerbekezds"/>
        <w:numPr>
          <w:ilvl w:val="0"/>
          <w:numId w:val="3"/>
        </w:numPr>
        <w:ind w:left="360"/>
        <w:rPr>
          <w:iCs/>
        </w:rPr>
      </w:pPr>
      <w:r w:rsidRPr="009759B4">
        <w:rPr>
          <w:iCs/>
        </w:rPr>
        <w:t>magas kúpvirág (Rudbeckia laciniata)</w:t>
      </w:r>
    </w:p>
    <w:p w:rsidR="009C0702" w:rsidRPr="009759B4" w:rsidRDefault="009C0702" w:rsidP="009C0702">
      <w:pPr>
        <w:pStyle w:val="Listaszerbekezds"/>
        <w:numPr>
          <w:ilvl w:val="0"/>
          <w:numId w:val="3"/>
        </w:numPr>
        <w:ind w:left="360"/>
        <w:rPr>
          <w:iCs/>
        </w:rPr>
      </w:pPr>
      <w:r w:rsidRPr="009759B4">
        <w:rPr>
          <w:iCs/>
        </w:rPr>
        <w:t xml:space="preserve">vadcsicsóka (Helianthus tuberosus s. l.) </w:t>
      </w:r>
    </w:p>
    <w:p w:rsidR="009C0702" w:rsidRPr="009759B4" w:rsidRDefault="009C0702" w:rsidP="009C0702">
      <w:pPr>
        <w:pStyle w:val="Listaszerbekezds"/>
        <w:numPr>
          <w:ilvl w:val="0"/>
          <w:numId w:val="3"/>
        </w:numPr>
        <w:ind w:left="360"/>
        <w:rPr>
          <w:iCs/>
        </w:rPr>
      </w:pPr>
      <w:r w:rsidRPr="009759B4">
        <w:rPr>
          <w:iCs/>
        </w:rPr>
        <w:t>olasz szerbtövis (Xanthium strumaium subsp. italicum)</w:t>
      </w:r>
    </w:p>
    <w:p w:rsidR="009C0702" w:rsidRPr="009759B4" w:rsidRDefault="009C0702" w:rsidP="009C0702">
      <w:pPr>
        <w:pStyle w:val="Listaszerbekezds"/>
        <w:numPr>
          <w:ilvl w:val="0"/>
          <w:numId w:val="3"/>
        </w:numPr>
        <w:ind w:left="360"/>
        <w:rPr>
          <w:iCs/>
        </w:rPr>
      </w:pPr>
      <w:r w:rsidRPr="009759B4">
        <w:rPr>
          <w:iCs/>
        </w:rPr>
        <w:t>amerikai karmazsinbogyó/amerikai alkörmös (Phytholacca americana)</w:t>
      </w:r>
    </w:p>
    <w:p w:rsidR="009C0702" w:rsidRPr="009759B4" w:rsidRDefault="009C0702" w:rsidP="009C0702">
      <w:pPr>
        <w:pStyle w:val="Listaszerbekezds"/>
        <w:numPr>
          <w:ilvl w:val="0"/>
          <w:numId w:val="3"/>
        </w:numPr>
        <w:ind w:left="360"/>
        <w:rPr>
          <w:iCs/>
        </w:rPr>
      </w:pPr>
      <w:r w:rsidRPr="009759B4">
        <w:rPr>
          <w:iCs/>
        </w:rPr>
        <w:t>kínai karmazsinbogyó/kínai alkörmös (Phytholacca esculenta)</w:t>
      </w:r>
    </w:p>
    <w:p w:rsidR="009C0702" w:rsidRPr="009759B4" w:rsidRDefault="009C0702" w:rsidP="009C0702">
      <w:pPr>
        <w:pStyle w:val="Listaszerbekezds"/>
        <w:numPr>
          <w:ilvl w:val="0"/>
          <w:numId w:val="3"/>
        </w:numPr>
        <w:ind w:left="360"/>
        <w:rPr>
          <w:iCs/>
        </w:rPr>
      </w:pPr>
      <w:r w:rsidRPr="009759B4">
        <w:rPr>
          <w:iCs/>
        </w:rPr>
        <w:t>japán komló (Humulus japonicus)</w:t>
      </w:r>
    </w:p>
    <w:p w:rsidR="009C0702" w:rsidRPr="009759B4" w:rsidRDefault="009C0702" w:rsidP="009C0702">
      <w:pPr>
        <w:pStyle w:val="Listaszerbekezds"/>
        <w:numPr>
          <w:ilvl w:val="0"/>
          <w:numId w:val="3"/>
        </w:numPr>
        <w:ind w:left="360"/>
        <w:rPr>
          <w:iCs/>
        </w:rPr>
      </w:pPr>
      <w:r w:rsidRPr="009759B4">
        <w:rPr>
          <w:iCs/>
        </w:rPr>
        <w:t>átoktüske (Cenchrus incertus)</w:t>
      </w:r>
    </w:p>
    <w:p w:rsidR="009C0702" w:rsidRPr="009759B4" w:rsidRDefault="009C0702" w:rsidP="009C0702">
      <w:pPr>
        <w:pStyle w:val="Listaszerbekezds"/>
        <w:numPr>
          <w:ilvl w:val="0"/>
          <w:numId w:val="3"/>
        </w:numPr>
        <w:ind w:left="360"/>
        <w:rPr>
          <w:iCs/>
        </w:rPr>
      </w:pPr>
      <w:r w:rsidRPr="009759B4">
        <w:rPr>
          <w:iCs/>
        </w:rPr>
        <w:t>nem hazai tündérrózsa fajok</w:t>
      </w:r>
    </w:p>
    <w:p w:rsidR="009C0702" w:rsidRPr="009759B4" w:rsidRDefault="009C0702" w:rsidP="009C0702">
      <w:pPr>
        <w:pStyle w:val="Listaszerbekezds"/>
        <w:numPr>
          <w:ilvl w:val="0"/>
          <w:numId w:val="3"/>
        </w:numPr>
        <w:ind w:left="360"/>
        <w:rPr>
          <w:iCs/>
        </w:rPr>
      </w:pPr>
      <w:r w:rsidRPr="009759B4">
        <w:rPr>
          <w:iCs/>
        </w:rPr>
        <w:t>kanadai átokhínár (Elodea canadensis)</w:t>
      </w:r>
    </w:p>
    <w:p w:rsidR="009C0702" w:rsidRPr="009759B4" w:rsidRDefault="009C0702" w:rsidP="009C0702">
      <w:pPr>
        <w:pStyle w:val="Listaszerbekezds"/>
        <w:numPr>
          <w:ilvl w:val="0"/>
          <w:numId w:val="3"/>
        </w:numPr>
        <w:ind w:left="360"/>
        <w:rPr>
          <w:iCs/>
        </w:rPr>
      </w:pPr>
      <w:r w:rsidRPr="009759B4">
        <w:rPr>
          <w:iCs/>
        </w:rPr>
        <w:t>aprólevelű átokhínár/vékonylevelű átokhínár (Elodea nuttallii)</w:t>
      </w:r>
    </w:p>
    <w:p w:rsidR="009C0702" w:rsidRPr="009759B4" w:rsidRDefault="009C0702" w:rsidP="009C0702">
      <w:pPr>
        <w:pStyle w:val="Listaszerbekezds"/>
        <w:numPr>
          <w:ilvl w:val="0"/>
          <w:numId w:val="3"/>
        </w:numPr>
        <w:ind w:left="360"/>
        <w:rPr>
          <w:iCs/>
        </w:rPr>
      </w:pPr>
      <w:r w:rsidRPr="009759B4">
        <w:rPr>
          <w:iCs/>
        </w:rPr>
        <w:t>moszatpáfrányfajok (Azolla mexicana, Azolla filiculoides)</w:t>
      </w:r>
    </w:p>
    <w:p w:rsidR="009C0702" w:rsidRPr="009759B4" w:rsidRDefault="009C0702" w:rsidP="009C0702">
      <w:pPr>
        <w:pStyle w:val="Listaszerbekezds"/>
        <w:numPr>
          <w:ilvl w:val="0"/>
          <w:numId w:val="3"/>
        </w:numPr>
        <w:ind w:left="360"/>
        <w:rPr>
          <w:iCs/>
        </w:rPr>
      </w:pPr>
      <w:r w:rsidRPr="009759B4">
        <w:rPr>
          <w:iCs/>
        </w:rPr>
        <w:t>borfa/ tengerparti seprűcserje (Baccharis halimifolia)</w:t>
      </w:r>
    </w:p>
    <w:p w:rsidR="009C0702" w:rsidRPr="009759B4" w:rsidRDefault="009C0702" w:rsidP="009C0702">
      <w:pPr>
        <w:pStyle w:val="Listaszerbekezds"/>
        <w:numPr>
          <w:ilvl w:val="0"/>
          <w:numId w:val="3"/>
        </w:numPr>
        <w:ind w:left="360"/>
        <w:rPr>
          <w:iCs/>
        </w:rPr>
      </w:pPr>
      <w:r w:rsidRPr="009759B4">
        <w:rPr>
          <w:iCs/>
        </w:rPr>
        <w:t>karolinai tündérhínár (Cabomba caroliniana)</w:t>
      </w:r>
    </w:p>
    <w:p w:rsidR="009C0702" w:rsidRPr="009759B4" w:rsidRDefault="009C0702" w:rsidP="009C0702">
      <w:pPr>
        <w:pStyle w:val="Listaszerbekezds"/>
        <w:numPr>
          <w:ilvl w:val="0"/>
          <w:numId w:val="3"/>
        </w:numPr>
        <w:ind w:left="360"/>
        <w:rPr>
          <w:iCs/>
        </w:rPr>
      </w:pPr>
      <w:r w:rsidRPr="009759B4">
        <w:rPr>
          <w:iCs/>
        </w:rPr>
        <w:t>közönséges vízijácint (Eichhornia crassipes)</w:t>
      </w:r>
    </w:p>
    <w:p w:rsidR="009C0702" w:rsidRPr="009759B4" w:rsidRDefault="009C0702" w:rsidP="009C0702">
      <w:pPr>
        <w:pStyle w:val="Listaszerbekezds"/>
        <w:numPr>
          <w:ilvl w:val="0"/>
          <w:numId w:val="3"/>
        </w:numPr>
        <w:ind w:left="360"/>
        <w:rPr>
          <w:iCs/>
        </w:rPr>
      </w:pPr>
      <w:r w:rsidRPr="009759B4">
        <w:rPr>
          <w:iCs/>
        </w:rPr>
        <w:t>perzsa medvetalp (Heracleum persicum)</w:t>
      </w:r>
    </w:p>
    <w:p w:rsidR="009C0702" w:rsidRPr="009759B4" w:rsidRDefault="009C0702" w:rsidP="009C0702">
      <w:pPr>
        <w:pStyle w:val="Listaszerbekezds"/>
        <w:numPr>
          <w:ilvl w:val="0"/>
          <w:numId w:val="3"/>
        </w:numPr>
        <w:ind w:left="360"/>
        <w:rPr>
          <w:iCs/>
        </w:rPr>
      </w:pPr>
      <w:r w:rsidRPr="009759B4">
        <w:rPr>
          <w:iCs/>
        </w:rPr>
        <w:t>kaukázusi medvetalp (Heracleum mantegazzianum)</w:t>
      </w:r>
    </w:p>
    <w:p w:rsidR="009C0702" w:rsidRPr="009759B4" w:rsidRDefault="009C0702" w:rsidP="009C0702">
      <w:pPr>
        <w:pStyle w:val="Listaszerbekezds"/>
        <w:numPr>
          <w:ilvl w:val="0"/>
          <w:numId w:val="3"/>
        </w:numPr>
        <w:ind w:left="360"/>
        <w:rPr>
          <w:iCs/>
        </w:rPr>
      </w:pPr>
      <w:r w:rsidRPr="009759B4">
        <w:rPr>
          <w:iCs/>
        </w:rPr>
        <w:t>Szosznovszkij-medvetalp (Heracleum sosnowskyi)</w:t>
      </w:r>
    </w:p>
    <w:p w:rsidR="009C0702" w:rsidRPr="009759B4" w:rsidRDefault="009C0702" w:rsidP="009C0702">
      <w:pPr>
        <w:pStyle w:val="Listaszerbekezds"/>
        <w:numPr>
          <w:ilvl w:val="0"/>
          <w:numId w:val="3"/>
        </w:numPr>
        <w:ind w:left="360"/>
        <w:rPr>
          <w:iCs/>
        </w:rPr>
      </w:pPr>
      <w:r w:rsidRPr="009759B4">
        <w:rPr>
          <w:iCs/>
        </w:rPr>
        <w:t>hévízi gázló (Hydrocotyle ranunculoides)</w:t>
      </w:r>
    </w:p>
    <w:p w:rsidR="009C0702" w:rsidRPr="009759B4" w:rsidRDefault="009C0702" w:rsidP="009C0702">
      <w:pPr>
        <w:pStyle w:val="Listaszerbekezds"/>
        <w:numPr>
          <w:ilvl w:val="0"/>
          <w:numId w:val="3"/>
        </w:numPr>
        <w:ind w:left="360"/>
        <w:rPr>
          <w:iCs/>
        </w:rPr>
      </w:pPr>
      <w:r w:rsidRPr="009759B4">
        <w:rPr>
          <w:iCs/>
        </w:rPr>
        <w:t>nagy fodros-átokhínár (Lagarosiphon major)</w:t>
      </w:r>
    </w:p>
    <w:p w:rsidR="009C0702" w:rsidRPr="009759B4" w:rsidRDefault="009C0702" w:rsidP="009C0702">
      <w:pPr>
        <w:pStyle w:val="Listaszerbekezds"/>
        <w:numPr>
          <w:ilvl w:val="0"/>
          <w:numId w:val="3"/>
        </w:numPr>
        <w:ind w:left="360"/>
        <w:rPr>
          <w:iCs/>
        </w:rPr>
      </w:pPr>
      <w:r w:rsidRPr="009759B4">
        <w:rPr>
          <w:iCs/>
        </w:rPr>
        <w:t>nagyvirágú tóalma (Ludwigia grandiflora)</w:t>
      </w:r>
    </w:p>
    <w:p w:rsidR="009C0702" w:rsidRPr="009759B4" w:rsidRDefault="009C0702" w:rsidP="009C0702">
      <w:pPr>
        <w:pStyle w:val="Listaszerbekezds"/>
        <w:numPr>
          <w:ilvl w:val="0"/>
          <w:numId w:val="3"/>
        </w:numPr>
        <w:ind w:left="360"/>
        <w:rPr>
          <w:iCs/>
        </w:rPr>
      </w:pPr>
      <w:r w:rsidRPr="009759B4">
        <w:rPr>
          <w:iCs/>
        </w:rPr>
        <w:t>sárgavirágú tóalma (Ludwigia peploides)</w:t>
      </w:r>
    </w:p>
    <w:p w:rsidR="009C0702" w:rsidRPr="009759B4" w:rsidRDefault="009C0702" w:rsidP="009C0702">
      <w:pPr>
        <w:pStyle w:val="Listaszerbekezds"/>
        <w:numPr>
          <w:ilvl w:val="0"/>
          <w:numId w:val="3"/>
        </w:numPr>
        <w:ind w:left="360"/>
        <w:rPr>
          <w:iCs/>
        </w:rPr>
      </w:pPr>
      <w:r w:rsidRPr="009759B4">
        <w:rPr>
          <w:iCs/>
        </w:rPr>
        <w:t>sárga lápbuzogány (Lysichiton americanus)</w:t>
      </w:r>
    </w:p>
    <w:p w:rsidR="009C0702" w:rsidRPr="009759B4" w:rsidRDefault="009C0702" w:rsidP="009C0702">
      <w:pPr>
        <w:pStyle w:val="Listaszerbekezds"/>
        <w:numPr>
          <w:ilvl w:val="0"/>
          <w:numId w:val="3"/>
        </w:numPr>
        <w:ind w:left="360"/>
        <w:rPr>
          <w:iCs/>
        </w:rPr>
      </w:pPr>
      <w:r w:rsidRPr="009759B4">
        <w:rPr>
          <w:iCs/>
        </w:rPr>
        <w:t>közönséges süllőhínár (Myriophyllum aquaticum)</w:t>
      </w:r>
    </w:p>
    <w:p w:rsidR="009C0702" w:rsidRPr="009759B4" w:rsidRDefault="009C0702" w:rsidP="009C0702">
      <w:pPr>
        <w:pStyle w:val="Listaszerbekezds"/>
        <w:numPr>
          <w:ilvl w:val="0"/>
          <w:numId w:val="3"/>
        </w:numPr>
        <w:ind w:left="360"/>
        <w:rPr>
          <w:iCs/>
        </w:rPr>
      </w:pPr>
      <w:r w:rsidRPr="009759B4">
        <w:rPr>
          <w:iCs/>
        </w:rPr>
        <w:t>felemáslevelű süllőhínár (Myriophyllum heterophyllum)</w:t>
      </w:r>
    </w:p>
    <w:p w:rsidR="009C0702" w:rsidRPr="009759B4" w:rsidRDefault="009C0702" w:rsidP="009C0702">
      <w:pPr>
        <w:pStyle w:val="Listaszerbekezds"/>
        <w:numPr>
          <w:ilvl w:val="0"/>
          <w:numId w:val="3"/>
        </w:numPr>
        <w:ind w:left="360"/>
        <w:rPr>
          <w:iCs/>
        </w:rPr>
      </w:pPr>
      <w:r w:rsidRPr="009759B4">
        <w:rPr>
          <w:iCs/>
        </w:rPr>
        <w:t>keserű hamisüröm (Parthenium hysterophorus)</w:t>
      </w:r>
    </w:p>
    <w:p w:rsidR="009C0702" w:rsidRPr="009759B4" w:rsidRDefault="009C0702" w:rsidP="009C0702">
      <w:pPr>
        <w:pStyle w:val="Listaszerbekezds"/>
        <w:numPr>
          <w:ilvl w:val="0"/>
          <w:numId w:val="3"/>
        </w:numPr>
        <w:ind w:left="360"/>
        <w:rPr>
          <w:iCs/>
        </w:rPr>
      </w:pPr>
      <w:r w:rsidRPr="009759B4">
        <w:rPr>
          <w:iCs/>
        </w:rPr>
        <w:t>ördögfarok keserűfű (Persicaria perfoliata)</w:t>
      </w:r>
    </w:p>
    <w:p w:rsidR="009C0702" w:rsidRPr="009759B4" w:rsidRDefault="009C0702" w:rsidP="009C0702">
      <w:pPr>
        <w:pStyle w:val="Listaszerbekezds"/>
        <w:numPr>
          <w:ilvl w:val="0"/>
          <w:numId w:val="3"/>
        </w:numPr>
        <w:ind w:left="360"/>
        <w:rPr>
          <w:iCs/>
        </w:rPr>
      </w:pPr>
      <w:r w:rsidRPr="009759B4">
        <w:rPr>
          <w:iCs/>
        </w:rPr>
        <w:t>kudzu nyílgyökér (Pueraria montana)</w:t>
      </w:r>
    </w:p>
    <w:p w:rsidR="009C0702" w:rsidRPr="009759B4" w:rsidRDefault="009C0702" w:rsidP="009C0702">
      <w:pPr>
        <w:pStyle w:val="Listaszerbekezds"/>
        <w:numPr>
          <w:ilvl w:val="0"/>
          <w:numId w:val="3"/>
        </w:numPr>
        <w:ind w:left="360"/>
        <w:rPr>
          <w:iCs/>
        </w:rPr>
      </w:pPr>
      <w:r w:rsidRPr="009759B4">
        <w:rPr>
          <w:iCs/>
        </w:rPr>
        <w:t>aligátorfű (Alternanthera philoxeroides)</w:t>
      </w:r>
    </w:p>
    <w:p w:rsidR="009C0702" w:rsidRPr="009759B4" w:rsidRDefault="009C0702" w:rsidP="009C0702">
      <w:pPr>
        <w:pStyle w:val="Listaszerbekezds"/>
        <w:numPr>
          <w:ilvl w:val="0"/>
          <w:numId w:val="3"/>
        </w:numPr>
        <w:ind w:left="360"/>
        <w:rPr>
          <w:iCs/>
        </w:rPr>
      </w:pPr>
      <w:r w:rsidRPr="009759B4">
        <w:rPr>
          <w:iCs/>
        </w:rPr>
        <w:t>óriásrebarbara (Gunnera tinctoria)</w:t>
      </w:r>
    </w:p>
    <w:p w:rsidR="009C0702" w:rsidRPr="009759B4" w:rsidRDefault="009C0702" w:rsidP="009C0702">
      <w:pPr>
        <w:pStyle w:val="Listaszerbekezds"/>
        <w:numPr>
          <w:ilvl w:val="0"/>
          <w:numId w:val="3"/>
        </w:numPr>
        <w:ind w:left="360"/>
        <w:rPr>
          <w:iCs/>
        </w:rPr>
      </w:pPr>
      <w:r w:rsidRPr="009759B4">
        <w:rPr>
          <w:iCs/>
        </w:rPr>
        <w:t>tollborzfű (Pennisetum setaceum)</w:t>
      </w:r>
    </w:p>
    <w:p w:rsidR="009C0702" w:rsidRPr="009759B4" w:rsidRDefault="009C0702" w:rsidP="009C0702">
      <w:pPr>
        <w:pStyle w:val="Listaszerbekezds"/>
        <w:numPr>
          <w:ilvl w:val="0"/>
          <w:numId w:val="3"/>
        </w:numPr>
        <w:ind w:left="360"/>
        <w:rPr>
          <w:iCs/>
        </w:rPr>
      </w:pPr>
      <w:r w:rsidRPr="009759B4">
        <w:rPr>
          <w:iCs/>
        </w:rPr>
        <w:t>Alternanthera philoxeroides</w:t>
      </w:r>
    </w:p>
    <w:p w:rsidR="009C0702" w:rsidRPr="009759B4" w:rsidRDefault="009C0702" w:rsidP="009C0702">
      <w:pPr>
        <w:pStyle w:val="Listaszerbekezds"/>
        <w:numPr>
          <w:ilvl w:val="0"/>
          <w:numId w:val="3"/>
        </w:numPr>
        <w:ind w:left="360"/>
        <w:rPr>
          <w:iCs/>
        </w:rPr>
      </w:pPr>
      <w:r w:rsidRPr="009759B4">
        <w:rPr>
          <w:iCs/>
        </w:rPr>
        <w:t>Microstegium vimineum</w:t>
      </w:r>
    </w:p>
    <w:p w:rsidR="009C0702" w:rsidRPr="009759B4" w:rsidRDefault="009C0702" w:rsidP="009C0702">
      <w:pPr>
        <w:pStyle w:val="Nincstrkz"/>
        <w:rPr>
          <w:rFonts w:ascii="Times New Roman" w:hAnsi="Times New Roman" w:cs="Times New Roman"/>
          <w:bCs/>
          <w:sz w:val="24"/>
          <w:szCs w:val="24"/>
        </w:rPr>
      </w:pPr>
    </w:p>
    <w:p w:rsidR="009C0702" w:rsidRPr="009759B4" w:rsidRDefault="009C0702" w:rsidP="009C0702">
      <w:pPr>
        <w:pStyle w:val="Nincstrkz"/>
        <w:rPr>
          <w:rFonts w:ascii="Times New Roman" w:hAnsi="Times New Roman" w:cs="Times New Roman"/>
          <w:b/>
          <w:sz w:val="24"/>
          <w:szCs w:val="24"/>
        </w:rPr>
      </w:pPr>
      <w:r w:rsidRPr="009759B4">
        <w:rPr>
          <w:rFonts w:ascii="Times New Roman" w:hAnsi="Times New Roman" w:cs="Times New Roman"/>
          <w:b/>
          <w:sz w:val="24"/>
          <w:szCs w:val="24"/>
        </w:rPr>
        <w:t>A fényszennyezés elkerülését szolgáló szabályozási javaslat tartalmi elemei</w:t>
      </w:r>
    </w:p>
    <w:p w:rsidR="009C0702" w:rsidRPr="009759B4" w:rsidRDefault="009C0702" w:rsidP="009C0702">
      <w:pPr>
        <w:pStyle w:val="Nincstrkz"/>
        <w:rPr>
          <w:rFonts w:ascii="Times New Roman" w:hAnsi="Times New Roman" w:cs="Times New Roman"/>
          <w:b/>
          <w:sz w:val="24"/>
          <w:szCs w:val="24"/>
        </w:rPr>
      </w:pPr>
    </w:p>
    <w:p w:rsidR="009C0702" w:rsidRPr="009759B4" w:rsidRDefault="009C0702" w:rsidP="009C0702">
      <w:pPr>
        <w:pStyle w:val="Nincstrkz"/>
        <w:numPr>
          <w:ilvl w:val="0"/>
          <w:numId w:val="2"/>
        </w:numPr>
        <w:jc w:val="both"/>
        <w:rPr>
          <w:rFonts w:ascii="Times New Roman" w:hAnsi="Times New Roman" w:cs="Times New Roman"/>
          <w:sz w:val="24"/>
          <w:szCs w:val="24"/>
        </w:rPr>
      </w:pPr>
      <w:r w:rsidRPr="009759B4">
        <w:rPr>
          <w:rFonts w:ascii="Times New Roman" w:hAnsi="Times New Roman" w:cs="Times New Roman"/>
          <w:sz w:val="24"/>
          <w:szCs w:val="24"/>
        </w:rPr>
        <w:t>Kerülni kell a hideg fehér fényű világítást, amely 500 nanométernél rövidebb hullámhosszúságú fényt tartalmaz. 3000K alatti érték javasolt a kültéri világítás színhőmérsékletére.</w:t>
      </w:r>
    </w:p>
    <w:p w:rsidR="009C0702" w:rsidRPr="009759B4" w:rsidRDefault="009C0702" w:rsidP="009C0702">
      <w:pPr>
        <w:pStyle w:val="Nincstrkz"/>
        <w:numPr>
          <w:ilvl w:val="0"/>
          <w:numId w:val="2"/>
        </w:numPr>
        <w:jc w:val="both"/>
        <w:rPr>
          <w:rFonts w:ascii="Times New Roman" w:hAnsi="Times New Roman" w:cs="Times New Roman"/>
          <w:sz w:val="24"/>
          <w:szCs w:val="24"/>
        </w:rPr>
      </w:pPr>
      <w:r w:rsidRPr="009759B4">
        <w:rPr>
          <w:rFonts w:ascii="Times New Roman" w:hAnsi="Times New Roman" w:cs="Times New Roman"/>
          <w:sz w:val="24"/>
          <w:szCs w:val="24"/>
        </w:rPr>
        <w:t>A világítótestek ernyőzése olyan legyen, hogy a fényt oda irányítsa, ahol arra szükség van. Megfelelő ernyőzés esetén a kibocsátott fényt nem látjuk közvetlenül. A megfelelően irányított fény nem jut a gyalogosok, járművezetők szemébe, az épületek ablakai felé vagy az égbolt irányába. A fényeknek – díszvilágítás esetén is – lefelé kell irányulniuk. A talajszintbe épített fényvetőket, melyek felfelé sugároznak, kerülni kell.</w:t>
      </w:r>
    </w:p>
    <w:p w:rsidR="009C0702" w:rsidRPr="009759B4" w:rsidRDefault="009C0702" w:rsidP="009C0702">
      <w:pPr>
        <w:pStyle w:val="Nincstrkz"/>
        <w:numPr>
          <w:ilvl w:val="0"/>
          <w:numId w:val="2"/>
        </w:numPr>
        <w:jc w:val="both"/>
        <w:rPr>
          <w:rFonts w:ascii="Times New Roman" w:hAnsi="Times New Roman" w:cs="Times New Roman"/>
          <w:sz w:val="24"/>
          <w:szCs w:val="24"/>
        </w:rPr>
      </w:pPr>
      <w:r w:rsidRPr="009759B4">
        <w:rPr>
          <w:rFonts w:ascii="Times New Roman" w:hAnsi="Times New Roman" w:cs="Times New Roman"/>
          <w:sz w:val="24"/>
          <w:szCs w:val="24"/>
        </w:rPr>
        <w:t xml:space="preserve">Az utcákat amennyire lehet, egyenletesen és alacsony intenzitással világítsuk meg. A 0,3 cd/m² fénysűrűség elegendő, amely mintegy 4 lux megvilágítással elérhető.  Ez az EU útvilágítási szabványoknak (EN13201) megfelelő legalacsonyabb útosztály. </w:t>
      </w:r>
    </w:p>
    <w:p w:rsidR="009C0702" w:rsidRPr="009759B4" w:rsidRDefault="009C0702" w:rsidP="009C0702">
      <w:pPr>
        <w:pStyle w:val="Nincstrkz"/>
        <w:numPr>
          <w:ilvl w:val="0"/>
          <w:numId w:val="2"/>
        </w:numPr>
        <w:jc w:val="both"/>
        <w:rPr>
          <w:rFonts w:ascii="Times New Roman" w:hAnsi="Times New Roman" w:cs="Times New Roman"/>
          <w:sz w:val="24"/>
          <w:szCs w:val="24"/>
        </w:rPr>
      </w:pPr>
      <w:r w:rsidRPr="009759B4">
        <w:rPr>
          <w:rFonts w:ascii="Times New Roman" w:hAnsi="Times New Roman" w:cs="Times New Roman"/>
          <w:sz w:val="24"/>
          <w:szCs w:val="24"/>
        </w:rPr>
        <w:t>A kültéri világítást a tényleges használat idejéhez kell igazítani. Este 22 óra után jóval kevesebb fényre van szükség, ennek megfelelően a közvilágítás fényereje csökkenthető. A megvilágítási szint akár 50-80%-os csökkentése is lehetséges. A nem közcélú világítást teljesen ki kell kapcsolni, ha nincs arra közvetlen szükség.</w:t>
      </w:r>
    </w:p>
    <w:p w:rsidR="009C0702" w:rsidRPr="009759B4" w:rsidRDefault="009C0702" w:rsidP="009C0702"/>
    <w:p w:rsidR="009C0702" w:rsidRPr="009759B4" w:rsidRDefault="009C0702" w:rsidP="009C0702">
      <w:pPr>
        <w:jc w:val="both"/>
        <w:rPr>
          <w:bCs/>
          <w:iCs/>
        </w:rPr>
      </w:pPr>
      <w:r w:rsidRPr="009759B4">
        <w:rPr>
          <w:bCs/>
          <w:iCs/>
        </w:rPr>
        <w:t>Az ajánlások teljes szövege a Magyar Elektrotechnikai Egyesület Világítástechnikai Társaságának honlapján olvasható:</w:t>
      </w:r>
    </w:p>
    <w:p w:rsidR="009C0702" w:rsidRPr="009759B4" w:rsidRDefault="009C0702" w:rsidP="009C0702">
      <w:hyperlink r:id="rId11" w:history="1">
        <w:r w:rsidRPr="009759B4">
          <w:rPr>
            <w:rStyle w:val="Hiperhivatkozs"/>
            <w:bCs/>
            <w:iCs/>
          </w:rPr>
          <w:t>https://www.vilagitas.org/index.php?option=com_content&amp;view=article&amp;id=514:o%20vjuk-meg-az-ejszakat-egy-nemzetkozi-tudomanyos-kutatohalozat-ajanlasai-a-kul%20teri-vilagitas-kapcsan&amp;catid=50:szakmai-hirek&amp;Itemid=81&amp;lang=hu</w:t>
        </w:r>
      </w:hyperlink>
    </w:p>
    <w:p w:rsidR="009C0702" w:rsidRPr="009759B4" w:rsidRDefault="009C0702" w:rsidP="009C0702"/>
    <w:p w:rsidR="009C0702" w:rsidRPr="009759B4" w:rsidRDefault="009C0702" w:rsidP="009C0702"/>
    <w:p w:rsidR="009C0702" w:rsidRDefault="009C0702">
      <w:bookmarkStart w:id="0" w:name="_GoBack"/>
      <w:bookmarkEnd w:id="0"/>
    </w:p>
    <w:sectPr w:rsidR="009C0702" w:rsidSect="00DD5B39">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6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BC0"/>
    <w:multiLevelType w:val="hybridMultilevel"/>
    <w:tmpl w:val="D5584A64"/>
    <w:lvl w:ilvl="0" w:tplc="080C11C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35C04884"/>
    <w:multiLevelType w:val="hybridMultilevel"/>
    <w:tmpl w:val="CDEED692"/>
    <w:lvl w:ilvl="0" w:tplc="652822F8">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83D01AA"/>
    <w:multiLevelType w:val="hybridMultilevel"/>
    <w:tmpl w:val="E584AC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DB13651"/>
    <w:multiLevelType w:val="hybridMultilevel"/>
    <w:tmpl w:val="2102B91A"/>
    <w:lvl w:ilvl="0" w:tplc="080C11C2">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6A"/>
    <w:rsid w:val="00087A08"/>
    <w:rsid w:val="00766F6A"/>
    <w:rsid w:val="00820038"/>
    <w:rsid w:val="009B3AB0"/>
    <w:rsid w:val="009C0702"/>
    <w:rsid w:val="00CB10DF"/>
    <w:rsid w:val="00DF545F"/>
    <w:rsid w:val="00FC1C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34E029F-D32B-4A6F-BAEA-6A19B4D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6F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CB10DF"/>
    <w:rPr>
      <w:b/>
      <w:bCs/>
    </w:rPr>
  </w:style>
  <w:style w:type="character" w:styleId="Hiperhivatkozs">
    <w:name w:val="Hyperlink"/>
    <w:basedOn w:val="Bekezdsalapbettpusa"/>
    <w:rsid w:val="00766F6A"/>
    <w:rPr>
      <w:color w:val="0000FF"/>
      <w:u w:val="single"/>
    </w:rPr>
  </w:style>
  <w:style w:type="paragraph" w:customStyle="1" w:styleId="western">
    <w:name w:val="western"/>
    <w:basedOn w:val="Norml"/>
    <w:rsid w:val="00766F6A"/>
    <w:pPr>
      <w:spacing w:before="100" w:beforeAutospacing="1" w:after="119"/>
    </w:pPr>
    <w:rPr>
      <w:color w:val="000000"/>
    </w:rPr>
  </w:style>
  <w:style w:type="paragraph" w:styleId="HTML-kntformzott">
    <w:name w:val="HTML Preformatted"/>
    <w:basedOn w:val="Norml"/>
    <w:link w:val="HTML-kntformzottChar"/>
    <w:uiPriority w:val="99"/>
    <w:unhideWhenUsed/>
    <w:rsid w:val="0076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766F6A"/>
    <w:rPr>
      <w:rFonts w:ascii="Courier New" w:eastAsia="Times New Roman" w:hAnsi="Courier New" w:cs="Courier New"/>
      <w:sz w:val="20"/>
      <w:szCs w:val="20"/>
      <w:lang w:eastAsia="hu-HU"/>
    </w:rPr>
  </w:style>
  <w:style w:type="paragraph" w:customStyle="1" w:styleId="Default">
    <w:name w:val="Default"/>
    <w:rsid w:val="00766F6A"/>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Nincstrkz">
    <w:name w:val="No Spacing"/>
    <w:uiPriority w:val="1"/>
    <w:qFormat/>
    <w:rsid w:val="009C0702"/>
    <w:pPr>
      <w:spacing w:after="0" w:line="240" w:lineRule="auto"/>
    </w:pPr>
    <w:rPr>
      <w:rFonts w:eastAsiaTheme="minorEastAsia"/>
      <w:lang w:eastAsia="hu-HU"/>
    </w:rPr>
  </w:style>
  <w:style w:type="paragraph" w:styleId="Szvegtrzs">
    <w:name w:val="Body Text"/>
    <w:basedOn w:val="Norml"/>
    <w:link w:val="SzvegtrzsChar"/>
    <w:uiPriority w:val="99"/>
    <w:rsid w:val="009C0702"/>
  </w:style>
  <w:style w:type="character" w:customStyle="1" w:styleId="SzvegtrzsChar">
    <w:name w:val="Szövegtörzs Char"/>
    <w:basedOn w:val="Bekezdsalapbettpusa"/>
    <w:link w:val="Szvegtrzs"/>
    <w:uiPriority w:val="99"/>
    <w:rsid w:val="009C0702"/>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C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k.lechnerkozpont.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seginp@onp.kvvm.hu" TargetMode="External"/><Relationship Id="rId11" Type="http://schemas.openxmlformats.org/officeDocument/2006/relationships/hyperlink" Target="https://www.vilagitas.org/index.php?option=com_content&amp;view=article&amp;id=514:o%20vjuk-meg-az-ejszakat-egy-nemzetkozi-tudomanyos-kutatohalozat-ajanlasai-a-kul%20teri-vilagitas-kapcsan&amp;catid=50:szakmai-hirek&amp;Itemid=81&amp;lang=hu" TargetMode="External"/><Relationship Id="rId5" Type="http://schemas.openxmlformats.org/officeDocument/2006/relationships/hyperlink" Target="mailto:orseginp@onp.kvvm.hu" TargetMode="External"/><Relationship Id="rId10" Type="http://schemas.openxmlformats.org/officeDocument/2006/relationships/hyperlink" Target="http://www.terport.hu/webfm_send/4214" TargetMode="External"/><Relationship Id="rId4" Type="http://schemas.openxmlformats.org/officeDocument/2006/relationships/webSettings" Target="webSettings.xml"/><Relationship Id="rId9" Type="http://schemas.openxmlformats.org/officeDocument/2006/relationships/hyperlink" Target="https://drive.google.com/open?id=0B1XQzDi1nNZhVGNLbkhuWVhpTz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15862</Characters>
  <Application>Microsoft Office Word</Application>
  <DocSecurity>4</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Sütö Gabriella</cp:lastModifiedBy>
  <cp:revision>2</cp:revision>
  <dcterms:created xsi:type="dcterms:W3CDTF">2017-12-08T12:51:00Z</dcterms:created>
  <dcterms:modified xsi:type="dcterms:W3CDTF">2017-12-08T12:51:00Z</dcterms:modified>
</cp:coreProperties>
</file>