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9458FD" w:rsidRPr="00D34B76" w:rsidRDefault="009458FD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 xml:space="preserve">i Kapcsolatok Bizottsága 2017. </w:t>
      </w:r>
      <w:r w:rsidR="00A6609B">
        <w:rPr>
          <w:rFonts w:cs="Arial"/>
          <w:b/>
          <w:bCs/>
          <w:sz w:val="24"/>
        </w:rPr>
        <w:t>december 12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Pr="00D34B76" w:rsidRDefault="00FF120B" w:rsidP="00D34B76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Javaslat </w:t>
      </w:r>
      <w:r w:rsidR="00A6609B">
        <w:rPr>
          <w:rFonts w:ascii="Arial" w:hAnsi="Arial" w:cs="Arial"/>
          <w:b/>
          <w:sz w:val="24"/>
          <w:szCs w:val="24"/>
        </w:rPr>
        <w:t>igazolási kérelem elbírálására</w:t>
      </w:r>
    </w:p>
    <w:p w:rsidR="00D34B76" w:rsidRDefault="00D34B76" w:rsidP="00D34B76">
      <w:pPr>
        <w:tabs>
          <w:tab w:val="left" w:pos="1655"/>
        </w:tabs>
        <w:rPr>
          <w:rFonts w:cs="Arial"/>
          <w:b/>
          <w:bCs/>
          <w:sz w:val="24"/>
        </w:rPr>
      </w:pPr>
    </w:p>
    <w:p w:rsidR="00D34B76" w:rsidRPr="009E2B2C" w:rsidRDefault="00A6609B" w:rsidP="00A6609B">
      <w:pPr>
        <w:jc w:val="both"/>
        <w:rPr>
          <w:rFonts w:cs="Arial"/>
          <w:sz w:val="24"/>
        </w:rPr>
      </w:pPr>
      <w:r w:rsidRPr="009E2B2C">
        <w:rPr>
          <w:rFonts w:cs="Arial"/>
          <w:sz w:val="24"/>
        </w:rPr>
        <w:t>Szombathely Megyei Jogú Város Közgyűlés</w:t>
      </w:r>
      <w:r w:rsidR="00A16CF2" w:rsidRPr="009E2B2C">
        <w:rPr>
          <w:rFonts w:cs="Arial"/>
          <w:sz w:val="24"/>
        </w:rPr>
        <w:t>e Jogi és Tá</w:t>
      </w:r>
      <w:r w:rsidR="002D2D90">
        <w:rPr>
          <w:rFonts w:cs="Arial"/>
          <w:sz w:val="24"/>
        </w:rPr>
        <w:t xml:space="preserve">rsadalmi Kapcsolatok Bizottsága (a továbbiakban: Bizottság) </w:t>
      </w:r>
      <w:r w:rsidRPr="009E2B2C">
        <w:rPr>
          <w:rFonts w:cs="Arial"/>
          <w:sz w:val="24"/>
        </w:rPr>
        <w:t>2017. márciu</w:t>
      </w:r>
      <w:r w:rsidR="00A16CF2" w:rsidRPr="009E2B2C">
        <w:rPr>
          <w:rFonts w:cs="Arial"/>
          <w:sz w:val="24"/>
        </w:rPr>
        <w:t>s</w:t>
      </w:r>
      <w:r w:rsidRPr="009E2B2C">
        <w:rPr>
          <w:rFonts w:cs="Arial"/>
          <w:sz w:val="24"/>
        </w:rPr>
        <w:t>ában</w:t>
      </w:r>
      <w:r w:rsidR="00A16CF2" w:rsidRPr="009E2B2C">
        <w:rPr>
          <w:rFonts w:cs="Arial"/>
          <w:sz w:val="24"/>
        </w:rPr>
        <w:t xml:space="preserve"> pályázatot írt ki civil szervezetek </w:t>
      </w:r>
      <w:r w:rsidR="009E2B2C" w:rsidRPr="009E2B2C">
        <w:rPr>
          <w:rFonts w:cs="Arial"/>
          <w:sz w:val="24"/>
        </w:rPr>
        <w:t xml:space="preserve">2017. évi </w:t>
      </w:r>
      <w:r w:rsidR="003E2AB4" w:rsidRPr="009E2B2C">
        <w:rPr>
          <w:rFonts w:cs="Arial"/>
          <w:sz w:val="24"/>
        </w:rPr>
        <w:t>progr</w:t>
      </w:r>
      <w:r w:rsidR="009E2B2C" w:rsidRPr="009E2B2C">
        <w:rPr>
          <w:rFonts w:cs="Arial"/>
          <w:sz w:val="24"/>
        </w:rPr>
        <w:t xml:space="preserve">amjai és működése támogatására. </w:t>
      </w:r>
      <w:r w:rsidRPr="009E2B2C">
        <w:rPr>
          <w:rFonts w:cs="Arial"/>
          <w:sz w:val="24"/>
        </w:rPr>
        <w:t>A Szombathelyi Turiszt</w:t>
      </w:r>
      <w:r w:rsidR="009E2B2C">
        <w:rPr>
          <w:rFonts w:cs="Arial"/>
          <w:sz w:val="24"/>
        </w:rPr>
        <w:t>i</w:t>
      </w:r>
      <w:r w:rsidRPr="009E2B2C">
        <w:rPr>
          <w:rFonts w:cs="Arial"/>
          <w:sz w:val="24"/>
        </w:rPr>
        <w:t>ka</w:t>
      </w:r>
      <w:r w:rsidR="009E2B2C">
        <w:rPr>
          <w:rFonts w:cs="Arial"/>
          <w:sz w:val="24"/>
        </w:rPr>
        <w:t>i és Testvérvárosi Egyes</w:t>
      </w:r>
      <w:r w:rsidRPr="009E2B2C">
        <w:rPr>
          <w:rFonts w:cs="Arial"/>
          <w:sz w:val="24"/>
        </w:rPr>
        <w:t>üle</w:t>
      </w:r>
      <w:r w:rsidR="009E2B2C">
        <w:rPr>
          <w:rFonts w:cs="Arial"/>
          <w:sz w:val="24"/>
        </w:rPr>
        <w:t xml:space="preserve">t </w:t>
      </w:r>
      <w:r w:rsidR="002D2D90">
        <w:rPr>
          <w:rFonts w:cs="Arial"/>
          <w:sz w:val="24"/>
        </w:rPr>
        <w:t xml:space="preserve">(a továbbiakban: Egyesület) </w:t>
      </w:r>
      <w:r w:rsidR="009E2B2C">
        <w:rPr>
          <w:rFonts w:cs="Arial"/>
          <w:sz w:val="24"/>
        </w:rPr>
        <w:t>fenti kiírásra hivatkozva 2017. márciusában pál</w:t>
      </w:r>
      <w:r w:rsidRPr="009E2B2C">
        <w:rPr>
          <w:rFonts w:cs="Arial"/>
          <w:sz w:val="24"/>
        </w:rPr>
        <w:t>y</w:t>
      </w:r>
      <w:r w:rsidR="009E2B2C">
        <w:rPr>
          <w:rFonts w:cs="Arial"/>
          <w:sz w:val="24"/>
        </w:rPr>
        <w:t>á</w:t>
      </w:r>
      <w:r w:rsidRPr="009E2B2C">
        <w:rPr>
          <w:rFonts w:cs="Arial"/>
          <w:sz w:val="24"/>
        </w:rPr>
        <w:t>zatot nyújtott be</w:t>
      </w:r>
      <w:r w:rsidR="009E2B2C">
        <w:rPr>
          <w:rFonts w:cs="Arial"/>
          <w:sz w:val="24"/>
        </w:rPr>
        <w:t xml:space="preserve"> Szombathely stand </w:t>
      </w:r>
      <w:proofErr w:type="spellStart"/>
      <w:r w:rsidR="009E2B2C">
        <w:rPr>
          <w:rFonts w:cs="Arial"/>
          <w:sz w:val="24"/>
        </w:rPr>
        <w:t>Kaufbauren</w:t>
      </w:r>
      <w:proofErr w:type="spellEnd"/>
      <w:r w:rsidR="009E2B2C">
        <w:rPr>
          <w:rFonts w:cs="Arial"/>
          <w:sz w:val="24"/>
        </w:rPr>
        <w:t xml:space="preserve"> testvérváros </w:t>
      </w:r>
      <w:proofErr w:type="spellStart"/>
      <w:r w:rsidR="009E2B2C">
        <w:rPr>
          <w:rFonts w:cs="Arial"/>
          <w:sz w:val="24"/>
        </w:rPr>
        <w:t>Tänzelfest</w:t>
      </w:r>
      <w:proofErr w:type="spellEnd"/>
      <w:r w:rsidR="009E2B2C">
        <w:rPr>
          <w:rFonts w:cs="Arial"/>
          <w:sz w:val="24"/>
        </w:rPr>
        <w:t xml:space="preserve"> rendezvényén történő felállításának támogatására. A Bizottság 101/2017. (IV.25.) JTKB számú határozatával úgy döntött, hogy a pályázatot 500.000,- forint összeggel támogatja, ezért a támogatási szerződés </w:t>
      </w:r>
      <w:r w:rsidR="00D403B2">
        <w:rPr>
          <w:rFonts w:cs="Arial"/>
          <w:sz w:val="24"/>
        </w:rPr>
        <w:t xml:space="preserve">a rendezvény időpontjának figyelembevételével </w:t>
      </w:r>
      <w:r w:rsidR="009E2B2C">
        <w:rPr>
          <w:rFonts w:cs="Arial"/>
          <w:sz w:val="24"/>
        </w:rPr>
        <w:t xml:space="preserve">2017. augusztus 18-i </w:t>
      </w:r>
      <w:r w:rsidR="00F001CE">
        <w:rPr>
          <w:rFonts w:cs="Arial"/>
          <w:sz w:val="24"/>
        </w:rPr>
        <w:t>elszámolási határidővel</w:t>
      </w:r>
      <w:r w:rsidR="009E2B2C">
        <w:rPr>
          <w:rFonts w:cs="Arial"/>
          <w:sz w:val="24"/>
        </w:rPr>
        <w:t xml:space="preserve"> 2017. május 31. napján aláírásra, a támogatási összeg 2017. június 7. napján </w:t>
      </w:r>
      <w:r w:rsidR="002D2D90">
        <w:rPr>
          <w:rFonts w:cs="Arial"/>
          <w:sz w:val="24"/>
        </w:rPr>
        <w:t>kiutalásra</w:t>
      </w:r>
      <w:r w:rsidR="009E2B2C">
        <w:rPr>
          <w:rFonts w:cs="Arial"/>
          <w:sz w:val="24"/>
        </w:rPr>
        <w:t xml:space="preserve"> került.</w:t>
      </w:r>
    </w:p>
    <w:p w:rsidR="00302572" w:rsidRDefault="00302572" w:rsidP="00D34B7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Egyesület </w:t>
      </w:r>
      <w:r w:rsidR="002D2D90">
        <w:rPr>
          <w:rFonts w:cs="Arial"/>
          <w:sz w:val="24"/>
        </w:rPr>
        <w:t>fenti</w:t>
      </w:r>
      <w:r>
        <w:rPr>
          <w:rFonts w:cs="Arial"/>
          <w:sz w:val="24"/>
        </w:rPr>
        <w:t xml:space="preserve"> határidőt elmulasztotta</w:t>
      </w:r>
      <w:r w:rsidR="002D2D90">
        <w:rPr>
          <w:rFonts w:cs="Arial"/>
          <w:sz w:val="24"/>
        </w:rPr>
        <w:t>,</w:t>
      </w:r>
      <w:r w:rsidR="007F4F6D">
        <w:rPr>
          <w:rFonts w:cs="Arial"/>
          <w:sz w:val="24"/>
        </w:rPr>
        <w:t xml:space="preserve"> 2017. </w:t>
      </w:r>
      <w:r w:rsidR="0092011D">
        <w:rPr>
          <w:rFonts w:cs="Arial"/>
          <w:sz w:val="24"/>
        </w:rPr>
        <w:t>októberében szakmai beszámolóját benyújtotta, egyúttal igazolási kérelemmel fordult a Bizottság elnökéhez</w:t>
      </w:r>
      <w:r w:rsidR="002D2D90">
        <w:rPr>
          <w:rFonts w:cs="Arial"/>
          <w:sz w:val="24"/>
        </w:rPr>
        <w:t>. Az Egyesület a késést</w:t>
      </w:r>
      <w:r>
        <w:rPr>
          <w:rFonts w:cs="Arial"/>
          <w:sz w:val="24"/>
        </w:rPr>
        <w:t xml:space="preserve"> az alá</w:t>
      </w:r>
      <w:r w:rsidR="007F4F6D">
        <w:rPr>
          <w:rFonts w:cs="Arial"/>
          <w:sz w:val="24"/>
        </w:rPr>
        <w:t>bbi három akadályozó tényezővel</w:t>
      </w:r>
      <w:r>
        <w:rPr>
          <w:rFonts w:cs="Arial"/>
          <w:sz w:val="24"/>
        </w:rPr>
        <w:t xml:space="preserve"> indokolta:</w:t>
      </w:r>
    </w:p>
    <w:p w:rsidR="00302572" w:rsidRPr="007F4F6D" w:rsidRDefault="00302572" w:rsidP="0030257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7F4F6D">
        <w:rPr>
          <w:rFonts w:ascii="Arial" w:hAnsi="Arial" w:cs="Arial"/>
          <w:sz w:val="24"/>
        </w:rPr>
        <w:t>Az Egyesületben 2017. augusztusában elnökváltás történt;</w:t>
      </w:r>
    </w:p>
    <w:p w:rsidR="00302572" w:rsidRDefault="00302572" w:rsidP="0030257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7F4F6D">
        <w:rPr>
          <w:rFonts w:ascii="Arial" w:hAnsi="Arial" w:cs="Arial"/>
          <w:sz w:val="24"/>
        </w:rPr>
        <w:t>a személyzet, a fellépők, valamint a kiállítási és kóstoltatáshoz szükséges alapanyagok szállítására megrendelet</w:t>
      </w:r>
      <w:r w:rsidR="007F4F6D" w:rsidRPr="007F4F6D">
        <w:rPr>
          <w:rFonts w:ascii="Arial" w:hAnsi="Arial" w:cs="Arial"/>
          <w:sz w:val="24"/>
        </w:rPr>
        <w:t xml:space="preserve"> szállítási szolgáltatásról szóló számla nem a megrendelőben szereplő összegben került kiállításra (jóval magasabb költséggel került kiállításra)</w:t>
      </w:r>
      <w:r w:rsidR="007F4F6D">
        <w:rPr>
          <w:rFonts w:ascii="Arial" w:hAnsi="Arial" w:cs="Arial"/>
          <w:sz w:val="24"/>
        </w:rPr>
        <w:t>, és a szolgáltató nem tudott megegyezni az Egyesülettel. Az ügy rendezése további jogi beavatkozást igényel.</w:t>
      </w:r>
    </w:p>
    <w:p w:rsidR="007F4F6D" w:rsidRPr="007F4F6D" w:rsidRDefault="007F4F6D" w:rsidP="0030257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F001CE">
        <w:rPr>
          <w:rFonts w:ascii="Arial" w:hAnsi="Arial" w:cs="Arial"/>
          <w:sz w:val="24"/>
        </w:rPr>
        <w:t xml:space="preserve"> </w:t>
      </w:r>
      <w:proofErr w:type="spellStart"/>
      <w:r w:rsidR="00F001CE">
        <w:rPr>
          <w:rFonts w:ascii="Arial" w:hAnsi="Arial" w:cs="Arial"/>
          <w:sz w:val="24"/>
        </w:rPr>
        <w:t>kaufbaureni</w:t>
      </w:r>
      <w:proofErr w:type="spellEnd"/>
      <w:r w:rsidR="00F001CE">
        <w:rPr>
          <w:rFonts w:ascii="Arial" w:hAnsi="Arial" w:cs="Arial"/>
          <w:sz w:val="24"/>
        </w:rPr>
        <w:t xml:space="preserve"> </w:t>
      </w:r>
      <w:proofErr w:type="spellStart"/>
      <w:r w:rsidR="00F001CE">
        <w:rPr>
          <w:rFonts w:ascii="Arial" w:hAnsi="Arial" w:cs="Arial"/>
          <w:sz w:val="24"/>
        </w:rPr>
        <w:t>Tänzel</w:t>
      </w:r>
      <w:r>
        <w:rPr>
          <w:rFonts w:ascii="Arial" w:hAnsi="Arial" w:cs="Arial"/>
          <w:sz w:val="24"/>
        </w:rPr>
        <w:t>fest</w:t>
      </w:r>
      <w:proofErr w:type="spellEnd"/>
      <w:r>
        <w:rPr>
          <w:rFonts w:ascii="Arial" w:hAnsi="Arial" w:cs="Arial"/>
          <w:sz w:val="24"/>
        </w:rPr>
        <w:t xml:space="preserve"> Egyesület ne</w:t>
      </w:r>
      <w:r w:rsidR="0092011D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 állította ki </w:t>
      </w:r>
      <w:r w:rsidR="00F001CE">
        <w:rPr>
          <w:rFonts w:ascii="Arial" w:hAnsi="Arial" w:cs="Arial"/>
          <w:sz w:val="24"/>
        </w:rPr>
        <w:t xml:space="preserve">időben </w:t>
      </w:r>
      <w:r>
        <w:rPr>
          <w:rFonts w:ascii="Arial" w:hAnsi="Arial" w:cs="Arial"/>
          <w:sz w:val="24"/>
        </w:rPr>
        <w:t>a részükre a stand és eszközbérlésről szóló számlát</w:t>
      </w:r>
      <w:r w:rsidR="0092011D">
        <w:rPr>
          <w:rFonts w:ascii="Arial" w:hAnsi="Arial" w:cs="Arial"/>
          <w:sz w:val="24"/>
        </w:rPr>
        <w:t xml:space="preserve">, </w:t>
      </w:r>
      <w:r w:rsidR="00F001CE">
        <w:rPr>
          <w:rFonts w:ascii="Arial" w:hAnsi="Arial" w:cs="Arial"/>
          <w:sz w:val="24"/>
        </w:rPr>
        <w:t xml:space="preserve">azt </w:t>
      </w:r>
      <w:r w:rsidR="00022FC7">
        <w:rPr>
          <w:rFonts w:ascii="Arial" w:hAnsi="Arial" w:cs="Arial"/>
          <w:sz w:val="24"/>
        </w:rPr>
        <w:t xml:space="preserve">az </w:t>
      </w:r>
      <w:r w:rsidR="00F001CE">
        <w:rPr>
          <w:rFonts w:ascii="Arial" w:hAnsi="Arial" w:cs="Arial"/>
          <w:sz w:val="24"/>
        </w:rPr>
        <w:t>Egyesület november elején kapta meg.</w:t>
      </w:r>
    </w:p>
    <w:p w:rsidR="00D34B76" w:rsidRPr="00302572" w:rsidRDefault="00E04109" w:rsidP="0030257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Fentiekr</w:t>
      </w:r>
      <w:r w:rsidR="009458FD">
        <w:rPr>
          <w:rFonts w:cs="Arial"/>
          <w:sz w:val="24"/>
        </w:rPr>
        <w:t>e hivatkozva az Egyesület kér</w:t>
      </w:r>
      <w:r w:rsidR="00F001CE">
        <w:rPr>
          <w:rFonts w:cs="Arial"/>
          <w:sz w:val="24"/>
        </w:rPr>
        <w:t>i</w:t>
      </w:r>
      <w:r w:rsidR="009458FD">
        <w:rPr>
          <w:rFonts w:cs="Arial"/>
          <w:sz w:val="24"/>
        </w:rPr>
        <w:t xml:space="preserve"> a Tisztelt Bizottságot, hogy a szakmai beszámolót elfogadni, az igazolási kérelemnek helyt adni, valamint a pénzügyi beszámoló utólagos pótlását engedélyezni szíveskedjen (legkésőbb 2017. december 31. napjáig). K</w:t>
      </w:r>
      <w:r w:rsidR="00D34B76" w:rsidRPr="00302572">
        <w:rPr>
          <w:rFonts w:cs="Arial"/>
          <w:sz w:val="24"/>
        </w:rPr>
        <w:t xml:space="preserve">érem a Tisztelt Bizottságot, hogy az előterjesztést megtárgyalni és </w:t>
      </w:r>
      <w:r w:rsidR="009458FD">
        <w:rPr>
          <w:rFonts w:cs="Arial"/>
          <w:sz w:val="24"/>
        </w:rPr>
        <w:t xml:space="preserve">a kérelemről </w:t>
      </w:r>
      <w:r w:rsidR="00D34B76" w:rsidRPr="00302572">
        <w:rPr>
          <w:rFonts w:cs="Arial"/>
          <w:sz w:val="24"/>
        </w:rPr>
        <w:t xml:space="preserve">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D34B76" w:rsidRPr="00833522">
        <w:rPr>
          <w:rFonts w:cs="Arial"/>
          <w:sz w:val="24"/>
        </w:rPr>
        <w:t xml:space="preserve">. </w:t>
      </w:r>
      <w:r w:rsidR="00A6609B">
        <w:rPr>
          <w:rFonts w:cs="Arial"/>
          <w:sz w:val="24"/>
        </w:rPr>
        <w:t>december</w:t>
      </w:r>
      <w:r w:rsidR="00D34B76" w:rsidRPr="00833522">
        <w:rPr>
          <w:rFonts w:cs="Arial"/>
          <w:sz w:val="24"/>
        </w:rPr>
        <w:t xml:space="preserve"> </w:t>
      </w:r>
      <w:proofErr w:type="gramStart"/>
      <w:r w:rsidR="00D34B76" w:rsidRPr="00833522">
        <w:rPr>
          <w:rFonts w:cs="Arial"/>
          <w:sz w:val="24"/>
        </w:rPr>
        <w:t xml:space="preserve">„  </w:t>
      </w:r>
      <w:proofErr w:type="gramEnd"/>
      <w:r w:rsidR="00D34B76" w:rsidRPr="00833522">
        <w:rPr>
          <w:rFonts w:cs="Arial"/>
          <w:sz w:val="24"/>
        </w:rPr>
        <w:t xml:space="preserve">    ”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1946B3" w:rsidRPr="00833522" w:rsidRDefault="00833522" w:rsidP="001946B3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833522">
        <w:rPr>
          <w:rFonts w:cs="Arial"/>
          <w:b/>
          <w:color w:val="000000"/>
          <w:sz w:val="24"/>
        </w:rPr>
        <w:t>/: Koczka Tibor :/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1946B3" w:rsidRP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1946B3" w:rsidRDefault="001946B3" w:rsidP="001946B3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9458FD" w:rsidRDefault="009458FD" w:rsidP="001946B3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A6609B" w:rsidP="001946B3">
      <w:pPr>
        <w:jc w:val="center"/>
        <w:rPr>
          <w:rFonts w:cs="Arial"/>
          <w:b/>
          <w:sz w:val="24"/>
          <w:u w:val="single"/>
        </w:rPr>
      </w:pPr>
      <w:proofErr w:type="gramStart"/>
      <w:r>
        <w:rPr>
          <w:rFonts w:cs="Arial"/>
          <w:b/>
          <w:sz w:val="24"/>
          <w:u w:val="single"/>
        </w:rPr>
        <w:t>…….</w:t>
      </w:r>
      <w:proofErr w:type="gramEnd"/>
      <w:r>
        <w:rPr>
          <w:rFonts w:cs="Arial"/>
          <w:b/>
          <w:sz w:val="24"/>
          <w:u w:val="single"/>
        </w:rPr>
        <w:t>./2017. (XII</w:t>
      </w:r>
      <w:r w:rsidR="00DC28DB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 xml:space="preserve"> 12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FC7A8D" w:rsidRPr="00D52DD7" w:rsidRDefault="00A6609B" w:rsidP="00D52DD7">
      <w:pPr>
        <w:jc w:val="both"/>
        <w:rPr>
          <w:rFonts w:cs="Arial"/>
          <w:color w:val="000000"/>
          <w:sz w:val="24"/>
        </w:rPr>
      </w:pPr>
      <w:r w:rsidRPr="00D52DD7">
        <w:rPr>
          <w:rFonts w:cs="Arial"/>
          <w:color w:val="000000"/>
          <w:sz w:val="24"/>
        </w:rPr>
        <w:t xml:space="preserve">Szombathely </w:t>
      </w:r>
      <w:r w:rsidR="00D52DD7" w:rsidRPr="00D52DD7">
        <w:rPr>
          <w:rFonts w:cs="Arial"/>
          <w:color w:val="000000"/>
          <w:sz w:val="24"/>
        </w:rPr>
        <w:t>M</w:t>
      </w:r>
      <w:r w:rsidRPr="00D52DD7">
        <w:rPr>
          <w:rFonts w:cs="Arial"/>
          <w:color w:val="000000"/>
          <w:sz w:val="24"/>
        </w:rPr>
        <w:t>egyei Jogú Város Közgyűlése</w:t>
      </w:r>
      <w:r w:rsidR="001946B3" w:rsidRPr="00D52DD7">
        <w:rPr>
          <w:rFonts w:cs="Arial"/>
          <w:color w:val="000000"/>
          <w:sz w:val="24"/>
        </w:rPr>
        <w:t xml:space="preserve"> Jogi és Társadalmi Kapcsolatok Bizottsága a „Javaslat </w:t>
      </w:r>
      <w:r w:rsidRPr="00D52DD7">
        <w:rPr>
          <w:rFonts w:cs="Arial"/>
          <w:color w:val="000000"/>
          <w:sz w:val="24"/>
        </w:rPr>
        <w:t>igazolási kérelmek elbírálására</w:t>
      </w:r>
      <w:r w:rsidR="00DC28DB" w:rsidRPr="00D52DD7">
        <w:rPr>
          <w:rFonts w:cs="Arial"/>
          <w:color w:val="000000"/>
          <w:sz w:val="24"/>
        </w:rPr>
        <w:t xml:space="preserve">” </w:t>
      </w:r>
      <w:r w:rsidRPr="00D52DD7">
        <w:rPr>
          <w:rFonts w:cs="Arial"/>
          <w:color w:val="000000"/>
          <w:sz w:val="24"/>
        </w:rPr>
        <w:t>című</w:t>
      </w:r>
      <w:r w:rsidR="009458FD" w:rsidRPr="00D52DD7">
        <w:rPr>
          <w:rFonts w:cs="Arial"/>
          <w:color w:val="000000"/>
          <w:sz w:val="24"/>
        </w:rPr>
        <w:t xml:space="preserve"> előterjesztést megtárgyalta</w:t>
      </w:r>
      <w:r w:rsidR="00D52DD7">
        <w:rPr>
          <w:rFonts w:cs="Arial"/>
          <w:color w:val="000000"/>
          <w:sz w:val="24"/>
        </w:rPr>
        <w:t xml:space="preserve">, és </w:t>
      </w:r>
      <w:r w:rsidR="009458FD" w:rsidRPr="00D52DD7">
        <w:rPr>
          <w:rFonts w:cs="Arial"/>
          <w:color w:val="000000"/>
          <w:sz w:val="24"/>
        </w:rPr>
        <w:t xml:space="preserve">az előterjesztés melléklete szerinti szakmai beszámolót, </w:t>
      </w:r>
      <w:r w:rsidR="00D52DD7">
        <w:rPr>
          <w:rFonts w:cs="Arial"/>
          <w:color w:val="000000"/>
          <w:sz w:val="24"/>
        </w:rPr>
        <w:t>valamint</w:t>
      </w:r>
      <w:r w:rsidR="009458FD" w:rsidRPr="00D52DD7">
        <w:rPr>
          <w:rFonts w:cs="Arial"/>
          <w:color w:val="000000"/>
          <w:sz w:val="24"/>
        </w:rPr>
        <w:t xml:space="preserve"> az Egyesület i</w:t>
      </w:r>
      <w:r w:rsidRPr="00D52DD7">
        <w:rPr>
          <w:rFonts w:cs="Arial"/>
          <w:sz w:val="24"/>
        </w:rPr>
        <w:t xml:space="preserve">gazolási kérelmét a benyújtott indokolás figyelembevételével elfogadja, </w:t>
      </w:r>
      <w:r w:rsidR="00D52DD7">
        <w:rPr>
          <w:rFonts w:cs="Arial"/>
          <w:sz w:val="24"/>
        </w:rPr>
        <w:t>azzal, hogy</w:t>
      </w:r>
      <w:r w:rsidRPr="00D52DD7">
        <w:rPr>
          <w:rFonts w:cs="Arial"/>
          <w:sz w:val="24"/>
        </w:rPr>
        <w:t xml:space="preserve"> a pénzügyi beszámoló </w:t>
      </w:r>
      <w:r w:rsidR="00D52DD7">
        <w:rPr>
          <w:rFonts w:cs="Arial"/>
          <w:sz w:val="24"/>
        </w:rPr>
        <w:t xml:space="preserve">benyújtásának határidejét </w:t>
      </w:r>
      <w:r w:rsidR="009458FD" w:rsidRPr="00D52DD7">
        <w:rPr>
          <w:rFonts w:cs="Arial"/>
          <w:sz w:val="24"/>
        </w:rPr>
        <w:t xml:space="preserve">legkésőbb </w:t>
      </w:r>
      <w:r w:rsidRPr="00D52DD7">
        <w:rPr>
          <w:rFonts w:cs="Arial"/>
          <w:sz w:val="24"/>
        </w:rPr>
        <w:t>2017. december 31. napjá</w:t>
      </w:r>
      <w:r w:rsidR="00D52DD7">
        <w:rPr>
          <w:rFonts w:cs="Arial"/>
          <w:sz w:val="24"/>
        </w:rPr>
        <w:t>ban határozza meg</w:t>
      </w:r>
      <w:r w:rsidRPr="00D52DD7">
        <w:rPr>
          <w:rFonts w:cs="Arial"/>
          <w:sz w:val="24"/>
        </w:rPr>
        <w:t>.</w:t>
      </w: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Pr="009458FD" w:rsidRDefault="001946B3" w:rsidP="001946B3">
      <w:pPr>
        <w:ind w:right="-42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</w:r>
      <w:r w:rsidRPr="009458FD">
        <w:rPr>
          <w:rFonts w:cs="Arial"/>
          <w:bCs/>
          <w:sz w:val="24"/>
        </w:rPr>
        <w:t>Koczka Tibor alpolgármester</w:t>
      </w:r>
    </w:p>
    <w:p w:rsidR="001946B3" w:rsidRPr="009458FD" w:rsidRDefault="001946B3" w:rsidP="001946B3">
      <w:pPr>
        <w:ind w:right="-427"/>
        <w:jc w:val="both"/>
        <w:rPr>
          <w:rFonts w:cs="Arial"/>
          <w:bCs/>
          <w:sz w:val="24"/>
        </w:rPr>
      </w:pPr>
      <w:r w:rsidRPr="009458FD">
        <w:rPr>
          <w:rFonts w:cs="Arial"/>
          <w:bCs/>
          <w:sz w:val="24"/>
        </w:rPr>
        <w:t xml:space="preserve">                    </w:t>
      </w:r>
      <w:r w:rsidRPr="009458FD">
        <w:rPr>
          <w:rFonts w:cs="Arial"/>
          <w:bCs/>
          <w:sz w:val="24"/>
        </w:rPr>
        <w:tab/>
        <w:t>Dr. Takátsné Dr. Tenki Mária, a Bizottság elnöke</w:t>
      </w:r>
    </w:p>
    <w:p w:rsidR="001946B3" w:rsidRPr="009458FD" w:rsidRDefault="001946B3" w:rsidP="001946B3">
      <w:pPr>
        <w:ind w:right="-427"/>
        <w:jc w:val="both"/>
        <w:rPr>
          <w:rFonts w:cs="Arial"/>
          <w:bCs/>
          <w:sz w:val="24"/>
        </w:rPr>
      </w:pPr>
      <w:r w:rsidRPr="009458FD">
        <w:rPr>
          <w:rFonts w:cs="Arial"/>
          <w:bCs/>
          <w:sz w:val="24"/>
        </w:rPr>
        <w:t xml:space="preserve">                     </w:t>
      </w:r>
      <w:r w:rsidRPr="009458FD">
        <w:rPr>
          <w:rFonts w:cs="Arial"/>
          <w:bCs/>
          <w:sz w:val="24"/>
        </w:rPr>
        <w:tab/>
        <w:t>(A végrehajtás előkészítéséért:</w:t>
      </w:r>
    </w:p>
    <w:p w:rsidR="00FC7A8D" w:rsidRPr="009458FD" w:rsidRDefault="00FC7A8D" w:rsidP="001946B3">
      <w:pPr>
        <w:ind w:right="-427"/>
        <w:jc w:val="both"/>
        <w:rPr>
          <w:rFonts w:cs="Arial"/>
          <w:bCs/>
          <w:sz w:val="24"/>
        </w:rPr>
      </w:pPr>
      <w:r w:rsidRPr="009458FD">
        <w:rPr>
          <w:rFonts w:cs="Arial"/>
          <w:bCs/>
          <w:sz w:val="24"/>
        </w:rPr>
        <w:tab/>
      </w:r>
      <w:r w:rsidRPr="009458FD">
        <w:rPr>
          <w:rFonts w:cs="Arial"/>
          <w:bCs/>
          <w:sz w:val="24"/>
        </w:rPr>
        <w:tab/>
        <w:t>Dr. Bencsics Enikő, az Egészségügyi és Közszolgálati Osztály vezetője</w:t>
      </w:r>
    </w:p>
    <w:p w:rsidR="001946B3" w:rsidRPr="009458FD" w:rsidRDefault="001946B3" w:rsidP="001946B3">
      <w:pPr>
        <w:ind w:left="1410"/>
        <w:jc w:val="both"/>
        <w:rPr>
          <w:rFonts w:cs="Arial"/>
          <w:bCs/>
          <w:sz w:val="24"/>
        </w:rPr>
      </w:pPr>
      <w:r w:rsidRPr="009458FD">
        <w:rPr>
          <w:rFonts w:cs="Arial"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9458FD" w:rsidRPr="00D52DD7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 w:rsidRPr="009458FD">
        <w:rPr>
          <w:rFonts w:cs="Arial"/>
          <w:bCs/>
          <w:sz w:val="24"/>
        </w:rPr>
        <w:t xml:space="preserve">azonnal </w:t>
      </w:r>
      <w:bookmarkStart w:id="0" w:name="_GoBack"/>
      <w:bookmarkEnd w:id="0"/>
    </w:p>
    <w:sectPr w:rsidR="009458FD" w:rsidRPr="00D52DD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D52DD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D52DD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A6609B">
      <w:rPr>
        <w:rFonts w:cs="Arial"/>
        <w:sz w:val="20"/>
        <w:szCs w:val="20"/>
      </w:rPr>
      <w:t>620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DEB43E4"/>
    <w:multiLevelType w:val="hybridMultilevel"/>
    <w:tmpl w:val="EBDE5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E19"/>
    <w:multiLevelType w:val="hybridMultilevel"/>
    <w:tmpl w:val="2FE02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22FC7"/>
    <w:rsid w:val="0005153A"/>
    <w:rsid w:val="000D5554"/>
    <w:rsid w:val="00132161"/>
    <w:rsid w:val="001946B3"/>
    <w:rsid w:val="001A4648"/>
    <w:rsid w:val="001D178A"/>
    <w:rsid w:val="002D2D90"/>
    <w:rsid w:val="00302572"/>
    <w:rsid w:val="00325973"/>
    <w:rsid w:val="0032649B"/>
    <w:rsid w:val="0034130E"/>
    <w:rsid w:val="00341991"/>
    <w:rsid w:val="00356256"/>
    <w:rsid w:val="00397C0C"/>
    <w:rsid w:val="003E2AB4"/>
    <w:rsid w:val="0040165F"/>
    <w:rsid w:val="004A4563"/>
    <w:rsid w:val="004C3174"/>
    <w:rsid w:val="005F19FE"/>
    <w:rsid w:val="006007DE"/>
    <w:rsid w:val="0069075E"/>
    <w:rsid w:val="006B5218"/>
    <w:rsid w:val="00714EBA"/>
    <w:rsid w:val="00720C4A"/>
    <w:rsid w:val="00751386"/>
    <w:rsid w:val="007515FA"/>
    <w:rsid w:val="007B2FF9"/>
    <w:rsid w:val="007C4602"/>
    <w:rsid w:val="007F2F31"/>
    <w:rsid w:val="007F4F6D"/>
    <w:rsid w:val="00833522"/>
    <w:rsid w:val="008728D0"/>
    <w:rsid w:val="0092011D"/>
    <w:rsid w:val="009348EA"/>
    <w:rsid w:val="009458FD"/>
    <w:rsid w:val="0096279B"/>
    <w:rsid w:val="0096367B"/>
    <w:rsid w:val="00967225"/>
    <w:rsid w:val="009B614C"/>
    <w:rsid w:val="009C577B"/>
    <w:rsid w:val="009E2B2C"/>
    <w:rsid w:val="00A03C52"/>
    <w:rsid w:val="00A13C5F"/>
    <w:rsid w:val="00A16CF2"/>
    <w:rsid w:val="00A6609B"/>
    <w:rsid w:val="00A7633E"/>
    <w:rsid w:val="00AA5A71"/>
    <w:rsid w:val="00AB7B31"/>
    <w:rsid w:val="00AC3D7B"/>
    <w:rsid w:val="00AD08CD"/>
    <w:rsid w:val="00AF75E0"/>
    <w:rsid w:val="00B610E8"/>
    <w:rsid w:val="00BC46F6"/>
    <w:rsid w:val="00BE370B"/>
    <w:rsid w:val="00BE5C37"/>
    <w:rsid w:val="00C04236"/>
    <w:rsid w:val="00D3485F"/>
    <w:rsid w:val="00D34B76"/>
    <w:rsid w:val="00D403B2"/>
    <w:rsid w:val="00D52DD7"/>
    <w:rsid w:val="00D54DF8"/>
    <w:rsid w:val="00D83E09"/>
    <w:rsid w:val="00DC28DB"/>
    <w:rsid w:val="00E04109"/>
    <w:rsid w:val="00E2191D"/>
    <w:rsid w:val="00E27C16"/>
    <w:rsid w:val="00E82F69"/>
    <w:rsid w:val="00EC7C11"/>
    <w:rsid w:val="00F001CE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97D7CD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360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7</cp:revision>
  <cp:lastPrinted>2017-11-16T12:24:00Z</cp:lastPrinted>
  <dcterms:created xsi:type="dcterms:W3CDTF">2017-11-16T09:04:00Z</dcterms:created>
  <dcterms:modified xsi:type="dcterms:W3CDTF">2017-11-29T07:23:00Z</dcterms:modified>
</cp:coreProperties>
</file>