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F729A" w14:textId="77777777" w:rsidR="009714DF" w:rsidRPr="005F3FE0" w:rsidRDefault="009714DF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bookmarkStart w:id="0" w:name="_GoBack"/>
      <w:bookmarkEnd w:id="0"/>
    </w:p>
    <w:p w14:paraId="695D0BCF" w14:textId="7AEE6841" w:rsidR="006025B2" w:rsidRPr="00C55D7D" w:rsidRDefault="00082854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C9773A">
        <w:rPr>
          <w:rFonts w:ascii="Arial" w:hAnsi="Arial" w:cs="Arial"/>
          <w:b/>
        </w:rPr>
        <w:t xml:space="preserve"> </w:t>
      </w:r>
      <w:r w:rsidR="006025B2" w:rsidRPr="005F3FE0">
        <w:rPr>
          <w:rFonts w:ascii="Arial" w:hAnsi="Arial" w:cs="Arial"/>
          <w:b/>
        </w:rPr>
        <w:t>Megyei</w:t>
      </w:r>
      <w:r w:rsidR="006025B2" w:rsidRPr="00C55D7D">
        <w:rPr>
          <w:rFonts w:ascii="Arial" w:hAnsi="Arial" w:cs="Arial"/>
          <w:b/>
        </w:rPr>
        <w:t xml:space="preserve"> Jogú Város Önkormányzata és az MVM Partner Zrt</w:t>
      </w:r>
      <w:r w:rsidR="00266301" w:rsidRPr="00C55D7D">
        <w:rPr>
          <w:rFonts w:ascii="Arial" w:hAnsi="Arial" w:cs="Arial"/>
          <w:b/>
        </w:rPr>
        <w:t>.</w:t>
      </w:r>
    </w:p>
    <w:p w14:paraId="319AE947" w14:textId="0EF0AA96" w:rsidR="006025B2" w:rsidRPr="00C55D7D" w:rsidRDefault="0010655A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KERET-</w:t>
      </w:r>
      <w:r w:rsidR="006025B2" w:rsidRPr="00C55D7D">
        <w:rPr>
          <w:rFonts w:ascii="Arial" w:hAnsi="Arial" w:cs="Arial"/>
          <w:b/>
        </w:rPr>
        <w:t>MEGÁLLAPODÁSA</w:t>
      </w:r>
    </w:p>
    <w:p w14:paraId="1EF423E8" w14:textId="77777777" w:rsidR="006025B2" w:rsidRPr="00C55D7D" w:rsidRDefault="006025B2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az ökohatékony településfejlesztés és üzemelés terén történő együttműködésről</w:t>
      </w:r>
    </w:p>
    <w:p w14:paraId="276A7583" w14:textId="77777777" w:rsidR="009714DF" w:rsidRPr="00C55D7D" w:rsidRDefault="009714DF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0D21E59" w14:textId="77777777" w:rsidR="00A21FD1" w:rsidRPr="00C55D7D" w:rsidRDefault="00A21FD1" w:rsidP="006025B2">
      <w:pPr>
        <w:jc w:val="both"/>
        <w:rPr>
          <w:rFonts w:ascii="Arial" w:hAnsi="Arial" w:cs="Arial"/>
        </w:rPr>
      </w:pPr>
    </w:p>
    <w:p w14:paraId="57E30AA2" w14:textId="77777777" w:rsidR="00A21FD1" w:rsidRPr="00C55D7D" w:rsidRDefault="00A21FD1" w:rsidP="006025B2">
      <w:pPr>
        <w:jc w:val="both"/>
        <w:rPr>
          <w:rFonts w:ascii="Arial" w:hAnsi="Arial" w:cs="Arial"/>
        </w:rPr>
      </w:pPr>
    </w:p>
    <w:p w14:paraId="34A06036" w14:textId="68B37CAF" w:rsidR="006025B2" w:rsidRPr="00C55D7D" w:rsidRDefault="00082854" w:rsidP="006025B2">
      <w:pPr>
        <w:spacing w:after="0"/>
        <w:jc w:val="both"/>
        <w:rPr>
          <w:rFonts w:ascii="Arial" w:hAnsi="Arial" w:cs="Arial"/>
          <w:spacing w:val="30"/>
        </w:rPr>
      </w:pPr>
      <w:r>
        <w:rPr>
          <w:rFonts w:ascii="Arial" w:hAnsi="Arial" w:cs="Arial"/>
        </w:rPr>
        <w:t>Szombathely</w:t>
      </w:r>
      <w:r w:rsidR="006E679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Megyei Jogú Város Önkormányzata </w:t>
      </w:r>
      <w:r w:rsidR="006008A1" w:rsidRPr="006008A1">
        <w:rPr>
          <w:rFonts w:ascii="Arial" w:hAnsi="Arial" w:cs="Arial"/>
        </w:rPr>
        <w:t xml:space="preserve">(mint </w:t>
      </w:r>
      <w:r>
        <w:rPr>
          <w:rFonts w:ascii="Arial" w:hAnsi="Arial" w:cs="Arial"/>
        </w:rPr>
        <w:t>Szombathely</w:t>
      </w:r>
      <w:r w:rsidR="006008A1" w:rsidRPr="006008A1">
        <w:rPr>
          <w:rFonts w:ascii="Arial" w:hAnsi="Arial" w:cs="Arial"/>
        </w:rPr>
        <w:t xml:space="preserve"> MJV, Cím: </w:t>
      </w:r>
      <w:r w:rsidRPr="00082854">
        <w:rPr>
          <w:rFonts w:ascii="Arial" w:hAnsi="Arial" w:cs="Arial"/>
        </w:rPr>
        <w:t>9700 Szombathely, Kossuth L. u. 1-3.</w:t>
      </w:r>
      <w:r w:rsidR="008014DD">
        <w:rPr>
          <w:rFonts w:ascii="Arial" w:hAnsi="Arial" w:cs="Arial"/>
        </w:rPr>
        <w:t xml:space="preserve">) </w:t>
      </w:r>
      <w:r w:rsidR="006025B2" w:rsidRPr="00C55D7D">
        <w:rPr>
          <w:rFonts w:ascii="Arial" w:hAnsi="Arial" w:cs="Arial"/>
        </w:rPr>
        <w:t xml:space="preserve">és az MVM Partner Zrt (mint MVM PARTNER, Cím: </w:t>
      </w:r>
      <w:r w:rsidR="006025B2" w:rsidRPr="00C55D7D">
        <w:rPr>
          <w:rFonts w:ascii="Arial" w:eastAsia="Times New Roman" w:hAnsi="Arial" w:cs="Arial"/>
          <w:color w:val="000000"/>
          <w:lang w:eastAsia="hu-HU"/>
        </w:rPr>
        <w:t xml:space="preserve">1031 Budapest, Szentendrei út 207-209.), </w:t>
      </w:r>
      <w:r w:rsidR="006025B2" w:rsidRPr="00C55D7D">
        <w:rPr>
          <w:rFonts w:ascii="Arial" w:hAnsi="Arial" w:cs="Arial"/>
        </w:rPr>
        <w:t>a továbbiakban: a FELEK</w:t>
      </w:r>
    </w:p>
    <w:p w14:paraId="0797CC37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6582103A" w14:textId="521FCAC5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KI</w:t>
      </w:r>
      <w:r w:rsidR="002B7690" w:rsidRPr="00C55D7D">
        <w:rPr>
          <w:rFonts w:ascii="Arial" w:hAnsi="Arial" w:cs="Arial"/>
        </w:rPr>
        <w:t>I</w:t>
      </w:r>
      <w:r w:rsidRPr="00C55D7D">
        <w:rPr>
          <w:rFonts w:ascii="Arial" w:hAnsi="Arial" w:cs="Arial"/>
        </w:rPr>
        <w:t>NDULVA Magyarország 2020-ig szóló Nemzeti Energiahatékonysági Cselekvési Tervében, valamint az Energia- és Klímatudatossági Szemléletformálási Cselekvési Tervben megfogalmazott települési önkormányzati és régiós célok megvalósításának fontosságából,</w:t>
      </w:r>
    </w:p>
    <w:p w14:paraId="49B56E64" w14:textId="77777777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058CCB1" w14:textId="5035C6CB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FIGYELEMMEL az Európa 2020 Stratégia és a 2020-2030-as időszakra vonatkozó uniós éghajlat- és energiapolitikai keret közös célkitűzései, továbbá a</w:t>
      </w:r>
      <w:r w:rsidR="00B10E2B" w:rsidRPr="00C55D7D">
        <w:rPr>
          <w:rFonts w:ascii="Arial" w:hAnsi="Arial" w:cs="Arial"/>
        </w:rPr>
        <w:t xml:space="preserve"> 2015. évi</w:t>
      </w:r>
      <w:r w:rsidRPr="00C55D7D">
        <w:rPr>
          <w:rFonts w:ascii="Arial" w:hAnsi="Arial" w:cs="Arial"/>
        </w:rPr>
        <w:t xml:space="preserve"> COP21 klímakonferencián létrejött</w:t>
      </w:r>
      <w:r w:rsidR="00EA0C36" w:rsidRPr="00C55D7D">
        <w:rPr>
          <w:rFonts w:ascii="Arial" w:hAnsi="Arial" w:cs="Arial"/>
        </w:rPr>
        <w:t xml:space="preserve">, Magyarország által 2016. október 5-én </w:t>
      </w:r>
      <w:r w:rsidR="002715CB" w:rsidRPr="00C55D7D">
        <w:rPr>
          <w:rFonts w:ascii="Arial" w:hAnsi="Arial" w:cs="Arial"/>
        </w:rPr>
        <w:t xml:space="preserve">elsők között </w:t>
      </w:r>
      <w:r w:rsidR="00EA0C36" w:rsidRPr="00C55D7D">
        <w:rPr>
          <w:rFonts w:ascii="Arial" w:hAnsi="Arial" w:cs="Arial"/>
        </w:rPr>
        <w:t>ratifikált</w:t>
      </w:r>
      <w:r w:rsidRPr="00C55D7D">
        <w:rPr>
          <w:rFonts w:ascii="Arial" w:hAnsi="Arial" w:cs="Arial"/>
        </w:rPr>
        <w:t xml:space="preserve"> </w:t>
      </w:r>
      <w:r w:rsidR="00B10E2B" w:rsidRPr="00C55D7D">
        <w:rPr>
          <w:rFonts w:ascii="Arial" w:hAnsi="Arial" w:cs="Arial"/>
        </w:rPr>
        <w:t>Párizsi M</w:t>
      </w:r>
      <w:r w:rsidRPr="00C55D7D">
        <w:rPr>
          <w:rFonts w:ascii="Arial" w:hAnsi="Arial" w:cs="Arial"/>
        </w:rPr>
        <w:t>egállapodás településeket érintő rendelkezéseire,</w:t>
      </w:r>
    </w:p>
    <w:p w14:paraId="79B17E62" w14:textId="226E8C7F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br/>
        <w:t xml:space="preserve">ALAPUL VÉVE </w:t>
      </w:r>
      <w:r w:rsidR="00082854"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Pr="00C55D7D">
        <w:rPr>
          <w:rFonts w:ascii="Arial" w:hAnsi="Arial" w:cs="Arial"/>
        </w:rPr>
        <w:t>város 2020-ig szóló településfejlesztési stratégiáinak és programjainak energetikai célkitűzéseit,</w:t>
      </w:r>
    </w:p>
    <w:p w14:paraId="294A7EDF" w14:textId="77777777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9F201DC" w14:textId="77FE859C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KÜLÖNÖS TEKINTETTEL az intelligens, energiahatékony és környezettudatos település</w:t>
      </w:r>
      <w:r w:rsidR="005722F3" w:rsidRPr="00C55D7D">
        <w:rPr>
          <w:rFonts w:ascii="Arial" w:hAnsi="Arial" w:cs="Arial"/>
        </w:rPr>
        <w:t xml:space="preserve">fejlesztés </w:t>
      </w:r>
      <w:r w:rsidR="00E632B6" w:rsidRPr="00C55D7D">
        <w:rPr>
          <w:rFonts w:ascii="Arial" w:hAnsi="Arial" w:cs="Arial"/>
        </w:rPr>
        <w:t xml:space="preserve">és </w:t>
      </w:r>
      <w:r w:rsidRPr="00C55D7D">
        <w:rPr>
          <w:rFonts w:ascii="Arial" w:hAnsi="Arial" w:cs="Arial"/>
        </w:rPr>
        <w:t>üzemelés szakmai követelményeire és társadalmi elvárásaira,</w:t>
      </w:r>
    </w:p>
    <w:p w14:paraId="443E2E63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5E4A2986" w14:textId="49F38216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 következőket rögzítik:</w:t>
      </w:r>
    </w:p>
    <w:p w14:paraId="5E27EC65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3C1BBB93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3CA4BC0D" w14:textId="77777777" w:rsidR="006025B2" w:rsidRPr="00C55D7D" w:rsidRDefault="006025B2" w:rsidP="006025B2">
      <w:pPr>
        <w:pStyle w:val="Listaszerbekezds"/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TELEPÜLÉSI STRATÉGIÁK, FEJLESZTÉSI KONCEPCIÓK</w:t>
      </w:r>
    </w:p>
    <w:p w14:paraId="16CF2501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0EF7BE43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23CB4885" w14:textId="489D50CA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MJV elkötelezett abban, hogy az élhető környezet fejlődését energiahatékonyság és a megújuló energiaforrások növelésével is előmozdítsa, ezzel az éghajlat védelmét szolgáló élenjáró települési programokat valósítson meg. </w:t>
      </w:r>
    </w:p>
    <w:p w14:paraId="48A9CFC9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454ED4C9" w14:textId="37D6706A" w:rsidR="006025B2" w:rsidRPr="00C55D7D" w:rsidRDefault="006025B2" w:rsidP="0050551B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elkötelezett abban, hogy szakértői közreműködést biztosítson </w:t>
      </w:r>
      <w:r w:rsidR="00082854"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Pr="00C55D7D">
        <w:rPr>
          <w:rFonts w:ascii="Arial" w:hAnsi="Arial" w:cs="Arial"/>
        </w:rPr>
        <w:t>város releváns stratégiáinak, szakmai koncepcióinak megvalósításához, különös tekintett</w:t>
      </w:r>
      <w:r w:rsidR="006E3F52" w:rsidRPr="00C55D7D">
        <w:rPr>
          <w:rFonts w:ascii="Arial" w:hAnsi="Arial" w:cs="Arial"/>
        </w:rPr>
        <w:t>el a</w:t>
      </w:r>
      <w:r w:rsidR="000D6AC0" w:rsidRPr="00C55D7D">
        <w:rPr>
          <w:rFonts w:ascii="Arial" w:hAnsi="Arial" w:cs="Arial"/>
        </w:rPr>
        <w:t xml:space="preserve">z </w:t>
      </w:r>
      <w:r w:rsidR="006E3F52" w:rsidRPr="00C55D7D">
        <w:rPr>
          <w:rFonts w:ascii="Arial" w:hAnsi="Arial" w:cs="Arial"/>
        </w:rPr>
        <w:t>integrált településfejlesztési (ITS) és energia s</w:t>
      </w:r>
      <w:r w:rsidRPr="00C55D7D">
        <w:rPr>
          <w:rFonts w:ascii="Arial" w:hAnsi="Arial" w:cs="Arial"/>
        </w:rPr>
        <w:t>tratégi</w:t>
      </w:r>
      <w:r w:rsidR="006E3F52" w:rsidRPr="00C55D7D">
        <w:rPr>
          <w:rFonts w:ascii="Arial" w:hAnsi="Arial" w:cs="Arial"/>
        </w:rPr>
        <w:t xml:space="preserve">ák, </w:t>
      </w:r>
      <w:r w:rsidRPr="00C55D7D">
        <w:rPr>
          <w:rFonts w:ascii="Arial" w:hAnsi="Arial" w:cs="Arial"/>
        </w:rPr>
        <w:t>Smart City</w:t>
      </w:r>
      <w:r w:rsidR="000D6AC0" w:rsidRPr="00C55D7D">
        <w:rPr>
          <w:rFonts w:ascii="Arial" w:hAnsi="Arial" w:cs="Arial"/>
        </w:rPr>
        <w:t xml:space="preserve"> fejlesztési</w:t>
      </w:r>
      <w:r w:rsidRPr="00C55D7D">
        <w:rPr>
          <w:rFonts w:ascii="Arial" w:hAnsi="Arial" w:cs="Arial"/>
        </w:rPr>
        <w:t xml:space="preserve"> és egyéb </w:t>
      </w:r>
      <w:r w:rsidR="000D6AC0" w:rsidRPr="00C55D7D">
        <w:rPr>
          <w:rFonts w:ascii="Arial" w:hAnsi="Arial" w:cs="Arial"/>
        </w:rPr>
        <w:t xml:space="preserve">releváns </w:t>
      </w:r>
      <w:r w:rsidR="006E3F52" w:rsidRPr="00C55D7D">
        <w:rPr>
          <w:rFonts w:ascii="Arial" w:hAnsi="Arial" w:cs="Arial"/>
        </w:rPr>
        <w:t xml:space="preserve">települési </w:t>
      </w:r>
      <w:r w:rsidRPr="00C55D7D">
        <w:rPr>
          <w:rFonts w:ascii="Arial" w:hAnsi="Arial" w:cs="Arial"/>
        </w:rPr>
        <w:t xml:space="preserve">koncepciók célkitűzéseinek mielőbbi és eredményes realizálására.  </w:t>
      </w:r>
      <w:r w:rsidR="005722F3" w:rsidRPr="00C55D7D">
        <w:rPr>
          <w:rFonts w:ascii="Arial" w:hAnsi="Arial" w:cs="Arial"/>
        </w:rPr>
        <w:t>Készségét fejezi ki egyúttal</w:t>
      </w:r>
      <w:r w:rsidRPr="00C55D7D">
        <w:rPr>
          <w:rFonts w:ascii="Arial" w:hAnsi="Arial" w:cs="Arial"/>
        </w:rPr>
        <w:t>, hogy a kiemelt kulturális, szociális, oktatási, sport és egyéb létesítmények fejlesztési projektjeinek energetikai megalapozását is elősegítse.</w:t>
      </w:r>
      <w:r w:rsidRPr="00C55D7D">
        <w:rPr>
          <w:rFonts w:ascii="Arial" w:hAnsi="Arial" w:cs="Arial"/>
        </w:rPr>
        <w:br w:type="page"/>
      </w:r>
    </w:p>
    <w:p w14:paraId="7C4607F2" w14:textId="28B2CC0C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lastRenderedPageBreak/>
        <w:t>ENERGIATUDATOSSÁG, SZEMÉLETFORMÁLÁS, TÁRS</w:t>
      </w:r>
      <w:r w:rsidR="002B7690" w:rsidRPr="00C55D7D">
        <w:rPr>
          <w:rFonts w:ascii="Arial" w:hAnsi="Arial" w:cs="Arial"/>
          <w:b/>
        </w:rPr>
        <w:t>A</w:t>
      </w:r>
      <w:r w:rsidRPr="00C55D7D">
        <w:rPr>
          <w:rFonts w:ascii="Arial" w:hAnsi="Arial" w:cs="Arial"/>
          <w:b/>
        </w:rPr>
        <w:t>DALMI SZEREPVÁLLALÁS</w:t>
      </w:r>
    </w:p>
    <w:p w14:paraId="25ABC275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494FB993" w14:textId="6FA02E1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megvizsgálja </w:t>
      </w:r>
      <w:r w:rsidR="009C3CEB" w:rsidRPr="00C55D7D">
        <w:rPr>
          <w:rFonts w:ascii="Arial" w:hAnsi="Arial" w:cs="Arial"/>
        </w:rPr>
        <w:t>helyi</w:t>
      </w:r>
      <w:r w:rsidR="006E3F52" w:rsidRPr="00C55D7D">
        <w:rPr>
          <w:rFonts w:ascii="Arial" w:hAnsi="Arial" w:cs="Arial"/>
        </w:rPr>
        <w:t>, illetve regionális</w:t>
      </w:r>
      <w:r w:rsidR="009C3CEB" w:rsidRPr="00C55D7D">
        <w:rPr>
          <w:rFonts w:ascii="Arial" w:hAnsi="Arial" w:cs="Arial"/>
        </w:rPr>
        <w:t xml:space="preserve"> </w:t>
      </w:r>
      <w:r w:rsidR="00246AB6" w:rsidRPr="00C55D7D">
        <w:rPr>
          <w:rFonts w:ascii="Arial" w:hAnsi="Arial" w:cs="Arial"/>
        </w:rPr>
        <w:t xml:space="preserve">közösségi </w:t>
      </w:r>
      <w:r w:rsidR="009C3CEB" w:rsidRPr="00C55D7D">
        <w:rPr>
          <w:rFonts w:ascii="Arial" w:hAnsi="Arial" w:cs="Arial"/>
        </w:rPr>
        <w:t xml:space="preserve">energia centrum </w:t>
      </w:r>
      <w:r w:rsidRPr="00C55D7D">
        <w:rPr>
          <w:rFonts w:ascii="Arial" w:hAnsi="Arial" w:cs="Arial"/>
        </w:rPr>
        <w:t xml:space="preserve">létrehozásának feltételeit annak érdekében, hogy </w:t>
      </w:r>
      <w:r w:rsidR="00082854">
        <w:rPr>
          <w:rFonts w:ascii="Arial" w:hAnsi="Arial" w:cs="Arial"/>
        </w:rPr>
        <w:t>Szombathely</w:t>
      </w:r>
      <w:r w:rsidR="00C55D7D">
        <w:rPr>
          <w:rFonts w:ascii="Arial" w:hAnsi="Arial" w:cs="Arial"/>
        </w:rPr>
        <w:t xml:space="preserve"> </w:t>
      </w:r>
      <w:r w:rsidR="0010655A" w:rsidRPr="00C55D7D">
        <w:rPr>
          <w:rFonts w:ascii="Arial" w:hAnsi="Arial" w:cs="Arial"/>
        </w:rPr>
        <w:t>város</w:t>
      </w:r>
      <w:r w:rsidRPr="00C55D7D">
        <w:rPr>
          <w:rFonts w:ascii="Arial" w:hAnsi="Arial" w:cs="Arial"/>
        </w:rPr>
        <w:t xml:space="preserve"> és agglomerációjának lakossági és közületi fogyasztói jobban megismerjék az energiahatékonyság növelésének innovatív módszereit, technológiáit, a megújuló energiaforrások igénybevételének konkrét formáit, megoldásait. </w:t>
      </w:r>
    </w:p>
    <w:p w14:paraId="128F29A7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193D98B4" w14:textId="1D0C3C8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</w:t>
      </w:r>
      <w:r w:rsidR="005722F3" w:rsidRPr="00C55D7D">
        <w:rPr>
          <w:rFonts w:ascii="Arial" w:hAnsi="Arial" w:cs="Arial"/>
        </w:rPr>
        <w:t xml:space="preserve">közreműködést </w:t>
      </w:r>
      <w:r w:rsidRPr="00C55D7D">
        <w:rPr>
          <w:rFonts w:ascii="Arial" w:hAnsi="Arial" w:cs="Arial"/>
        </w:rPr>
        <w:t xml:space="preserve">vállal az energiatudatosság fejlesztést célzó helyi képzések, szakmai fórumok előkészítésében, lebonyolításában úgy, mint a fiatal korosztály számára szervezett környezeti nevelési akciókban.  </w:t>
      </w:r>
    </w:p>
    <w:p w14:paraId="6B17EB3C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0FA83F55" w14:textId="161E719A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MJV közreműködik az energia- és klímatudatossági szemléletformálást is szolgáló </w:t>
      </w:r>
      <w:r w:rsidR="00246AB6" w:rsidRPr="00C55D7D">
        <w:rPr>
          <w:rFonts w:ascii="Arial" w:hAnsi="Arial" w:cs="Arial"/>
        </w:rPr>
        <w:t xml:space="preserve">közösségi </w:t>
      </w:r>
      <w:r w:rsidR="009C3CEB" w:rsidRPr="00C55D7D">
        <w:rPr>
          <w:rFonts w:ascii="Arial" w:hAnsi="Arial" w:cs="Arial"/>
        </w:rPr>
        <w:t xml:space="preserve">energia centrum </w:t>
      </w:r>
      <w:r w:rsidR="006025B2" w:rsidRPr="00C55D7D">
        <w:rPr>
          <w:rFonts w:ascii="Arial" w:hAnsi="Arial" w:cs="Arial"/>
        </w:rPr>
        <w:t>kiválasztásában</w:t>
      </w:r>
      <w:r w:rsidR="00791B06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és</w:t>
      </w:r>
      <w:r w:rsidR="00791B06" w:rsidRPr="00C55D7D">
        <w:rPr>
          <w:rFonts w:ascii="Arial" w:hAnsi="Arial" w:cs="Arial"/>
        </w:rPr>
        <w:t xml:space="preserve"> </w:t>
      </w:r>
      <w:r w:rsidR="006E3F52" w:rsidRPr="00C55D7D">
        <w:rPr>
          <w:rFonts w:ascii="Arial" w:hAnsi="Arial" w:cs="Arial"/>
        </w:rPr>
        <w:t xml:space="preserve">külön megállapodásban részletezett, </w:t>
      </w:r>
      <w:r w:rsidR="00791B06" w:rsidRPr="00C55D7D">
        <w:rPr>
          <w:rFonts w:ascii="Arial" w:hAnsi="Arial" w:cs="Arial"/>
        </w:rPr>
        <w:t>közös</w:t>
      </w:r>
      <w:r w:rsidR="006025B2" w:rsidRPr="00C55D7D">
        <w:rPr>
          <w:rFonts w:ascii="Arial" w:hAnsi="Arial" w:cs="Arial"/>
        </w:rPr>
        <w:t xml:space="preserve"> működtetésében</w:t>
      </w:r>
      <w:r w:rsidR="0030364F" w:rsidRPr="00C55D7D">
        <w:rPr>
          <w:rFonts w:ascii="Arial" w:hAnsi="Arial" w:cs="Arial"/>
        </w:rPr>
        <w:t>.</w:t>
      </w:r>
    </w:p>
    <w:p w14:paraId="44924DF6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3BC5A50B" w14:textId="6CD78675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MJV aktívan elősegíti, h</w:t>
      </w:r>
      <w:r w:rsidR="006D6517" w:rsidRPr="00C55D7D">
        <w:rPr>
          <w:rFonts w:ascii="Arial" w:hAnsi="Arial" w:cs="Arial"/>
        </w:rPr>
        <w:t>ogy az MVM PARTNER, illetve a</w:t>
      </w:r>
      <w:r w:rsidR="009C3CEB" w:rsidRPr="00C55D7D">
        <w:rPr>
          <w:rFonts w:ascii="Arial" w:hAnsi="Arial" w:cs="Arial"/>
        </w:rPr>
        <w:t>z energia centrum</w:t>
      </w:r>
      <w:r w:rsidR="00246AB6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szolgáltatásait, programjait a lakossági és közületi fogyasztók széles körben megismerjék, lehetőségek szerint igénybe vegyék. </w:t>
      </w:r>
    </w:p>
    <w:p w14:paraId="3D638DCB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3EF7666C" w14:textId="77777777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KÖLTSÉGHATÉKONYABB ENERGIAFELHASZNÁLÁS</w:t>
      </w:r>
    </w:p>
    <w:p w14:paraId="2F438C26" w14:textId="77777777" w:rsidR="00A21FD1" w:rsidRPr="00C55D7D" w:rsidRDefault="00A21FD1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45C17668" w14:textId="6B9FE9AE" w:rsidR="006025B2" w:rsidRPr="006008A1" w:rsidRDefault="006025B2" w:rsidP="006008A1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008A1">
        <w:rPr>
          <w:rFonts w:ascii="Arial" w:hAnsi="Arial" w:cs="Arial"/>
        </w:rPr>
        <w:t xml:space="preserve">Az MVM PARTNER vállalja, hogy </w:t>
      </w:r>
      <w:r w:rsidR="00082854">
        <w:rPr>
          <w:rFonts w:ascii="Arial" w:hAnsi="Arial" w:cs="Arial"/>
        </w:rPr>
        <w:t>Szombathely</w:t>
      </w:r>
      <w:r w:rsidR="00C55D7D" w:rsidRPr="006008A1">
        <w:rPr>
          <w:rFonts w:ascii="Arial" w:hAnsi="Arial" w:cs="Arial"/>
        </w:rPr>
        <w:t xml:space="preserve"> </w:t>
      </w:r>
      <w:r w:rsidRPr="006008A1">
        <w:rPr>
          <w:rFonts w:ascii="Arial" w:hAnsi="Arial" w:cs="Arial"/>
        </w:rPr>
        <w:t>MJV által megjelölt és biztosított intézményi körből, épületek energiaveszteségi és meghibásodási pontjainak feltárásához, energiahatékonysági felülvizs</w:t>
      </w:r>
      <w:r w:rsidR="002B7690" w:rsidRPr="006008A1">
        <w:rPr>
          <w:rFonts w:ascii="Arial" w:hAnsi="Arial" w:cs="Arial"/>
        </w:rPr>
        <w:t>gálat, ú</w:t>
      </w:r>
      <w:r w:rsidR="00956048" w:rsidRPr="006008A1">
        <w:rPr>
          <w:rFonts w:ascii="Arial" w:hAnsi="Arial" w:cs="Arial"/>
        </w:rPr>
        <w:t>n.</w:t>
      </w:r>
      <w:r w:rsidRPr="006008A1">
        <w:rPr>
          <w:rFonts w:ascii="Arial" w:hAnsi="Arial" w:cs="Arial"/>
        </w:rPr>
        <w:t xml:space="preserve"> </w:t>
      </w:r>
      <w:r w:rsidR="00956048" w:rsidRPr="006008A1">
        <w:rPr>
          <w:rFonts w:ascii="Arial" w:hAnsi="Arial" w:cs="Arial"/>
        </w:rPr>
        <w:t>Stratégiai E</w:t>
      </w:r>
      <w:r w:rsidR="006E3F52" w:rsidRPr="006008A1">
        <w:rPr>
          <w:rFonts w:ascii="Arial" w:hAnsi="Arial" w:cs="Arial"/>
        </w:rPr>
        <w:t xml:space="preserve">nergia </w:t>
      </w:r>
      <w:r w:rsidR="00956048" w:rsidRPr="006008A1">
        <w:rPr>
          <w:rFonts w:ascii="Arial" w:hAnsi="Arial" w:cs="Arial"/>
        </w:rPr>
        <w:t>A</w:t>
      </w:r>
      <w:r w:rsidRPr="006008A1">
        <w:rPr>
          <w:rFonts w:ascii="Arial" w:hAnsi="Arial" w:cs="Arial"/>
        </w:rPr>
        <w:t xml:space="preserve">udit </w:t>
      </w:r>
      <w:r w:rsidR="006E3F52" w:rsidRPr="006008A1">
        <w:rPr>
          <w:rFonts w:ascii="Arial" w:hAnsi="Arial" w:cs="Arial"/>
        </w:rPr>
        <w:t>(SEA</w:t>
      </w:r>
      <w:r w:rsidR="002B7690" w:rsidRPr="006008A1">
        <w:rPr>
          <w:rFonts w:ascii="Arial" w:hAnsi="Arial" w:cs="Arial"/>
        </w:rPr>
        <w:t>, részletezését lásd jelen megállapodás 1. sz. mellékletében</w:t>
      </w:r>
      <w:r w:rsidR="006E3F52" w:rsidRPr="006008A1">
        <w:rPr>
          <w:rFonts w:ascii="Arial" w:hAnsi="Arial" w:cs="Arial"/>
        </w:rPr>
        <w:t xml:space="preserve">) </w:t>
      </w:r>
      <w:r w:rsidRPr="006008A1">
        <w:rPr>
          <w:rFonts w:ascii="Arial" w:hAnsi="Arial" w:cs="Arial"/>
        </w:rPr>
        <w:t>alá vet</w:t>
      </w:r>
      <w:r w:rsidR="00350F3F" w:rsidRPr="006008A1">
        <w:rPr>
          <w:rFonts w:ascii="Arial" w:hAnsi="Arial" w:cs="Arial"/>
        </w:rPr>
        <w:t xml:space="preserve"> </w:t>
      </w:r>
      <w:r w:rsidR="00956048" w:rsidRPr="006008A1">
        <w:rPr>
          <w:rFonts w:ascii="Arial" w:hAnsi="Arial" w:cs="Arial"/>
        </w:rPr>
        <w:t xml:space="preserve">legfeljebb </w:t>
      </w:r>
      <w:r w:rsidR="00350F3F" w:rsidRPr="006008A1">
        <w:rPr>
          <w:rFonts w:ascii="Arial" w:hAnsi="Arial" w:cs="Arial"/>
        </w:rPr>
        <w:t xml:space="preserve">tíz </w:t>
      </w:r>
      <w:r w:rsidRPr="006008A1">
        <w:rPr>
          <w:rFonts w:ascii="Arial" w:hAnsi="Arial" w:cs="Arial"/>
        </w:rPr>
        <w:t>felhasználási helyet, az energia-megtakarítás, illetve az intézményi költséghatékonys</w:t>
      </w:r>
      <w:r w:rsidR="00927C71">
        <w:rPr>
          <w:rFonts w:ascii="Arial" w:hAnsi="Arial" w:cs="Arial"/>
        </w:rPr>
        <w:t>ág innovatív növelése érdekében</w:t>
      </w:r>
      <w:r w:rsidR="00AA710C">
        <w:rPr>
          <w:rFonts w:ascii="Arial" w:hAnsi="Arial" w:cs="Arial"/>
        </w:rPr>
        <w:t>.</w:t>
      </w:r>
      <w:r w:rsidRPr="006008A1">
        <w:rPr>
          <w:rFonts w:ascii="Arial" w:hAnsi="Arial" w:cs="Arial"/>
        </w:rPr>
        <w:t xml:space="preserve"> </w:t>
      </w:r>
    </w:p>
    <w:p w14:paraId="4FFCF1F8" w14:textId="77777777" w:rsidR="006008A1" w:rsidRPr="00C55D7D" w:rsidRDefault="006008A1" w:rsidP="008B4719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29E85736" w14:textId="5E9B3400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956048" w:rsidRPr="00C55D7D">
        <w:rPr>
          <w:rFonts w:ascii="Arial" w:hAnsi="Arial" w:cs="Arial"/>
        </w:rPr>
        <w:t xml:space="preserve">MJV </w:t>
      </w:r>
      <w:r w:rsidR="009A0B62" w:rsidRPr="00C55D7D">
        <w:rPr>
          <w:rFonts w:ascii="Arial" w:hAnsi="Arial" w:cs="Arial"/>
        </w:rPr>
        <w:t>a j</w:t>
      </w:r>
      <w:r w:rsidR="006025B2" w:rsidRPr="00C55D7D">
        <w:rPr>
          <w:rFonts w:ascii="Arial" w:hAnsi="Arial" w:cs="Arial"/>
        </w:rPr>
        <w:t xml:space="preserve">elen dokumentum szerint </w:t>
      </w:r>
      <w:r w:rsidR="00956048" w:rsidRPr="00C55D7D">
        <w:rPr>
          <w:rFonts w:ascii="Arial" w:hAnsi="Arial" w:cs="Arial"/>
        </w:rPr>
        <w:t>realizálható</w:t>
      </w:r>
      <w:r w:rsidR="006025B2" w:rsidRPr="00C55D7D">
        <w:rPr>
          <w:rFonts w:ascii="Arial" w:hAnsi="Arial" w:cs="Arial"/>
        </w:rPr>
        <w:t xml:space="preserve"> megtakarításokat az </w:t>
      </w:r>
      <w:r w:rsidR="00956048" w:rsidRPr="00C55D7D">
        <w:rPr>
          <w:rFonts w:ascii="Arial" w:hAnsi="Arial" w:cs="Arial"/>
        </w:rPr>
        <w:t>energiahatékonyság fejlesztése, illetve a klíma- és energiatudatosság növelése érdekében hasznosítja</w:t>
      </w:r>
      <w:r w:rsidR="006025B2" w:rsidRPr="00C55D7D">
        <w:rPr>
          <w:rFonts w:ascii="Arial" w:hAnsi="Arial" w:cs="Arial"/>
        </w:rPr>
        <w:t>.</w:t>
      </w:r>
    </w:p>
    <w:p w14:paraId="1DFA8CDC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389011A9" w14:textId="77777777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MEGÚJULÓ ENERGIA TÉRNYERÉSE</w:t>
      </w:r>
    </w:p>
    <w:p w14:paraId="4D645AC1" w14:textId="77777777" w:rsidR="00A21FD1" w:rsidRPr="00C55D7D" w:rsidRDefault="00A21FD1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16A0093B" w14:textId="03CBAA90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</w:t>
      </w:r>
      <w:r w:rsidR="005722F3" w:rsidRPr="00C55D7D">
        <w:rPr>
          <w:rFonts w:ascii="Arial" w:hAnsi="Arial" w:cs="Arial"/>
        </w:rPr>
        <w:t>vállalja</w:t>
      </w:r>
      <w:r w:rsidRPr="00C55D7D">
        <w:rPr>
          <w:rFonts w:ascii="Arial" w:hAnsi="Arial" w:cs="Arial"/>
        </w:rPr>
        <w:t>, hogy a megújuló energiaforrások hasznosítása terén szerzett szakmai ismereteivel, tapasztalataival segít</w:t>
      </w:r>
      <w:r w:rsidR="00927483" w:rsidRPr="00C55D7D">
        <w:rPr>
          <w:rFonts w:ascii="Arial" w:hAnsi="Arial" w:cs="Arial"/>
        </w:rPr>
        <w:t>i</w:t>
      </w:r>
      <w:r w:rsidRPr="00C55D7D">
        <w:rPr>
          <w:rFonts w:ascii="Arial" w:hAnsi="Arial" w:cs="Arial"/>
        </w:rPr>
        <w:t xml:space="preserve"> </w:t>
      </w:r>
      <w:r w:rsidR="00082854"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5722F3" w:rsidRPr="00C55D7D">
        <w:rPr>
          <w:rFonts w:ascii="Arial" w:hAnsi="Arial" w:cs="Arial"/>
        </w:rPr>
        <w:t>MJV tevékenységét, különösen</w:t>
      </w:r>
      <w:r w:rsidR="00927483" w:rsidRPr="00C55D7D">
        <w:rPr>
          <w:rFonts w:ascii="Arial" w:hAnsi="Arial" w:cs="Arial"/>
        </w:rPr>
        <w:t xml:space="preserve"> a</w:t>
      </w:r>
      <w:r w:rsidR="005722F3" w:rsidRPr="00C55D7D">
        <w:rPr>
          <w:rFonts w:ascii="Arial" w:hAnsi="Arial" w:cs="Arial"/>
        </w:rPr>
        <w:t xml:space="preserve"> </w:t>
      </w:r>
      <w:r w:rsidR="009C3CEB" w:rsidRPr="00C55D7D">
        <w:rPr>
          <w:rFonts w:ascii="Arial" w:hAnsi="Arial" w:cs="Arial"/>
        </w:rPr>
        <w:t xml:space="preserve">helyi </w:t>
      </w:r>
      <w:r w:rsidR="005722F3" w:rsidRPr="00C55D7D">
        <w:rPr>
          <w:rFonts w:ascii="Arial" w:hAnsi="Arial" w:cs="Arial"/>
        </w:rPr>
        <w:t>napelem rendszerekh</w:t>
      </w:r>
      <w:r w:rsidRPr="00C55D7D">
        <w:rPr>
          <w:rFonts w:ascii="Arial" w:hAnsi="Arial" w:cs="Arial"/>
        </w:rPr>
        <w:t>ez kapcsolódó fejlesztések</w:t>
      </w:r>
      <w:r w:rsidR="005722F3" w:rsidRPr="00C55D7D">
        <w:rPr>
          <w:rFonts w:ascii="Arial" w:hAnsi="Arial" w:cs="Arial"/>
        </w:rPr>
        <w:t>nél</w:t>
      </w:r>
      <w:r w:rsidRPr="00C55D7D">
        <w:rPr>
          <w:rFonts w:ascii="Arial" w:hAnsi="Arial" w:cs="Arial"/>
        </w:rPr>
        <w:t>.</w:t>
      </w:r>
    </w:p>
    <w:p w14:paraId="148EE08C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2B38CECA" w14:textId="38296EDC" w:rsidR="006025B2" w:rsidRPr="00C55D7D" w:rsidRDefault="006025B2" w:rsidP="00A21FD1">
      <w:pPr>
        <w:pStyle w:val="Listaszerbekezds"/>
        <w:numPr>
          <w:ilvl w:val="0"/>
          <w:numId w:val="1"/>
        </w:numPr>
        <w:spacing w:after="200" w:line="276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Az MVM PARTNER mintaprojekt formájában megvizsgálja</w:t>
      </w:r>
      <w:r w:rsidR="00870174" w:rsidRPr="00C55D7D">
        <w:rPr>
          <w:rFonts w:ascii="Arial" w:hAnsi="Arial" w:cs="Arial"/>
        </w:rPr>
        <w:t xml:space="preserve"> és biztosítja</w:t>
      </w:r>
      <w:r w:rsidRPr="00C55D7D">
        <w:rPr>
          <w:rFonts w:ascii="Arial" w:hAnsi="Arial" w:cs="Arial"/>
        </w:rPr>
        <w:t xml:space="preserve"> </w:t>
      </w:r>
      <w:r w:rsidR="00082854">
        <w:rPr>
          <w:rFonts w:ascii="Arial" w:hAnsi="Arial" w:cs="Arial"/>
        </w:rPr>
        <w:t>Szombathely</w:t>
      </w:r>
      <w:r w:rsidR="00C55D7D">
        <w:rPr>
          <w:rFonts w:ascii="Arial" w:hAnsi="Arial" w:cs="Arial"/>
        </w:rPr>
        <w:t xml:space="preserve"> </w:t>
      </w:r>
      <w:r w:rsidR="009C3CEB" w:rsidRPr="00C55D7D">
        <w:rPr>
          <w:rFonts w:ascii="Arial" w:hAnsi="Arial" w:cs="Arial"/>
        </w:rPr>
        <w:t xml:space="preserve">településen </w:t>
      </w:r>
      <w:r w:rsidRPr="00C55D7D">
        <w:rPr>
          <w:rFonts w:ascii="Arial" w:hAnsi="Arial" w:cs="Arial"/>
        </w:rPr>
        <w:t xml:space="preserve">elektromos töltőállomás elhelyezésének lehetőségét. </w:t>
      </w:r>
    </w:p>
    <w:p w14:paraId="71EF88BE" w14:textId="77777777" w:rsidR="00EE0213" w:rsidRPr="00C55D7D" w:rsidRDefault="00EE0213" w:rsidP="00EE0213">
      <w:pPr>
        <w:pStyle w:val="Listaszerbekezds"/>
        <w:spacing w:after="200" w:line="276" w:lineRule="auto"/>
        <w:ind w:left="426"/>
        <w:jc w:val="both"/>
        <w:rPr>
          <w:rFonts w:ascii="Arial" w:hAnsi="Arial" w:cs="Arial"/>
        </w:rPr>
      </w:pPr>
    </w:p>
    <w:p w14:paraId="749DE02A" w14:textId="068CECCB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MJV minden lehetséges formában elősegíti a töltőállomás engedélyezési folyamatát és működtetését, valamint lehetséges eszközeivel </w:t>
      </w:r>
      <w:r w:rsidR="00927483" w:rsidRPr="00C55D7D">
        <w:rPr>
          <w:rFonts w:ascii="Arial" w:hAnsi="Arial" w:cs="Arial"/>
        </w:rPr>
        <w:t xml:space="preserve">támogatja </w:t>
      </w:r>
      <w:r w:rsidR="006025B2" w:rsidRPr="00C55D7D">
        <w:rPr>
          <w:rFonts w:ascii="Arial" w:hAnsi="Arial" w:cs="Arial"/>
        </w:rPr>
        <w:t>az MVM PARTNER további töltőállomások elhelyezésére irányuló törekvését.</w:t>
      </w:r>
    </w:p>
    <w:p w14:paraId="6E4AB216" w14:textId="77777777" w:rsidR="002B7690" w:rsidRPr="00C55D7D" w:rsidRDefault="002B7690" w:rsidP="00DD7328">
      <w:pPr>
        <w:spacing w:after="0" w:line="240" w:lineRule="auto"/>
        <w:rPr>
          <w:rFonts w:ascii="Arial" w:hAnsi="Arial" w:cs="Arial"/>
          <w:b/>
        </w:rPr>
      </w:pPr>
    </w:p>
    <w:p w14:paraId="65D0BF7F" w14:textId="77777777" w:rsidR="002B7690" w:rsidRPr="00C55D7D" w:rsidRDefault="002B7690" w:rsidP="006025B2">
      <w:pPr>
        <w:spacing w:after="0" w:line="240" w:lineRule="auto"/>
        <w:jc w:val="center"/>
        <w:rPr>
          <w:rFonts w:ascii="Arial" w:hAnsi="Arial" w:cs="Arial"/>
          <w:b/>
        </w:rPr>
      </w:pPr>
    </w:p>
    <w:p w14:paraId="22C12829" w14:textId="656B4C75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EURÓPAI UNIÓS P</w:t>
      </w:r>
      <w:r w:rsidR="00D37F04" w:rsidRPr="00C55D7D">
        <w:rPr>
          <w:rFonts w:ascii="Arial" w:hAnsi="Arial" w:cs="Arial"/>
          <w:b/>
        </w:rPr>
        <w:t>ROGRAMOK</w:t>
      </w:r>
    </w:p>
    <w:p w14:paraId="2FFA993B" w14:textId="77777777" w:rsidR="00A21FD1" w:rsidRPr="00C55D7D" w:rsidRDefault="00A21FD1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614B5A5B" w14:textId="79A7E8D5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 FELEK megvizsgálják az energiahatékonyság növelését szolgáló Operatív Programok, illetve egyéb (közvetlen) EU-konstrukciók igénybevételének formáit, amely kiterjed a Településfejlesztési Operatív Program (TOP), a Környezet- és Energiahatékonysági Operatív Program (KEHOP), valamint egyéb, regionális és közvetlen EU-támogatási konstrukciókban</w:t>
      </w:r>
      <w:r w:rsidR="00D37F04" w:rsidRPr="00C55D7D">
        <w:rPr>
          <w:rFonts w:ascii="Arial" w:hAnsi="Arial" w:cs="Arial"/>
        </w:rPr>
        <w:t xml:space="preserve"> (pl.</w:t>
      </w:r>
      <w:r w:rsidR="00DD7328">
        <w:rPr>
          <w:rFonts w:ascii="Arial" w:hAnsi="Arial" w:cs="Arial"/>
        </w:rPr>
        <w:t xml:space="preserve"> Horizon 2020,</w:t>
      </w:r>
      <w:r w:rsidR="00D37F04" w:rsidRPr="00C55D7D">
        <w:rPr>
          <w:rFonts w:ascii="Arial" w:hAnsi="Arial" w:cs="Arial"/>
        </w:rPr>
        <w:t xml:space="preserve"> ELENA)</w:t>
      </w:r>
      <w:r w:rsidRPr="00C55D7D">
        <w:rPr>
          <w:rFonts w:ascii="Arial" w:hAnsi="Arial" w:cs="Arial"/>
        </w:rPr>
        <w:t xml:space="preserve"> való részvétel és konzorciumi partnerségek kialakításának lehetőségeire</w:t>
      </w:r>
      <w:r w:rsidR="0056225D" w:rsidRPr="00C55D7D">
        <w:rPr>
          <w:rFonts w:ascii="Arial" w:hAnsi="Arial" w:cs="Arial"/>
        </w:rPr>
        <w:t xml:space="preserve"> is</w:t>
      </w:r>
      <w:r w:rsidRPr="00C55D7D">
        <w:rPr>
          <w:rFonts w:ascii="Arial" w:hAnsi="Arial" w:cs="Arial"/>
        </w:rPr>
        <w:t>.</w:t>
      </w:r>
    </w:p>
    <w:p w14:paraId="4CAB8D7C" w14:textId="77777777" w:rsidR="00A21FD1" w:rsidRPr="00C55D7D" w:rsidRDefault="00A21FD1" w:rsidP="00A21FD1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5D38453F" w14:textId="77777777" w:rsidR="00850DDC" w:rsidRDefault="00850DDC" w:rsidP="006025B2">
      <w:pPr>
        <w:jc w:val="center"/>
        <w:rPr>
          <w:rFonts w:ascii="Arial" w:hAnsi="Arial" w:cs="Arial"/>
          <w:b/>
        </w:rPr>
      </w:pPr>
    </w:p>
    <w:p w14:paraId="22D62EC0" w14:textId="77777777" w:rsidR="006025B2" w:rsidRPr="00C55D7D" w:rsidRDefault="006025B2" w:rsidP="006025B2">
      <w:pPr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lastRenderedPageBreak/>
        <w:t>ÁLTALÁNOS RENDELKEZÉSEK</w:t>
      </w:r>
    </w:p>
    <w:p w14:paraId="6FAC59AD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 FELEK vállalják az együttműködés keretében megismert üzleti és intézményi információk, elkészített dokumentumok bizalmas kezelését, s azokról harmadik felet kizárólag a másik fél előzetes egyetértése esetén tájékoztatnak. </w:t>
      </w:r>
    </w:p>
    <w:p w14:paraId="41F935B0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108D73E3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 FELEK előzetesen egyeztetik az együttműködés területeit érintő kommunikációs és PR tevékenységet, illetve sajtó-megnyilvánulásokat.</w:t>
      </w:r>
    </w:p>
    <w:p w14:paraId="1DA381DD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24B9D02E" w14:textId="251815EA" w:rsidR="006025B2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MJV vállalja, hogy az együttműködés során megismert, illetve alkalmazott eljárások, módszertanok, technológiák hasznosítására, bevezetésére az MVM PARTNER bevonásával tesz lépéseket.</w:t>
      </w:r>
    </w:p>
    <w:p w14:paraId="283B5425" w14:textId="77777777" w:rsidR="00AA710C" w:rsidRPr="00AA710C" w:rsidRDefault="00AA710C" w:rsidP="00AA710C">
      <w:pPr>
        <w:pStyle w:val="Listaszerbekezds"/>
        <w:rPr>
          <w:rFonts w:ascii="Arial" w:hAnsi="Arial" w:cs="Arial"/>
        </w:rPr>
      </w:pPr>
    </w:p>
    <w:p w14:paraId="3553C7E0" w14:textId="0CE5B76E" w:rsidR="00AA710C" w:rsidRPr="00AA710C" w:rsidRDefault="00AA710C" w:rsidP="00AA710C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AA710C">
        <w:rPr>
          <w:rFonts w:ascii="Arial" w:hAnsi="Arial" w:cs="Arial"/>
        </w:rPr>
        <w:t>Felek az együttműködési területekhez tartozó feladatok esetében külön megállapodást kötnek, melyben pontosan rögzítik a konkrét feladathoz tartozó szerződéses feltételeket.</w:t>
      </w:r>
    </w:p>
    <w:p w14:paraId="077446D6" w14:textId="77777777" w:rsidR="006025B2" w:rsidRPr="00AA710C" w:rsidRDefault="006025B2" w:rsidP="00AA710C">
      <w:pPr>
        <w:spacing w:after="0" w:line="240" w:lineRule="auto"/>
        <w:jc w:val="both"/>
        <w:rPr>
          <w:rFonts w:ascii="Arial" w:hAnsi="Arial" w:cs="Arial"/>
        </w:rPr>
      </w:pPr>
    </w:p>
    <w:p w14:paraId="12CE3638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 kapcsolattartásért és az együttműködés koordinálásáért felelős személyek </w:t>
      </w:r>
    </w:p>
    <w:p w14:paraId="0C02B7D9" w14:textId="77777777" w:rsidR="006025B2" w:rsidRPr="00C55D7D" w:rsidRDefault="006025B2" w:rsidP="006025B2">
      <w:pPr>
        <w:spacing w:after="0"/>
        <w:ind w:left="851"/>
        <w:jc w:val="both"/>
        <w:rPr>
          <w:rFonts w:ascii="Arial" w:hAnsi="Arial" w:cs="Arial"/>
        </w:rPr>
      </w:pPr>
    </w:p>
    <w:p w14:paraId="5F53A778" w14:textId="25E10D60" w:rsidR="006025B2" w:rsidRPr="00C55D7D" w:rsidRDefault="00082854" w:rsidP="006025B2">
      <w:pPr>
        <w:pStyle w:val="Listaszerbekezds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Megyei Jogú Város Polgármesteri Hivatala részéről</w:t>
      </w:r>
      <w:r w:rsidR="00E924C8" w:rsidRPr="00C55D7D">
        <w:rPr>
          <w:rFonts w:ascii="Arial" w:hAnsi="Arial" w:cs="Arial"/>
        </w:rPr>
        <w:t>:  ………….</w:t>
      </w:r>
      <w:r w:rsidR="006025B2" w:rsidRPr="00C55D7D">
        <w:rPr>
          <w:rFonts w:ascii="Arial" w:hAnsi="Arial" w:cs="Arial"/>
        </w:rPr>
        <w:t>,</w:t>
      </w:r>
    </w:p>
    <w:p w14:paraId="6FF55695" w14:textId="77777777" w:rsidR="00C55D7D" w:rsidRDefault="00C55D7D" w:rsidP="006025B2">
      <w:pPr>
        <w:pStyle w:val="Listaszerbekezds"/>
        <w:spacing w:after="0"/>
        <w:ind w:left="567"/>
        <w:jc w:val="both"/>
        <w:rPr>
          <w:rFonts w:ascii="Arial" w:hAnsi="Arial" w:cs="Arial"/>
        </w:rPr>
      </w:pPr>
    </w:p>
    <w:p w14:paraId="274C83CE" w14:textId="2B1A9325" w:rsidR="006025B2" w:rsidRPr="00C55D7D" w:rsidRDefault="006025B2" w:rsidP="006025B2">
      <w:pPr>
        <w:pStyle w:val="Listaszerbekezds"/>
        <w:spacing w:after="0"/>
        <w:ind w:left="567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MVM Partner Zrt részéről:</w:t>
      </w:r>
      <w:r w:rsidR="00E924C8" w:rsidRPr="00C55D7D">
        <w:rPr>
          <w:rFonts w:ascii="Arial" w:hAnsi="Arial" w:cs="Arial"/>
        </w:rPr>
        <w:t xml:space="preserve"> </w:t>
      </w:r>
      <w:r w:rsidR="00C55D7D" w:rsidRPr="00C55D7D">
        <w:rPr>
          <w:rFonts w:ascii="Arial" w:hAnsi="Arial" w:cs="Arial"/>
        </w:rPr>
        <w:t>Szabari Dóra, Termék- és Szolgáltatásfejlesztési Osztályvezető</w:t>
      </w:r>
    </w:p>
    <w:p w14:paraId="3D694E2D" w14:textId="77777777" w:rsidR="006025B2" w:rsidRPr="00C55D7D" w:rsidRDefault="006025B2" w:rsidP="006025B2">
      <w:pPr>
        <w:spacing w:after="0"/>
        <w:ind w:left="851"/>
        <w:jc w:val="both"/>
        <w:rPr>
          <w:rFonts w:ascii="Arial" w:hAnsi="Arial" w:cs="Arial"/>
        </w:rPr>
      </w:pPr>
    </w:p>
    <w:p w14:paraId="0BE8F41C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Jelen dokumentum határozatlan időre szól. Az együttműködés eredményességét a FELEK évente közösen értékelik, amely alapján a dokumentumot kiegészíthetik, illetve módosíthatják.</w:t>
      </w:r>
    </w:p>
    <w:p w14:paraId="606E63BF" w14:textId="77777777" w:rsidR="00A21FD1" w:rsidRPr="00C55D7D" w:rsidRDefault="00A21FD1" w:rsidP="006025B2">
      <w:pPr>
        <w:jc w:val="both"/>
        <w:rPr>
          <w:rFonts w:ascii="Arial" w:hAnsi="Arial" w:cs="Arial"/>
        </w:rPr>
      </w:pPr>
    </w:p>
    <w:p w14:paraId="21EC2290" w14:textId="4F157104" w:rsidR="006025B2" w:rsidRPr="00C55D7D" w:rsidRDefault="00350F3F" w:rsidP="006025B2">
      <w:pPr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Készült </w:t>
      </w:r>
      <w:r w:rsidR="00C55D7D" w:rsidRPr="00C55D7D">
        <w:rPr>
          <w:rFonts w:ascii="Arial" w:hAnsi="Arial" w:cs="Arial"/>
        </w:rPr>
        <w:t xml:space="preserve">Budapest, </w:t>
      </w:r>
      <w:r w:rsidR="00DD7328">
        <w:rPr>
          <w:rFonts w:ascii="Arial" w:hAnsi="Arial" w:cs="Arial"/>
        </w:rPr>
        <w:t>2017</w:t>
      </w:r>
      <w:r w:rsidR="006025B2" w:rsidRPr="00C55D7D">
        <w:rPr>
          <w:rFonts w:ascii="Arial" w:hAnsi="Arial" w:cs="Arial"/>
        </w:rPr>
        <w:t xml:space="preserve">. </w:t>
      </w:r>
      <w:r w:rsidR="00DD7328">
        <w:rPr>
          <w:rFonts w:ascii="Arial" w:hAnsi="Arial" w:cs="Arial"/>
        </w:rPr>
        <w:t xml:space="preserve">január </w:t>
      </w:r>
      <w:r w:rsidR="006A0106">
        <w:rPr>
          <w:rFonts w:ascii="Arial" w:hAnsi="Arial" w:cs="Arial"/>
        </w:rPr>
        <w:t>19</w:t>
      </w:r>
      <w:r w:rsidR="00C55D7D" w:rsidRPr="00C55D7D">
        <w:rPr>
          <w:rFonts w:ascii="Arial" w:hAnsi="Arial" w:cs="Arial"/>
        </w:rPr>
        <w:t xml:space="preserve">., </w:t>
      </w:r>
      <w:r w:rsidR="006025B2" w:rsidRPr="00C55D7D">
        <w:rPr>
          <w:rFonts w:ascii="Arial" w:hAnsi="Arial" w:cs="Arial"/>
        </w:rPr>
        <w:t>négy eredeti példányban.</w:t>
      </w:r>
    </w:p>
    <w:p w14:paraId="709B9F9E" w14:textId="77777777" w:rsidR="00350F3F" w:rsidRPr="00C55D7D" w:rsidRDefault="00350F3F" w:rsidP="006025B2">
      <w:pPr>
        <w:jc w:val="both"/>
        <w:rPr>
          <w:rFonts w:ascii="Arial" w:hAnsi="Arial" w:cs="Arial"/>
        </w:rPr>
      </w:pPr>
    </w:p>
    <w:p w14:paraId="1D47752C" w14:textId="77777777" w:rsidR="00350F3F" w:rsidRPr="00C55D7D" w:rsidRDefault="00350F3F" w:rsidP="006025B2">
      <w:pPr>
        <w:jc w:val="both"/>
        <w:rPr>
          <w:rFonts w:ascii="Arial" w:hAnsi="Arial" w:cs="Arial"/>
        </w:rPr>
      </w:pPr>
    </w:p>
    <w:tbl>
      <w:tblPr>
        <w:tblStyle w:val="Rcsostblzat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2126"/>
        <w:gridCol w:w="2693"/>
        <w:gridCol w:w="142"/>
      </w:tblGrid>
      <w:tr w:rsidR="00350F3F" w:rsidRPr="00C55D7D" w14:paraId="714706CD" w14:textId="77777777" w:rsidTr="0073292A">
        <w:trPr>
          <w:jc w:val="center"/>
        </w:trPr>
        <w:tc>
          <w:tcPr>
            <w:tcW w:w="3402" w:type="dxa"/>
          </w:tcPr>
          <w:p w14:paraId="0768AD57" w14:textId="12C6273F" w:rsidR="00350F3F" w:rsidRPr="00C55D7D" w:rsidRDefault="00082854" w:rsidP="006F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Szombathely</w:t>
            </w:r>
            <w:r w:rsidR="00C55D7D" w:rsidRPr="00C55D7D">
              <w:rPr>
                <w:rFonts w:ascii="Arial" w:hAnsi="Arial" w:cs="Arial"/>
                <w:b/>
              </w:rPr>
              <w:t xml:space="preserve"> </w:t>
            </w:r>
            <w:r w:rsidR="00350F3F" w:rsidRPr="00C55D7D">
              <w:rPr>
                <w:rFonts w:ascii="Arial" w:hAnsi="Arial" w:cs="Arial"/>
                <w:b/>
              </w:rPr>
              <w:t xml:space="preserve">MJV Önkormányzata </w:t>
            </w:r>
            <w:r w:rsidR="00350F3F" w:rsidRPr="00C55D7D">
              <w:rPr>
                <w:rFonts w:ascii="Arial" w:hAnsi="Arial" w:cs="Arial"/>
              </w:rPr>
              <w:t>részéről</w:t>
            </w:r>
          </w:p>
        </w:tc>
        <w:tc>
          <w:tcPr>
            <w:tcW w:w="1560" w:type="dxa"/>
          </w:tcPr>
          <w:p w14:paraId="55CEA990" w14:textId="77777777" w:rsidR="00350F3F" w:rsidRPr="00C55D7D" w:rsidRDefault="00350F3F" w:rsidP="006F5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24F4AA0F" w14:textId="7964F760" w:rsidR="00350F3F" w:rsidRPr="00C55D7D" w:rsidRDefault="00350F3F" w:rsidP="00350F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5D7D">
              <w:rPr>
                <w:rFonts w:ascii="Arial" w:hAnsi="Arial" w:cs="Arial"/>
                <w:b/>
              </w:rPr>
              <w:t>MVM Partner Zrt</w:t>
            </w:r>
            <w:r w:rsidR="00266301" w:rsidRPr="00C55D7D">
              <w:rPr>
                <w:rFonts w:ascii="Arial" w:hAnsi="Arial" w:cs="Arial"/>
                <w:b/>
              </w:rPr>
              <w:t>.</w:t>
            </w:r>
          </w:p>
          <w:p w14:paraId="1C046FF0" w14:textId="592CD85D" w:rsidR="00350F3F" w:rsidRPr="00C55D7D" w:rsidRDefault="00350F3F" w:rsidP="00350F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5D7D">
              <w:rPr>
                <w:rFonts w:ascii="Arial" w:hAnsi="Arial" w:cs="Arial"/>
              </w:rPr>
              <w:t>részéről</w:t>
            </w:r>
          </w:p>
        </w:tc>
      </w:tr>
      <w:tr w:rsidR="006A0106" w:rsidRPr="00C55D7D" w14:paraId="7ABFE06F" w14:textId="77777777" w:rsidTr="0073292A">
        <w:trPr>
          <w:gridAfter w:val="1"/>
          <w:wAfter w:w="142" w:type="dxa"/>
          <w:jc w:val="center"/>
        </w:trPr>
        <w:tc>
          <w:tcPr>
            <w:tcW w:w="3402" w:type="dxa"/>
          </w:tcPr>
          <w:p w14:paraId="366B33D6" w14:textId="77777777" w:rsidR="006A0106" w:rsidRPr="00C55D7D" w:rsidRDefault="006A0106" w:rsidP="00350F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9B05AE7" w14:textId="77777777" w:rsidR="006A0106" w:rsidRPr="00C55D7D" w:rsidRDefault="006A0106" w:rsidP="006F5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A1D523" w14:textId="77777777" w:rsidR="006A0106" w:rsidRDefault="006A0106" w:rsidP="00A40529">
            <w:pPr>
              <w:rPr>
                <w:rFonts w:ascii="Arial" w:hAnsi="Arial" w:cs="Arial"/>
                <w:b/>
              </w:rPr>
            </w:pPr>
          </w:p>
          <w:p w14:paraId="0D9C38AC" w14:textId="3B7A8505" w:rsidR="006A0106" w:rsidRPr="00C55D7D" w:rsidRDefault="006A0106" w:rsidP="00350F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</w:t>
            </w:r>
          </w:p>
        </w:tc>
        <w:tc>
          <w:tcPr>
            <w:tcW w:w="2693" w:type="dxa"/>
          </w:tcPr>
          <w:p w14:paraId="664DDA78" w14:textId="77777777" w:rsidR="006A0106" w:rsidRDefault="006A0106" w:rsidP="00A40529">
            <w:pPr>
              <w:jc w:val="center"/>
              <w:rPr>
                <w:rFonts w:ascii="Arial" w:hAnsi="Arial" w:cs="Arial"/>
                <w:b/>
              </w:rPr>
            </w:pPr>
          </w:p>
          <w:p w14:paraId="3D36CF6A" w14:textId="53C31CA3" w:rsidR="006A0106" w:rsidRPr="00C55D7D" w:rsidRDefault="006A0106" w:rsidP="00350F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………………..</w:t>
            </w:r>
          </w:p>
        </w:tc>
      </w:tr>
      <w:tr w:rsidR="006A0106" w:rsidRPr="00C55D7D" w14:paraId="6C251474" w14:textId="482713A7" w:rsidTr="0073292A">
        <w:trPr>
          <w:jc w:val="center"/>
        </w:trPr>
        <w:tc>
          <w:tcPr>
            <w:tcW w:w="3402" w:type="dxa"/>
          </w:tcPr>
          <w:p w14:paraId="3BB252AB" w14:textId="77777777" w:rsidR="006A0106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D7D">
              <w:rPr>
                <w:rFonts w:ascii="Arial" w:hAnsi="Arial" w:cs="Arial"/>
              </w:rPr>
              <w:t>[………]</w:t>
            </w:r>
          </w:p>
          <w:p w14:paraId="431A4888" w14:textId="77777777" w:rsidR="00965679" w:rsidRPr="00B0523D" w:rsidRDefault="00965679" w:rsidP="009656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[*]</w:t>
            </w:r>
          </w:p>
          <w:p w14:paraId="0733478F" w14:textId="729E495C" w:rsidR="00965679" w:rsidRPr="00C55D7D" w:rsidRDefault="00965679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54CEAA0" w14:textId="77777777" w:rsidR="006A0106" w:rsidRPr="00C55D7D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1A6516" w14:textId="5219D247" w:rsidR="006A0106" w:rsidRPr="00B0523D" w:rsidRDefault="00965679" w:rsidP="00A405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[*]</w:t>
            </w:r>
          </w:p>
          <w:p w14:paraId="144D14D6" w14:textId="625D5E26" w:rsidR="006A0106" w:rsidRPr="00C55D7D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</w:tcPr>
          <w:p w14:paraId="5FD9A596" w14:textId="77777777" w:rsidR="00965679" w:rsidRPr="00B0523D" w:rsidRDefault="00965679" w:rsidP="009656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[*]</w:t>
            </w:r>
          </w:p>
          <w:p w14:paraId="1E29BFB8" w14:textId="32F1C25B" w:rsidR="006A0106" w:rsidRPr="00C55D7D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5CA695A" w14:textId="77777777" w:rsidR="006139A1" w:rsidRPr="00C55D7D" w:rsidRDefault="006139A1">
      <w:pPr>
        <w:rPr>
          <w:rFonts w:ascii="Arial" w:hAnsi="Arial" w:cs="Arial"/>
        </w:rPr>
      </w:pPr>
    </w:p>
    <w:p w14:paraId="41384A4F" w14:textId="739AE435" w:rsidR="006139A1" w:rsidRPr="00C55D7D" w:rsidRDefault="006139A1">
      <w:pPr>
        <w:rPr>
          <w:rFonts w:ascii="Arial" w:hAnsi="Arial" w:cs="Arial"/>
        </w:rPr>
      </w:pPr>
    </w:p>
    <w:p w14:paraId="07F352FC" w14:textId="34AC28FB" w:rsidR="00C55D7D" w:rsidRDefault="00C55D7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ACEB64" w14:textId="77777777" w:rsidR="002B7690" w:rsidRPr="00C55D7D" w:rsidRDefault="002B7690">
      <w:pPr>
        <w:rPr>
          <w:rFonts w:ascii="Arial" w:hAnsi="Arial" w:cs="Arial"/>
        </w:rPr>
      </w:pPr>
    </w:p>
    <w:p w14:paraId="1CC33D0E" w14:textId="77777777" w:rsidR="002B7690" w:rsidRPr="00C55D7D" w:rsidRDefault="002B7690">
      <w:pPr>
        <w:rPr>
          <w:rFonts w:ascii="Arial" w:hAnsi="Arial" w:cs="Arial"/>
        </w:rPr>
      </w:pPr>
    </w:p>
    <w:p w14:paraId="0909FBB6" w14:textId="5CC901C1" w:rsidR="002B7690" w:rsidRPr="00C55D7D" w:rsidRDefault="002B7690" w:rsidP="008B4719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</w:rPr>
      </w:pPr>
      <w:r w:rsidRPr="00C55D7D">
        <w:rPr>
          <w:rFonts w:ascii="Arial" w:hAnsi="Arial" w:cs="Arial"/>
        </w:rPr>
        <w:t>sz. melléklet</w:t>
      </w:r>
    </w:p>
    <w:p w14:paraId="088E932B" w14:textId="77777777" w:rsidR="002B7690" w:rsidRPr="00C55D7D" w:rsidRDefault="002B7690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101F9E47" w14:textId="77777777" w:rsidR="00DA6D47" w:rsidRPr="00C55D7D" w:rsidRDefault="00DA6D47" w:rsidP="008B4719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3595661F" w14:textId="77777777" w:rsidR="00DA6D47" w:rsidRPr="00C55D7D" w:rsidRDefault="00DA6D47" w:rsidP="008B4719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7A2BF8C4" w14:textId="0A3350AE" w:rsidR="00DA6D47" w:rsidRPr="00C55D7D" w:rsidRDefault="00082854" w:rsidP="008B4719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DA6D47" w:rsidRPr="00C55D7D">
        <w:rPr>
          <w:rFonts w:ascii="Arial" w:hAnsi="Arial" w:cs="Arial"/>
          <w:b/>
        </w:rPr>
        <w:t xml:space="preserve"> Megyei Jogú Város Önkormányzata és az MVM Partner Zrt között létrejött, az ökohatékony településfejlesztés és üzemelés terén történő együttműködésről szóló Keret-Megállapodás</w:t>
      </w:r>
      <w:r w:rsidR="00927C71">
        <w:rPr>
          <w:rFonts w:ascii="Arial" w:hAnsi="Arial" w:cs="Arial"/>
          <w:b/>
        </w:rPr>
        <w:t xml:space="preserve"> 1.sz.</w:t>
      </w:r>
      <w:r w:rsidR="00DA6D47" w:rsidRPr="00C55D7D">
        <w:rPr>
          <w:rFonts w:ascii="Arial" w:hAnsi="Arial" w:cs="Arial"/>
          <w:b/>
        </w:rPr>
        <w:t xml:space="preserve"> melléklete</w:t>
      </w:r>
    </w:p>
    <w:p w14:paraId="51A20DEA" w14:textId="77777777" w:rsidR="00DA6D47" w:rsidRPr="00C55D7D" w:rsidRDefault="00DA6D47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3F7B8E9A" w14:textId="77777777" w:rsidR="00DA6D47" w:rsidRPr="00C55D7D" w:rsidRDefault="00DA6D47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690E5CFB" w14:textId="021A6D89" w:rsidR="002B7690" w:rsidRPr="00C55D7D" w:rsidRDefault="002B7690" w:rsidP="002B7690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 </w:t>
      </w:r>
      <w:r w:rsidR="00DA6D47" w:rsidRPr="00C55D7D">
        <w:rPr>
          <w:rFonts w:ascii="Arial" w:hAnsi="Arial" w:cs="Arial"/>
        </w:rPr>
        <w:t xml:space="preserve">Keret-Megállapodás 7. bekezdése szerint a </w:t>
      </w:r>
      <w:r w:rsidRPr="00C55D7D">
        <w:rPr>
          <w:rFonts w:ascii="Arial" w:hAnsi="Arial" w:cs="Arial"/>
        </w:rPr>
        <w:t>Stratégiai Energia Auditban vizsgált területek:</w:t>
      </w:r>
    </w:p>
    <w:p w14:paraId="6711F980" w14:textId="77777777" w:rsidR="002B7690" w:rsidRPr="00C55D7D" w:rsidRDefault="002B7690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379D880E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 xml:space="preserve">villamos energiafelhasználás: </w:t>
      </w:r>
    </w:p>
    <w:p w14:paraId="317951C9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minimum 12 havi számla alapján, lekötött teljesítmények felülvizsgálata, számlázási problémák feltárása, fő elosztó berendezés általános állapotának vizsgálata, jelenlegi súlyozott ár számítása),</w:t>
      </w:r>
    </w:p>
    <w:p w14:paraId="1643578D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>gáz/távhő felhasználás:</w:t>
      </w:r>
    </w:p>
    <w:p w14:paraId="3082734C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minimum 12 havi számla alapján, lekötött teljesítmények felülvizsgálata, számlázási problémák feltárása, kazánház általános állapotának vizsgálata, jelenlegi súlyozott ár számítása),</w:t>
      </w:r>
    </w:p>
    <w:p w14:paraId="178DF17F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>világítás korszerűsítés:</w:t>
      </w:r>
    </w:p>
    <w:p w14:paraId="3B76422B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(jelenlegi és az új rendszer összehasonlítása, teljesítmények meghatározása, szükség esetén megvilágítási szint mérése, beruházás és megtérülés számítás),</w:t>
      </w:r>
    </w:p>
    <w:p w14:paraId="42D54BD4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>napelemes rendszerek telepítésének lehetősége:</w:t>
      </w:r>
    </w:p>
    <w:p w14:paraId="0BCAE68D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(feszültségszinttől függően háztartási méretű kiserőmű, vagy kiserőmű, a rendelkezésre álló felületek vizsgálata, inverter elhelyezésének lehetősége, beruházás, megtérülés számítás).</w:t>
      </w:r>
    </w:p>
    <w:p w14:paraId="075C336C" w14:textId="77777777" w:rsidR="00C16106" w:rsidRDefault="00C16106" w:rsidP="00C16106">
      <w:pPr>
        <w:rPr>
          <w:rFonts w:ascii="Arial" w:hAnsi="Arial" w:cs="Arial"/>
          <w:b/>
        </w:rPr>
      </w:pPr>
    </w:p>
    <w:p w14:paraId="23ECC06A" w14:textId="20730F10" w:rsidR="00C16106" w:rsidRPr="00162A75" w:rsidRDefault="00162A75" w:rsidP="00C16106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Keret-Megállapodás 10</w:t>
      </w:r>
      <w:r w:rsidR="00192196" w:rsidRPr="00162A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és 11</w:t>
      </w:r>
      <w:r w:rsidR="00423CA0" w:rsidRPr="00162A75">
        <w:rPr>
          <w:rFonts w:ascii="Arial" w:hAnsi="Arial" w:cs="Arial"/>
        </w:rPr>
        <w:t>.</w:t>
      </w:r>
      <w:r w:rsidR="00192196" w:rsidRPr="00162A75">
        <w:rPr>
          <w:rFonts w:ascii="Arial" w:hAnsi="Arial" w:cs="Arial"/>
        </w:rPr>
        <w:t xml:space="preserve"> bekezdése szerint </w:t>
      </w:r>
      <w:r w:rsidR="00C16106" w:rsidRPr="00162A75">
        <w:rPr>
          <w:rFonts w:ascii="Arial" w:hAnsi="Arial" w:cs="Arial"/>
        </w:rPr>
        <w:t xml:space="preserve">mintaprojekt </w:t>
      </w:r>
      <w:r w:rsidR="00192196" w:rsidRPr="00162A75">
        <w:rPr>
          <w:rFonts w:ascii="Arial" w:hAnsi="Arial" w:cs="Arial"/>
        </w:rPr>
        <w:t xml:space="preserve">keretében </w:t>
      </w:r>
      <w:r w:rsidR="00C16106" w:rsidRPr="00162A75">
        <w:rPr>
          <w:rFonts w:ascii="Arial" w:hAnsi="Arial" w:cs="Arial"/>
        </w:rPr>
        <w:t xml:space="preserve">elektromos töltőállomás elhelyezése: </w:t>
      </w:r>
    </w:p>
    <w:p w14:paraId="3C92B557" w14:textId="77777777" w:rsidR="00C16106" w:rsidRPr="00162A75" w:rsidRDefault="00C16106" w:rsidP="00C1610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311ED8A0" w14:textId="6C19B273" w:rsidR="00C16106" w:rsidRPr="00162A75" w:rsidRDefault="00C16106" w:rsidP="00C16106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162A75">
        <w:rPr>
          <w:rFonts w:ascii="Arial" w:hAnsi="Arial" w:cs="Arial"/>
          <w:b/>
        </w:rPr>
        <w:tab/>
      </w:r>
      <w:r w:rsidR="00E55C7D" w:rsidRPr="00162A75">
        <w:rPr>
          <w:rFonts w:ascii="Arial" w:hAnsi="Arial" w:cs="Arial"/>
          <w:b/>
        </w:rPr>
        <w:t>gyorsított (AC, Typ</w:t>
      </w:r>
      <w:r w:rsidR="00036C26" w:rsidRPr="00162A75">
        <w:rPr>
          <w:rFonts w:ascii="Arial" w:hAnsi="Arial" w:cs="Arial"/>
          <w:b/>
        </w:rPr>
        <w:t>2)</w:t>
      </w:r>
      <w:r w:rsidR="00E55C7D" w:rsidRPr="00162A75">
        <w:rPr>
          <w:rFonts w:ascii="Arial" w:hAnsi="Arial" w:cs="Arial"/>
          <w:b/>
        </w:rPr>
        <w:t xml:space="preserve"> </w:t>
      </w:r>
      <w:r w:rsidRPr="00162A75">
        <w:rPr>
          <w:rFonts w:ascii="Arial" w:eastAsia="Arial Unicode MS" w:hAnsi="Arial" w:cs="Arial"/>
          <w:b/>
        </w:rPr>
        <w:t>töltőállomás telepítés</w:t>
      </w:r>
      <w:r w:rsidR="00423CA0" w:rsidRPr="00162A75">
        <w:rPr>
          <w:rFonts w:ascii="Arial" w:eastAsia="Arial Unicode MS" w:hAnsi="Arial" w:cs="Arial"/>
          <w:b/>
        </w:rPr>
        <w:t>e</w:t>
      </w:r>
      <w:r w:rsidRPr="00162A75">
        <w:rPr>
          <w:rFonts w:ascii="Arial" w:eastAsia="Arial Unicode MS" w:hAnsi="Arial" w:cs="Arial"/>
          <w:b/>
        </w:rPr>
        <w:t xml:space="preserve">: </w:t>
      </w:r>
    </w:p>
    <w:p w14:paraId="68437F2B" w14:textId="5440CE6D" w:rsidR="00C16106" w:rsidRDefault="00C16106" w:rsidP="00036C26">
      <w:pPr>
        <w:ind w:left="567"/>
        <w:jc w:val="both"/>
        <w:rPr>
          <w:rFonts w:ascii="Arial" w:hAnsi="Arial" w:cs="Arial"/>
        </w:rPr>
      </w:pPr>
      <w:r w:rsidRPr="00162A75">
        <w:rPr>
          <w:rFonts w:ascii="Arial" w:eastAsia="Arial Unicode MS" w:hAnsi="Arial" w:cs="Arial"/>
        </w:rPr>
        <w:t>helyszínrajz rendelkezésre bocsátása a töltőállomás lehetséges helyének megjelölésével, valamint a rendelkezésre álló teljesítményre vonatkozó információ megadás</w:t>
      </w:r>
      <w:r w:rsidR="00E55C7D" w:rsidRPr="00162A75">
        <w:rPr>
          <w:rFonts w:ascii="Arial" w:eastAsia="Arial Unicode MS" w:hAnsi="Arial" w:cs="Arial"/>
        </w:rPr>
        <w:t>a</w:t>
      </w:r>
      <w:r w:rsidRPr="00162A75">
        <w:rPr>
          <w:rFonts w:ascii="Arial" w:eastAsia="Arial Unicode MS" w:hAnsi="Arial" w:cs="Arial"/>
        </w:rPr>
        <w:t xml:space="preserve">, </w:t>
      </w:r>
      <w:r w:rsidR="00E55C7D" w:rsidRPr="00162A75">
        <w:rPr>
          <w:rFonts w:ascii="Arial" w:eastAsia="Arial Unicode MS" w:hAnsi="Arial" w:cs="Arial"/>
        </w:rPr>
        <w:t>műszaki kapcsolattartó elérhetőségének biztosítása</w:t>
      </w:r>
      <w:r w:rsidR="00423CA0" w:rsidRPr="00162A75">
        <w:rPr>
          <w:rFonts w:ascii="Arial" w:eastAsia="Arial Unicode MS" w:hAnsi="Arial" w:cs="Arial"/>
        </w:rPr>
        <w:t xml:space="preserve"> </w:t>
      </w:r>
      <w:r w:rsidR="00082854">
        <w:rPr>
          <w:rFonts w:ascii="Arial" w:hAnsi="Arial" w:cs="Arial"/>
        </w:rPr>
        <w:t>Szombathely</w:t>
      </w:r>
      <w:r w:rsidR="00423CA0" w:rsidRPr="00162A75">
        <w:rPr>
          <w:rFonts w:ascii="Arial" w:hAnsi="Arial" w:cs="Arial"/>
        </w:rPr>
        <w:t xml:space="preserve"> MJV Önkormányzata részéről</w:t>
      </w:r>
    </w:p>
    <w:p w14:paraId="694F1762" w14:textId="30C0DDC9" w:rsidR="00927C71" w:rsidRDefault="00927C71">
      <w:pPr>
        <w:spacing w:after="200" w:line="276" w:lineRule="auto"/>
        <w:rPr>
          <w:rFonts w:ascii="Arial" w:hAnsi="Arial" w:cs="Arial"/>
        </w:rPr>
      </w:pPr>
    </w:p>
    <w:sectPr w:rsidR="00927C71" w:rsidSect="00A3171F">
      <w:footerReference w:type="default" r:id="rId7"/>
      <w:pgSz w:w="11906" w:h="16838"/>
      <w:pgMar w:top="907" w:right="1418" w:bottom="90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C418" w14:textId="77777777" w:rsidR="00B77B33" w:rsidRDefault="00B77B33" w:rsidP="006025B2">
      <w:pPr>
        <w:spacing w:after="0" w:line="240" w:lineRule="auto"/>
      </w:pPr>
      <w:r>
        <w:separator/>
      </w:r>
    </w:p>
  </w:endnote>
  <w:endnote w:type="continuationSeparator" w:id="0">
    <w:p w14:paraId="1737CCD9" w14:textId="77777777" w:rsidR="00B77B33" w:rsidRDefault="00B77B33" w:rsidP="0060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B9BF" w14:textId="77777777" w:rsidR="0050551B" w:rsidRDefault="0050551B" w:rsidP="0050551B">
    <w:pPr>
      <w:pStyle w:val="llb"/>
      <w:pBdr>
        <w:bottom w:val="single" w:sz="4" w:space="1" w:color="auto"/>
      </w:pBdr>
      <w:jc w:val="right"/>
    </w:pPr>
  </w:p>
  <w:p w14:paraId="599C7274" w14:textId="54D4CCAA" w:rsidR="0050551B" w:rsidRDefault="0050551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67FF7">
      <w:rPr>
        <w:noProof/>
      </w:rPr>
      <w:t>4</w:t>
    </w:r>
    <w:r>
      <w:fldChar w:fldCharType="end"/>
    </w:r>
    <w:r w:rsidR="00AA710C">
      <w:t>/4</w:t>
    </w:r>
  </w:p>
  <w:p w14:paraId="19EF6A68" w14:textId="77777777" w:rsidR="006025B2" w:rsidRDefault="006025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2A1F" w14:textId="77777777" w:rsidR="00B77B33" w:rsidRDefault="00B77B33" w:rsidP="006025B2">
      <w:pPr>
        <w:spacing w:after="0" w:line="240" w:lineRule="auto"/>
      </w:pPr>
      <w:r>
        <w:separator/>
      </w:r>
    </w:p>
  </w:footnote>
  <w:footnote w:type="continuationSeparator" w:id="0">
    <w:p w14:paraId="5D1AB0D3" w14:textId="77777777" w:rsidR="00B77B33" w:rsidRDefault="00B77B33" w:rsidP="0060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B64D7"/>
    <w:multiLevelType w:val="hybridMultilevel"/>
    <w:tmpl w:val="FC98176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4DA"/>
    <w:multiLevelType w:val="hybridMultilevel"/>
    <w:tmpl w:val="B500389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F5A14E3"/>
    <w:multiLevelType w:val="hybridMultilevel"/>
    <w:tmpl w:val="194A9002"/>
    <w:lvl w:ilvl="0" w:tplc="040E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7F581CC7"/>
    <w:multiLevelType w:val="hybridMultilevel"/>
    <w:tmpl w:val="F7A64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B2"/>
    <w:rsid w:val="00036C26"/>
    <w:rsid w:val="0005711E"/>
    <w:rsid w:val="0007340F"/>
    <w:rsid w:val="00074C3B"/>
    <w:rsid w:val="00082854"/>
    <w:rsid w:val="000A7CA7"/>
    <w:rsid w:val="000C1040"/>
    <w:rsid w:val="000D6AC0"/>
    <w:rsid w:val="000D732D"/>
    <w:rsid w:val="000F724C"/>
    <w:rsid w:val="0010655A"/>
    <w:rsid w:val="00162A75"/>
    <w:rsid w:val="001712B3"/>
    <w:rsid w:val="00192196"/>
    <w:rsid w:val="00193117"/>
    <w:rsid w:val="001A385B"/>
    <w:rsid w:val="001B27E5"/>
    <w:rsid w:val="001D4B81"/>
    <w:rsid w:val="002008A9"/>
    <w:rsid w:val="00210646"/>
    <w:rsid w:val="002468D9"/>
    <w:rsid w:val="00246AB6"/>
    <w:rsid w:val="00266301"/>
    <w:rsid w:val="002715CB"/>
    <w:rsid w:val="00290B56"/>
    <w:rsid w:val="002A5661"/>
    <w:rsid w:val="002B7690"/>
    <w:rsid w:val="002D49AA"/>
    <w:rsid w:val="002E2270"/>
    <w:rsid w:val="002E4875"/>
    <w:rsid w:val="002E6C75"/>
    <w:rsid w:val="0030364F"/>
    <w:rsid w:val="0031637A"/>
    <w:rsid w:val="00345CAA"/>
    <w:rsid w:val="00350F3F"/>
    <w:rsid w:val="003C271D"/>
    <w:rsid w:val="003E6812"/>
    <w:rsid w:val="00414C8E"/>
    <w:rsid w:val="00423CA0"/>
    <w:rsid w:val="00430A0B"/>
    <w:rsid w:val="0046402A"/>
    <w:rsid w:val="004A1B2E"/>
    <w:rsid w:val="004B64F5"/>
    <w:rsid w:val="0050551B"/>
    <w:rsid w:val="00556350"/>
    <w:rsid w:val="00556B74"/>
    <w:rsid w:val="0056225D"/>
    <w:rsid w:val="005722F3"/>
    <w:rsid w:val="005C2E95"/>
    <w:rsid w:val="005E2EB9"/>
    <w:rsid w:val="005F3FE0"/>
    <w:rsid w:val="006008A1"/>
    <w:rsid w:val="006025B2"/>
    <w:rsid w:val="006139A1"/>
    <w:rsid w:val="00617783"/>
    <w:rsid w:val="0065319A"/>
    <w:rsid w:val="00655E5E"/>
    <w:rsid w:val="006A0106"/>
    <w:rsid w:val="006C009E"/>
    <w:rsid w:val="006D6517"/>
    <w:rsid w:val="006E26B4"/>
    <w:rsid w:val="006E3F52"/>
    <w:rsid w:val="006E679D"/>
    <w:rsid w:val="007024A3"/>
    <w:rsid w:val="007153EA"/>
    <w:rsid w:val="0073211F"/>
    <w:rsid w:val="0073292A"/>
    <w:rsid w:val="00752484"/>
    <w:rsid w:val="0075251E"/>
    <w:rsid w:val="0076109D"/>
    <w:rsid w:val="00791B06"/>
    <w:rsid w:val="007B1C29"/>
    <w:rsid w:val="007C3263"/>
    <w:rsid w:val="007C4160"/>
    <w:rsid w:val="007F3298"/>
    <w:rsid w:val="008014DD"/>
    <w:rsid w:val="00826135"/>
    <w:rsid w:val="00850DDC"/>
    <w:rsid w:val="00870174"/>
    <w:rsid w:val="00874635"/>
    <w:rsid w:val="008B4719"/>
    <w:rsid w:val="008B7C0C"/>
    <w:rsid w:val="00915C06"/>
    <w:rsid w:val="009216A8"/>
    <w:rsid w:val="00927483"/>
    <w:rsid w:val="00927C71"/>
    <w:rsid w:val="009544BB"/>
    <w:rsid w:val="00956048"/>
    <w:rsid w:val="00965679"/>
    <w:rsid w:val="009714DF"/>
    <w:rsid w:val="009A0B62"/>
    <w:rsid w:val="009C3CEB"/>
    <w:rsid w:val="009D127B"/>
    <w:rsid w:val="00A21FD1"/>
    <w:rsid w:val="00A3171F"/>
    <w:rsid w:val="00A815B2"/>
    <w:rsid w:val="00AA710C"/>
    <w:rsid w:val="00AD2C9D"/>
    <w:rsid w:val="00B10E2B"/>
    <w:rsid w:val="00B4325F"/>
    <w:rsid w:val="00B50915"/>
    <w:rsid w:val="00B77B33"/>
    <w:rsid w:val="00B81816"/>
    <w:rsid w:val="00BA795C"/>
    <w:rsid w:val="00BC5720"/>
    <w:rsid w:val="00C14708"/>
    <w:rsid w:val="00C16106"/>
    <w:rsid w:val="00C55D7D"/>
    <w:rsid w:val="00C63B44"/>
    <w:rsid w:val="00C67FF7"/>
    <w:rsid w:val="00C71BBE"/>
    <w:rsid w:val="00C9311C"/>
    <w:rsid w:val="00C9773A"/>
    <w:rsid w:val="00CD644C"/>
    <w:rsid w:val="00CE6DB7"/>
    <w:rsid w:val="00D16A9B"/>
    <w:rsid w:val="00D37F04"/>
    <w:rsid w:val="00D464DA"/>
    <w:rsid w:val="00DA6D47"/>
    <w:rsid w:val="00DD7328"/>
    <w:rsid w:val="00E36ADB"/>
    <w:rsid w:val="00E55C7D"/>
    <w:rsid w:val="00E632B6"/>
    <w:rsid w:val="00E902D8"/>
    <w:rsid w:val="00E924C8"/>
    <w:rsid w:val="00EA0C36"/>
    <w:rsid w:val="00EA74F4"/>
    <w:rsid w:val="00ED4DEC"/>
    <w:rsid w:val="00EE0213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0ED4F1"/>
  <w15:docId w15:val="{20584D48-5F8E-466A-AD36-29C1838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5B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25B2"/>
    <w:pPr>
      <w:ind w:left="720"/>
      <w:contextualSpacing/>
    </w:pPr>
  </w:style>
  <w:style w:type="table" w:styleId="Rcsostblzat">
    <w:name w:val="Table Grid"/>
    <w:basedOn w:val="Normltblzat"/>
    <w:uiPriority w:val="39"/>
    <w:rsid w:val="0060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025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25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5B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5B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0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5B2"/>
  </w:style>
  <w:style w:type="paragraph" w:styleId="llb">
    <w:name w:val="footer"/>
    <w:basedOn w:val="Norml"/>
    <w:link w:val="llbChar"/>
    <w:uiPriority w:val="99"/>
    <w:unhideWhenUsed/>
    <w:rsid w:val="0060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5B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5C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5C0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91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6852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Tóbiás János</dc:creator>
  <cp:lastModifiedBy>Iváncsics Lívia</cp:lastModifiedBy>
  <cp:revision>2</cp:revision>
  <dcterms:created xsi:type="dcterms:W3CDTF">2017-12-08T08:24:00Z</dcterms:created>
  <dcterms:modified xsi:type="dcterms:W3CDTF">2017-12-08T08:24:00Z</dcterms:modified>
</cp:coreProperties>
</file>