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97E" w:rsidRPr="00883EC9" w:rsidRDefault="009214F4">
      <w:pPr>
        <w:tabs>
          <w:tab w:val="center" w:pos="3686"/>
          <w:tab w:val="center" w:pos="5529"/>
          <w:tab w:val="center" w:pos="6663"/>
          <w:tab w:val="center" w:pos="8080"/>
          <w:tab w:val="center" w:pos="9072"/>
          <w:tab w:val="center" w:pos="9214"/>
        </w:tabs>
        <w:jc w:val="both"/>
        <w:rPr>
          <w:i/>
          <w:sz w:val="28"/>
        </w:rPr>
      </w:pPr>
      <w:r>
        <w:rPr>
          <w:i/>
          <w:sz w:val="28"/>
        </w:rPr>
        <w:t xml:space="preserve"> </w:t>
      </w:r>
      <w:r w:rsidR="00EC2501" w:rsidRPr="00883EC9">
        <w:rPr>
          <w:i/>
          <w:noProof/>
          <w:sz w:val="28"/>
        </w:rPr>
        <w:drawing>
          <wp:inline distT="0" distB="0" distL="0" distR="0">
            <wp:extent cx="1724025" cy="1304925"/>
            <wp:effectExtent l="0" t="0" r="9525" b="9525"/>
            <wp:docPr id="1" name="Kép 1" descr="VASIVÍZ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IVÍZ_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304925"/>
                    </a:xfrm>
                    <a:prstGeom prst="rect">
                      <a:avLst/>
                    </a:prstGeom>
                    <a:noFill/>
                    <a:ln>
                      <a:noFill/>
                    </a:ln>
                  </pic:spPr>
                </pic:pic>
              </a:graphicData>
            </a:graphic>
          </wp:inline>
        </w:drawing>
      </w:r>
    </w:p>
    <w:p w:rsidR="00E8097E" w:rsidRPr="00883EC9" w:rsidRDefault="00E8097E">
      <w:pPr>
        <w:tabs>
          <w:tab w:val="left" w:pos="2835"/>
        </w:tabs>
        <w:jc w:val="both"/>
        <w:rPr>
          <w:i/>
          <w:sz w:val="28"/>
        </w:rPr>
      </w:pPr>
      <w:r w:rsidRPr="00883EC9">
        <w:rPr>
          <w:i/>
          <w:sz w:val="28"/>
        </w:rPr>
        <w:tab/>
      </w:r>
    </w:p>
    <w:p w:rsidR="00E8097E" w:rsidRPr="00883EC9" w:rsidRDefault="00E8097E">
      <w:pPr>
        <w:tabs>
          <w:tab w:val="center" w:pos="3686"/>
          <w:tab w:val="center" w:pos="5529"/>
          <w:tab w:val="center" w:pos="6663"/>
          <w:tab w:val="center" w:pos="8080"/>
          <w:tab w:val="center" w:pos="9072"/>
          <w:tab w:val="center" w:pos="9214"/>
        </w:tabs>
        <w:jc w:val="both"/>
        <w:rPr>
          <w:i/>
          <w:sz w:val="28"/>
        </w:rPr>
      </w:pPr>
    </w:p>
    <w:p w:rsidR="00E8097E" w:rsidRPr="00883EC9" w:rsidRDefault="00E8097E">
      <w:pPr>
        <w:tabs>
          <w:tab w:val="center" w:pos="3686"/>
          <w:tab w:val="center" w:pos="5529"/>
          <w:tab w:val="center" w:pos="6663"/>
          <w:tab w:val="center" w:pos="8080"/>
          <w:tab w:val="center" w:pos="9072"/>
          <w:tab w:val="center" w:pos="9214"/>
        </w:tabs>
        <w:jc w:val="both"/>
        <w:rPr>
          <w:i/>
          <w:sz w:val="28"/>
        </w:rPr>
      </w:pPr>
    </w:p>
    <w:p w:rsidR="00E8097E" w:rsidRPr="00883EC9" w:rsidRDefault="00E8097E">
      <w:pPr>
        <w:tabs>
          <w:tab w:val="center" w:pos="3686"/>
          <w:tab w:val="center" w:pos="5529"/>
          <w:tab w:val="center" w:pos="6663"/>
          <w:tab w:val="center" w:pos="8080"/>
          <w:tab w:val="center" w:pos="9072"/>
          <w:tab w:val="center" w:pos="9214"/>
        </w:tabs>
        <w:jc w:val="both"/>
        <w:rPr>
          <w:i/>
          <w:sz w:val="28"/>
        </w:rPr>
      </w:pPr>
    </w:p>
    <w:p w:rsidR="00E8097E" w:rsidRPr="00883EC9" w:rsidRDefault="00E8097E">
      <w:pPr>
        <w:tabs>
          <w:tab w:val="center" w:pos="3686"/>
          <w:tab w:val="center" w:pos="5529"/>
          <w:tab w:val="center" w:pos="6663"/>
          <w:tab w:val="center" w:pos="8080"/>
          <w:tab w:val="center" w:pos="9072"/>
          <w:tab w:val="center" w:pos="9214"/>
        </w:tabs>
        <w:jc w:val="both"/>
        <w:rPr>
          <w:i/>
          <w:sz w:val="28"/>
        </w:rPr>
      </w:pPr>
    </w:p>
    <w:p w:rsidR="00E8097E" w:rsidRPr="00883EC9" w:rsidRDefault="00E8097E">
      <w:pPr>
        <w:tabs>
          <w:tab w:val="center" w:pos="3686"/>
          <w:tab w:val="center" w:pos="5529"/>
          <w:tab w:val="center" w:pos="6663"/>
          <w:tab w:val="center" w:pos="8080"/>
          <w:tab w:val="center" w:pos="9072"/>
          <w:tab w:val="center" w:pos="9214"/>
        </w:tabs>
        <w:jc w:val="both"/>
        <w:rPr>
          <w:i/>
          <w:sz w:val="28"/>
        </w:rPr>
      </w:pPr>
    </w:p>
    <w:p w:rsidR="00E8097E" w:rsidRPr="00883EC9" w:rsidRDefault="00E8097E">
      <w:pPr>
        <w:tabs>
          <w:tab w:val="center" w:pos="3686"/>
          <w:tab w:val="center" w:pos="5529"/>
          <w:tab w:val="center" w:pos="6663"/>
          <w:tab w:val="center" w:pos="8080"/>
          <w:tab w:val="center" w:pos="9072"/>
          <w:tab w:val="center" w:pos="9214"/>
        </w:tabs>
        <w:jc w:val="both"/>
        <w:rPr>
          <w:i/>
          <w:sz w:val="28"/>
        </w:rPr>
      </w:pPr>
    </w:p>
    <w:p w:rsidR="00E8097E" w:rsidRPr="00883EC9" w:rsidRDefault="00E8097E">
      <w:pPr>
        <w:tabs>
          <w:tab w:val="center" w:pos="3686"/>
          <w:tab w:val="center" w:pos="5529"/>
          <w:tab w:val="center" w:pos="6663"/>
          <w:tab w:val="center" w:pos="8080"/>
          <w:tab w:val="center" w:pos="9072"/>
          <w:tab w:val="center" w:pos="9214"/>
        </w:tabs>
        <w:jc w:val="both"/>
        <w:rPr>
          <w:i/>
          <w:sz w:val="28"/>
        </w:rPr>
      </w:pPr>
    </w:p>
    <w:p w:rsidR="00E8097E" w:rsidRPr="00883EC9" w:rsidRDefault="00E8097E">
      <w:pPr>
        <w:tabs>
          <w:tab w:val="center" w:pos="3686"/>
          <w:tab w:val="center" w:pos="5529"/>
          <w:tab w:val="center" w:pos="6663"/>
          <w:tab w:val="center" w:pos="8080"/>
          <w:tab w:val="center" w:pos="9072"/>
          <w:tab w:val="center" w:pos="9214"/>
        </w:tabs>
        <w:jc w:val="both"/>
        <w:rPr>
          <w:i/>
          <w:sz w:val="28"/>
        </w:rPr>
      </w:pPr>
    </w:p>
    <w:p w:rsidR="00E8097E" w:rsidRPr="00883EC9" w:rsidRDefault="00E8097E">
      <w:pPr>
        <w:tabs>
          <w:tab w:val="center" w:pos="3686"/>
          <w:tab w:val="center" w:pos="5529"/>
          <w:tab w:val="center" w:pos="6663"/>
          <w:tab w:val="center" w:pos="8080"/>
          <w:tab w:val="center" w:pos="9072"/>
          <w:tab w:val="center" w:pos="9214"/>
        </w:tabs>
        <w:jc w:val="both"/>
        <w:rPr>
          <w:i/>
          <w:sz w:val="28"/>
        </w:rPr>
      </w:pPr>
    </w:p>
    <w:p w:rsidR="00E8097E" w:rsidRPr="00883EC9" w:rsidRDefault="00E8097E">
      <w:pPr>
        <w:tabs>
          <w:tab w:val="center" w:pos="3686"/>
          <w:tab w:val="center" w:pos="5529"/>
          <w:tab w:val="center" w:pos="6663"/>
          <w:tab w:val="center" w:pos="8080"/>
          <w:tab w:val="center" w:pos="9072"/>
          <w:tab w:val="center" w:pos="9214"/>
        </w:tabs>
        <w:jc w:val="both"/>
        <w:rPr>
          <w:i/>
          <w:sz w:val="28"/>
        </w:rPr>
      </w:pPr>
    </w:p>
    <w:p w:rsidR="00E8097E" w:rsidRPr="00883EC9" w:rsidRDefault="00E8097E">
      <w:pPr>
        <w:tabs>
          <w:tab w:val="center" w:pos="3686"/>
          <w:tab w:val="center" w:pos="5529"/>
          <w:tab w:val="center" w:pos="6663"/>
          <w:tab w:val="center" w:pos="8080"/>
          <w:tab w:val="center" w:pos="9072"/>
          <w:tab w:val="center" w:pos="9214"/>
        </w:tabs>
        <w:jc w:val="both"/>
        <w:rPr>
          <w:i/>
          <w:sz w:val="28"/>
        </w:rPr>
      </w:pPr>
    </w:p>
    <w:p w:rsidR="00E8097E" w:rsidRPr="00883EC9" w:rsidRDefault="00E8097E">
      <w:pPr>
        <w:tabs>
          <w:tab w:val="center" w:pos="3686"/>
          <w:tab w:val="center" w:pos="5529"/>
          <w:tab w:val="center" w:pos="6663"/>
          <w:tab w:val="center" w:pos="8080"/>
          <w:tab w:val="center" w:pos="9072"/>
          <w:tab w:val="center" w:pos="9214"/>
        </w:tabs>
        <w:jc w:val="center"/>
        <w:rPr>
          <w:b/>
          <w:i/>
          <w:caps/>
          <w:sz w:val="32"/>
        </w:rPr>
      </w:pPr>
      <w:r w:rsidRPr="00883EC9">
        <w:rPr>
          <w:b/>
          <w:i/>
          <w:caps/>
          <w:sz w:val="32"/>
        </w:rPr>
        <w:t>201</w:t>
      </w:r>
      <w:r w:rsidR="007152EE" w:rsidRPr="00883EC9">
        <w:rPr>
          <w:b/>
          <w:i/>
          <w:caps/>
          <w:sz w:val="32"/>
        </w:rPr>
        <w:t>7</w:t>
      </w:r>
      <w:r w:rsidRPr="00883EC9">
        <w:rPr>
          <w:b/>
          <w:i/>
          <w:caps/>
          <w:sz w:val="32"/>
        </w:rPr>
        <w:t xml:space="preserve">. éVi Üzleti terv </w:t>
      </w:r>
    </w:p>
    <w:p w:rsidR="00E8097E" w:rsidRPr="00883EC9" w:rsidRDefault="00E8097E">
      <w:pPr>
        <w:tabs>
          <w:tab w:val="center" w:pos="3686"/>
          <w:tab w:val="center" w:pos="5529"/>
          <w:tab w:val="center" w:pos="6663"/>
          <w:tab w:val="center" w:pos="8080"/>
          <w:tab w:val="center" w:pos="9072"/>
          <w:tab w:val="center" w:pos="9214"/>
        </w:tabs>
        <w:jc w:val="center"/>
        <w:rPr>
          <w:b/>
          <w:i/>
          <w:caps/>
          <w:sz w:val="32"/>
        </w:rPr>
      </w:pPr>
      <w:r w:rsidRPr="00883EC9">
        <w:rPr>
          <w:b/>
          <w:i/>
          <w:caps/>
          <w:sz w:val="32"/>
        </w:rPr>
        <w:t xml:space="preserve"> I. félévi értékelése</w:t>
      </w: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pStyle w:val="Cmsor1"/>
        <w:ind w:left="0"/>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i/>
          <w:sz w:val="28"/>
        </w:rPr>
      </w:pPr>
      <w:r w:rsidRPr="00883EC9">
        <w:rPr>
          <w:i/>
          <w:sz w:val="28"/>
        </w:rPr>
        <w:t>Szombathely, 201</w:t>
      </w:r>
      <w:r w:rsidR="007152EE" w:rsidRPr="00883EC9">
        <w:rPr>
          <w:i/>
          <w:sz w:val="28"/>
        </w:rPr>
        <w:t>7</w:t>
      </w:r>
      <w:r w:rsidRPr="00883EC9">
        <w:rPr>
          <w:i/>
          <w:sz w:val="28"/>
        </w:rPr>
        <w:t xml:space="preserve">. </w:t>
      </w:r>
      <w:r w:rsidR="00A41830" w:rsidRPr="00883EC9">
        <w:rPr>
          <w:i/>
          <w:sz w:val="28"/>
        </w:rPr>
        <w:t>július 31</w:t>
      </w:r>
      <w:r w:rsidRPr="00883EC9">
        <w:rPr>
          <w:i/>
          <w:sz w:val="28"/>
        </w:rPr>
        <w:t>.</w:t>
      </w:r>
    </w:p>
    <w:p w:rsidR="00E8097E" w:rsidRDefault="00E8097E">
      <w:pPr>
        <w:tabs>
          <w:tab w:val="center" w:pos="2410"/>
          <w:tab w:val="center" w:pos="3686"/>
          <w:tab w:val="center" w:pos="5529"/>
          <w:tab w:val="center" w:pos="6663"/>
          <w:tab w:val="center" w:pos="8080"/>
          <w:tab w:val="center" w:pos="9072"/>
          <w:tab w:val="center" w:pos="9214"/>
        </w:tabs>
        <w:jc w:val="both"/>
      </w:pPr>
      <w:r w:rsidRPr="00883EC9">
        <w:br w:type="page"/>
      </w:r>
    </w:p>
    <w:p w:rsidR="004D6626" w:rsidRDefault="004D6626">
      <w:pPr>
        <w:tabs>
          <w:tab w:val="center" w:pos="2410"/>
          <w:tab w:val="center" w:pos="3686"/>
          <w:tab w:val="center" w:pos="5529"/>
          <w:tab w:val="center" w:pos="6663"/>
          <w:tab w:val="center" w:pos="8080"/>
          <w:tab w:val="center" w:pos="9072"/>
          <w:tab w:val="center" w:pos="9214"/>
        </w:tabs>
        <w:jc w:val="both"/>
      </w:pPr>
    </w:p>
    <w:p w:rsidR="009F7572" w:rsidRDefault="009F7572">
      <w:pPr>
        <w:tabs>
          <w:tab w:val="center" w:pos="2410"/>
          <w:tab w:val="center" w:pos="3686"/>
          <w:tab w:val="center" w:pos="5529"/>
          <w:tab w:val="center" w:pos="6663"/>
          <w:tab w:val="center" w:pos="8080"/>
          <w:tab w:val="center" w:pos="9072"/>
          <w:tab w:val="center" w:pos="9214"/>
        </w:tabs>
        <w:jc w:val="both"/>
      </w:pPr>
    </w:p>
    <w:p w:rsidR="004D6626" w:rsidRPr="00883EC9" w:rsidRDefault="004D6626">
      <w:pPr>
        <w:tabs>
          <w:tab w:val="center" w:pos="2410"/>
          <w:tab w:val="center" w:pos="3686"/>
          <w:tab w:val="center" w:pos="5529"/>
          <w:tab w:val="center" w:pos="6663"/>
          <w:tab w:val="center" w:pos="8080"/>
          <w:tab w:val="center" w:pos="9072"/>
          <w:tab w:val="center" w:pos="9214"/>
        </w:tabs>
        <w:jc w:val="both"/>
      </w:pPr>
    </w:p>
    <w:p w:rsidR="00E510D7" w:rsidRDefault="004D6626" w:rsidP="004D6626">
      <w:pPr>
        <w:tabs>
          <w:tab w:val="center" w:pos="2410"/>
          <w:tab w:val="center" w:pos="3686"/>
          <w:tab w:val="center" w:pos="5529"/>
          <w:tab w:val="center" w:pos="6663"/>
          <w:tab w:val="center" w:pos="8080"/>
          <w:tab w:val="center" w:pos="9072"/>
          <w:tab w:val="center" w:pos="9214"/>
        </w:tabs>
        <w:jc w:val="center"/>
        <w:rPr>
          <w:b/>
          <w:sz w:val="24"/>
          <w:szCs w:val="24"/>
        </w:rPr>
      </w:pPr>
      <w:r w:rsidRPr="004D6626">
        <w:rPr>
          <w:b/>
          <w:sz w:val="24"/>
          <w:szCs w:val="24"/>
        </w:rPr>
        <w:t>TARTALOMJEGYZÉK</w:t>
      </w:r>
    </w:p>
    <w:p w:rsidR="004D6626" w:rsidRDefault="004D6626" w:rsidP="004D6626">
      <w:pPr>
        <w:tabs>
          <w:tab w:val="center" w:pos="2410"/>
          <w:tab w:val="center" w:pos="3686"/>
          <w:tab w:val="center" w:pos="5529"/>
          <w:tab w:val="center" w:pos="6663"/>
          <w:tab w:val="center" w:pos="8080"/>
          <w:tab w:val="center" w:pos="9072"/>
          <w:tab w:val="center" w:pos="9214"/>
        </w:tabs>
        <w:jc w:val="center"/>
        <w:rPr>
          <w:b/>
          <w:sz w:val="24"/>
          <w:szCs w:val="24"/>
        </w:rPr>
      </w:pPr>
    </w:p>
    <w:sdt>
      <w:sdtPr>
        <w:rPr>
          <w:rFonts w:ascii="Times New Roman" w:hAnsi="Times New Roman"/>
          <w:color w:val="auto"/>
          <w:sz w:val="20"/>
          <w:szCs w:val="20"/>
        </w:rPr>
        <w:id w:val="-656153372"/>
        <w:docPartObj>
          <w:docPartGallery w:val="Table of Contents"/>
          <w:docPartUnique/>
        </w:docPartObj>
      </w:sdtPr>
      <w:sdtEndPr>
        <w:rPr>
          <w:b/>
          <w:bCs/>
        </w:rPr>
      </w:sdtEndPr>
      <w:sdtContent>
        <w:p w:rsidR="004975F5" w:rsidRPr="00720B38" w:rsidRDefault="004975F5">
          <w:pPr>
            <w:pStyle w:val="Tartalomjegyzkcmsora"/>
          </w:pPr>
        </w:p>
        <w:p w:rsidR="00C544F3" w:rsidRPr="00720B38" w:rsidRDefault="004975F5" w:rsidP="009F7572">
          <w:pPr>
            <w:pStyle w:val="TJ1"/>
            <w:rPr>
              <w:rFonts w:asciiTheme="minorHAnsi" w:eastAsiaTheme="minorEastAsia" w:hAnsiTheme="minorHAnsi" w:cstheme="minorBidi"/>
              <w:b w:val="0"/>
            </w:rPr>
          </w:pPr>
          <w:r w:rsidRPr="00720B38">
            <w:rPr>
              <w:b w:val="0"/>
            </w:rPr>
            <w:fldChar w:fldCharType="begin"/>
          </w:r>
          <w:r w:rsidRPr="00720B38">
            <w:rPr>
              <w:b w:val="0"/>
            </w:rPr>
            <w:instrText xml:space="preserve"> TOC \o "1-3" \h \z \u </w:instrText>
          </w:r>
          <w:r w:rsidRPr="00720B38">
            <w:rPr>
              <w:b w:val="0"/>
            </w:rPr>
            <w:fldChar w:fldCharType="separate"/>
          </w:r>
          <w:hyperlink w:anchor="_Toc489278843" w:history="1">
            <w:r w:rsidR="00C544F3" w:rsidRPr="00720B38">
              <w:rPr>
                <w:rStyle w:val="Hiperhivatkozs"/>
                <w:b w:val="0"/>
              </w:rPr>
              <w:t>A részvénytársaság tevékenysége</w:t>
            </w:r>
            <w:r w:rsidR="00C544F3" w:rsidRPr="00720B38">
              <w:rPr>
                <w:b w:val="0"/>
                <w:webHidden/>
              </w:rPr>
              <w:tab/>
            </w:r>
            <w:r w:rsidR="00C544F3" w:rsidRPr="00720B38">
              <w:rPr>
                <w:b w:val="0"/>
                <w:webHidden/>
              </w:rPr>
              <w:fldChar w:fldCharType="begin"/>
            </w:r>
            <w:r w:rsidR="00C544F3" w:rsidRPr="00720B38">
              <w:rPr>
                <w:b w:val="0"/>
                <w:webHidden/>
              </w:rPr>
              <w:instrText xml:space="preserve"> PAGEREF _Toc489278843 \h </w:instrText>
            </w:r>
            <w:r w:rsidR="00C544F3" w:rsidRPr="00720B38">
              <w:rPr>
                <w:b w:val="0"/>
                <w:webHidden/>
              </w:rPr>
            </w:r>
            <w:r w:rsidR="00C544F3" w:rsidRPr="00720B38">
              <w:rPr>
                <w:b w:val="0"/>
                <w:webHidden/>
              </w:rPr>
              <w:fldChar w:fldCharType="separate"/>
            </w:r>
            <w:r w:rsidR="002F632D">
              <w:rPr>
                <w:b w:val="0"/>
                <w:webHidden/>
              </w:rPr>
              <w:t>1</w:t>
            </w:r>
            <w:r w:rsidR="00C544F3" w:rsidRPr="00720B38">
              <w:rPr>
                <w:b w:val="0"/>
                <w:webHidden/>
              </w:rPr>
              <w:fldChar w:fldCharType="end"/>
            </w:r>
          </w:hyperlink>
        </w:p>
        <w:p w:rsidR="00C544F3" w:rsidRPr="00720B38" w:rsidRDefault="00D3463E" w:rsidP="009F7572">
          <w:pPr>
            <w:pStyle w:val="TJ1"/>
            <w:rPr>
              <w:rFonts w:asciiTheme="minorHAnsi" w:eastAsiaTheme="minorEastAsia" w:hAnsiTheme="minorHAnsi" w:cstheme="minorBidi"/>
              <w:b w:val="0"/>
            </w:rPr>
          </w:pPr>
          <w:hyperlink w:anchor="_Toc489278844" w:history="1">
            <w:r w:rsidR="00C544F3" w:rsidRPr="00720B38">
              <w:rPr>
                <w:rStyle w:val="Hiperhivatkozs"/>
                <w:b w:val="0"/>
              </w:rPr>
              <w:t>Az elsődleges tevékenységek főbb termelési és értékesítési adatai</w:t>
            </w:r>
            <w:r w:rsidR="00C544F3" w:rsidRPr="00720B38">
              <w:rPr>
                <w:b w:val="0"/>
                <w:webHidden/>
              </w:rPr>
              <w:tab/>
            </w:r>
            <w:r w:rsidR="00C544F3" w:rsidRPr="00720B38">
              <w:rPr>
                <w:b w:val="0"/>
                <w:webHidden/>
              </w:rPr>
              <w:fldChar w:fldCharType="begin"/>
            </w:r>
            <w:r w:rsidR="00C544F3" w:rsidRPr="00720B38">
              <w:rPr>
                <w:b w:val="0"/>
                <w:webHidden/>
              </w:rPr>
              <w:instrText xml:space="preserve"> PAGEREF _Toc489278844 \h </w:instrText>
            </w:r>
            <w:r w:rsidR="00C544F3" w:rsidRPr="00720B38">
              <w:rPr>
                <w:b w:val="0"/>
                <w:webHidden/>
              </w:rPr>
            </w:r>
            <w:r w:rsidR="00C544F3" w:rsidRPr="00720B38">
              <w:rPr>
                <w:b w:val="0"/>
                <w:webHidden/>
              </w:rPr>
              <w:fldChar w:fldCharType="separate"/>
            </w:r>
            <w:r w:rsidR="002F632D">
              <w:rPr>
                <w:b w:val="0"/>
                <w:webHidden/>
              </w:rPr>
              <w:t>2</w:t>
            </w:r>
            <w:r w:rsidR="00C544F3" w:rsidRPr="00720B38">
              <w:rPr>
                <w:b w:val="0"/>
                <w:webHidden/>
              </w:rPr>
              <w:fldChar w:fldCharType="end"/>
            </w:r>
          </w:hyperlink>
        </w:p>
        <w:p w:rsidR="00C544F3" w:rsidRPr="00720B38" w:rsidRDefault="00D3463E" w:rsidP="009F7572">
          <w:pPr>
            <w:pStyle w:val="TJ1"/>
            <w:rPr>
              <w:rFonts w:asciiTheme="minorHAnsi" w:eastAsiaTheme="minorEastAsia" w:hAnsiTheme="minorHAnsi" w:cstheme="minorBidi"/>
              <w:b w:val="0"/>
            </w:rPr>
          </w:pPr>
          <w:hyperlink w:anchor="_Toc489278845" w:history="1">
            <w:r w:rsidR="00C544F3" w:rsidRPr="00720B38">
              <w:rPr>
                <w:rStyle w:val="Hiperhivatkozs"/>
                <w:b w:val="0"/>
              </w:rPr>
              <w:t>Bevételek alakulása</w:t>
            </w:r>
            <w:r w:rsidR="00C544F3" w:rsidRPr="00720B38">
              <w:rPr>
                <w:b w:val="0"/>
                <w:webHidden/>
              </w:rPr>
              <w:tab/>
            </w:r>
            <w:r w:rsidR="00C544F3" w:rsidRPr="00720B38">
              <w:rPr>
                <w:b w:val="0"/>
                <w:webHidden/>
              </w:rPr>
              <w:fldChar w:fldCharType="begin"/>
            </w:r>
            <w:r w:rsidR="00C544F3" w:rsidRPr="00720B38">
              <w:rPr>
                <w:b w:val="0"/>
                <w:webHidden/>
              </w:rPr>
              <w:instrText xml:space="preserve"> PAGEREF _Toc489278845 \h </w:instrText>
            </w:r>
            <w:r w:rsidR="00C544F3" w:rsidRPr="00720B38">
              <w:rPr>
                <w:b w:val="0"/>
                <w:webHidden/>
              </w:rPr>
            </w:r>
            <w:r w:rsidR="00C544F3" w:rsidRPr="00720B38">
              <w:rPr>
                <w:b w:val="0"/>
                <w:webHidden/>
              </w:rPr>
              <w:fldChar w:fldCharType="separate"/>
            </w:r>
            <w:r w:rsidR="002F632D">
              <w:rPr>
                <w:b w:val="0"/>
                <w:webHidden/>
              </w:rPr>
              <w:t>3</w:t>
            </w:r>
            <w:r w:rsidR="00C544F3" w:rsidRPr="00720B38">
              <w:rPr>
                <w:b w:val="0"/>
                <w:webHidden/>
              </w:rPr>
              <w:fldChar w:fldCharType="end"/>
            </w:r>
          </w:hyperlink>
        </w:p>
        <w:p w:rsidR="00C544F3" w:rsidRPr="00720B38" w:rsidRDefault="00D3463E" w:rsidP="009F7572">
          <w:pPr>
            <w:pStyle w:val="TJ1"/>
            <w:rPr>
              <w:rFonts w:asciiTheme="minorHAnsi" w:eastAsiaTheme="minorEastAsia" w:hAnsiTheme="minorHAnsi" w:cstheme="minorBidi"/>
              <w:b w:val="0"/>
            </w:rPr>
          </w:pPr>
          <w:hyperlink w:anchor="_Toc489278846" w:history="1">
            <w:r w:rsidR="00C544F3" w:rsidRPr="00720B38">
              <w:rPr>
                <w:rStyle w:val="Hiperhivatkozs"/>
                <w:b w:val="0"/>
              </w:rPr>
              <w:t>Költségek, ráfordítások alakulása</w:t>
            </w:r>
            <w:r w:rsidR="00C544F3" w:rsidRPr="00720B38">
              <w:rPr>
                <w:b w:val="0"/>
                <w:webHidden/>
              </w:rPr>
              <w:tab/>
            </w:r>
            <w:r w:rsidR="00C544F3" w:rsidRPr="00720B38">
              <w:rPr>
                <w:b w:val="0"/>
                <w:webHidden/>
              </w:rPr>
              <w:fldChar w:fldCharType="begin"/>
            </w:r>
            <w:r w:rsidR="00C544F3" w:rsidRPr="00720B38">
              <w:rPr>
                <w:b w:val="0"/>
                <w:webHidden/>
              </w:rPr>
              <w:instrText xml:space="preserve"> PAGEREF _Toc489278846 \h </w:instrText>
            </w:r>
            <w:r w:rsidR="00C544F3" w:rsidRPr="00720B38">
              <w:rPr>
                <w:b w:val="0"/>
                <w:webHidden/>
              </w:rPr>
            </w:r>
            <w:r w:rsidR="00C544F3" w:rsidRPr="00720B38">
              <w:rPr>
                <w:b w:val="0"/>
                <w:webHidden/>
              </w:rPr>
              <w:fldChar w:fldCharType="separate"/>
            </w:r>
            <w:r w:rsidR="002F632D">
              <w:rPr>
                <w:b w:val="0"/>
                <w:webHidden/>
              </w:rPr>
              <w:t>6</w:t>
            </w:r>
            <w:r w:rsidR="00C544F3" w:rsidRPr="00720B38">
              <w:rPr>
                <w:b w:val="0"/>
                <w:webHidden/>
              </w:rPr>
              <w:fldChar w:fldCharType="end"/>
            </w:r>
          </w:hyperlink>
        </w:p>
        <w:p w:rsidR="00C544F3" w:rsidRPr="00720B38" w:rsidRDefault="00D3463E" w:rsidP="009F7572">
          <w:pPr>
            <w:pStyle w:val="TJ1"/>
            <w:rPr>
              <w:rFonts w:asciiTheme="minorHAnsi" w:eastAsiaTheme="minorEastAsia" w:hAnsiTheme="minorHAnsi" w:cstheme="minorBidi"/>
              <w:b w:val="0"/>
            </w:rPr>
          </w:pPr>
          <w:hyperlink w:anchor="_Toc489278847" w:history="1">
            <w:r w:rsidR="00C544F3" w:rsidRPr="00720B38">
              <w:rPr>
                <w:rStyle w:val="Hiperhivatkozs"/>
                <w:b w:val="0"/>
              </w:rPr>
              <w:t>Eredmény alakulása</w:t>
            </w:r>
            <w:r w:rsidR="00C544F3" w:rsidRPr="00720B38">
              <w:rPr>
                <w:b w:val="0"/>
                <w:webHidden/>
              </w:rPr>
              <w:tab/>
            </w:r>
            <w:r w:rsidR="00C544F3" w:rsidRPr="00720B38">
              <w:rPr>
                <w:b w:val="0"/>
                <w:webHidden/>
              </w:rPr>
              <w:fldChar w:fldCharType="begin"/>
            </w:r>
            <w:r w:rsidR="00C544F3" w:rsidRPr="00720B38">
              <w:rPr>
                <w:b w:val="0"/>
                <w:webHidden/>
              </w:rPr>
              <w:instrText xml:space="preserve"> PAGEREF _Toc489278847 \h </w:instrText>
            </w:r>
            <w:r w:rsidR="00C544F3" w:rsidRPr="00720B38">
              <w:rPr>
                <w:b w:val="0"/>
                <w:webHidden/>
              </w:rPr>
            </w:r>
            <w:r w:rsidR="00C544F3" w:rsidRPr="00720B38">
              <w:rPr>
                <w:b w:val="0"/>
                <w:webHidden/>
              </w:rPr>
              <w:fldChar w:fldCharType="separate"/>
            </w:r>
            <w:r w:rsidR="002F632D">
              <w:rPr>
                <w:b w:val="0"/>
                <w:webHidden/>
              </w:rPr>
              <w:t>9</w:t>
            </w:r>
            <w:r w:rsidR="00C544F3" w:rsidRPr="00720B38">
              <w:rPr>
                <w:b w:val="0"/>
                <w:webHidden/>
              </w:rPr>
              <w:fldChar w:fldCharType="end"/>
            </w:r>
          </w:hyperlink>
        </w:p>
        <w:p w:rsidR="00C544F3" w:rsidRPr="00720B38" w:rsidRDefault="00D3463E" w:rsidP="009F7572">
          <w:pPr>
            <w:pStyle w:val="TJ1"/>
            <w:rPr>
              <w:rFonts w:asciiTheme="minorHAnsi" w:eastAsiaTheme="minorEastAsia" w:hAnsiTheme="minorHAnsi" w:cstheme="minorBidi"/>
              <w:b w:val="0"/>
            </w:rPr>
          </w:pPr>
          <w:hyperlink w:anchor="_Toc489278848" w:history="1">
            <w:r w:rsidR="00C544F3" w:rsidRPr="00720B38">
              <w:rPr>
                <w:rStyle w:val="Hiperhivatkozs"/>
                <w:b w:val="0"/>
              </w:rPr>
              <w:t>Fejlesztések, beruházások</w:t>
            </w:r>
            <w:r w:rsidR="00C544F3" w:rsidRPr="00720B38">
              <w:rPr>
                <w:b w:val="0"/>
                <w:webHidden/>
              </w:rPr>
              <w:tab/>
            </w:r>
            <w:r w:rsidR="00C544F3" w:rsidRPr="00720B38">
              <w:rPr>
                <w:b w:val="0"/>
                <w:webHidden/>
              </w:rPr>
              <w:fldChar w:fldCharType="begin"/>
            </w:r>
            <w:r w:rsidR="00C544F3" w:rsidRPr="00720B38">
              <w:rPr>
                <w:b w:val="0"/>
                <w:webHidden/>
              </w:rPr>
              <w:instrText xml:space="preserve"> PAGEREF _Toc489278848 \h </w:instrText>
            </w:r>
            <w:r w:rsidR="00C544F3" w:rsidRPr="00720B38">
              <w:rPr>
                <w:b w:val="0"/>
                <w:webHidden/>
              </w:rPr>
            </w:r>
            <w:r w:rsidR="00C544F3" w:rsidRPr="00720B38">
              <w:rPr>
                <w:b w:val="0"/>
                <w:webHidden/>
              </w:rPr>
              <w:fldChar w:fldCharType="separate"/>
            </w:r>
            <w:r w:rsidR="002F632D">
              <w:rPr>
                <w:b w:val="0"/>
                <w:webHidden/>
              </w:rPr>
              <w:t>10</w:t>
            </w:r>
            <w:r w:rsidR="00C544F3" w:rsidRPr="00720B38">
              <w:rPr>
                <w:b w:val="0"/>
                <w:webHidden/>
              </w:rPr>
              <w:fldChar w:fldCharType="end"/>
            </w:r>
          </w:hyperlink>
        </w:p>
        <w:p w:rsidR="00C544F3" w:rsidRPr="00720B38" w:rsidRDefault="00D3463E">
          <w:pPr>
            <w:pStyle w:val="TJ2"/>
            <w:rPr>
              <w:rFonts w:asciiTheme="minorHAnsi" w:eastAsiaTheme="minorEastAsia" w:hAnsiTheme="minorHAnsi" w:cstheme="minorBidi"/>
              <w:b w:val="0"/>
              <w:bCs w:val="0"/>
              <w:i w:val="0"/>
              <w:iCs w:val="0"/>
              <w:sz w:val="22"/>
              <w:szCs w:val="22"/>
            </w:rPr>
          </w:pPr>
          <w:hyperlink w:anchor="_Toc489278849" w:history="1">
            <w:r w:rsidR="00C544F3" w:rsidRPr="00720B38">
              <w:rPr>
                <w:rStyle w:val="Hiperhivatkozs"/>
                <w:b w:val="0"/>
                <w:sz w:val="22"/>
                <w:szCs w:val="22"/>
              </w:rPr>
              <w:t>Beruházási pénzeszközök források szerinti felhasználása</w:t>
            </w:r>
            <w:r w:rsidR="00C544F3" w:rsidRPr="00720B38">
              <w:rPr>
                <w:b w:val="0"/>
                <w:webHidden/>
                <w:sz w:val="22"/>
                <w:szCs w:val="22"/>
              </w:rPr>
              <w:tab/>
            </w:r>
            <w:r w:rsidR="00C544F3" w:rsidRPr="00720B38">
              <w:rPr>
                <w:b w:val="0"/>
                <w:webHidden/>
                <w:sz w:val="22"/>
                <w:szCs w:val="22"/>
              </w:rPr>
              <w:fldChar w:fldCharType="begin"/>
            </w:r>
            <w:r w:rsidR="00C544F3" w:rsidRPr="00720B38">
              <w:rPr>
                <w:b w:val="0"/>
                <w:webHidden/>
                <w:sz w:val="22"/>
                <w:szCs w:val="22"/>
              </w:rPr>
              <w:instrText xml:space="preserve"> PAGEREF _Toc489278849 \h </w:instrText>
            </w:r>
            <w:r w:rsidR="00C544F3" w:rsidRPr="00720B38">
              <w:rPr>
                <w:b w:val="0"/>
                <w:webHidden/>
                <w:sz w:val="22"/>
                <w:szCs w:val="22"/>
              </w:rPr>
            </w:r>
            <w:r w:rsidR="00C544F3" w:rsidRPr="00720B38">
              <w:rPr>
                <w:b w:val="0"/>
                <w:webHidden/>
                <w:sz w:val="22"/>
                <w:szCs w:val="22"/>
              </w:rPr>
              <w:fldChar w:fldCharType="separate"/>
            </w:r>
            <w:r w:rsidR="002F632D">
              <w:rPr>
                <w:b w:val="0"/>
                <w:webHidden/>
                <w:sz w:val="22"/>
                <w:szCs w:val="22"/>
              </w:rPr>
              <w:t>10</w:t>
            </w:r>
            <w:r w:rsidR="00C544F3" w:rsidRPr="00720B38">
              <w:rPr>
                <w:b w:val="0"/>
                <w:webHidden/>
                <w:sz w:val="22"/>
                <w:szCs w:val="22"/>
              </w:rPr>
              <w:fldChar w:fldCharType="end"/>
            </w:r>
          </w:hyperlink>
        </w:p>
        <w:p w:rsidR="00C544F3" w:rsidRPr="00720B38" w:rsidRDefault="00D3463E">
          <w:pPr>
            <w:pStyle w:val="TJ2"/>
            <w:rPr>
              <w:rFonts w:asciiTheme="minorHAnsi" w:eastAsiaTheme="minorEastAsia" w:hAnsiTheme="minorHAnsi" w:cstheme="minorBidi"/>
              <w:b w:val="0"/>
              <w:bCs w:val="0"/>
              <w:i w:val="0"/>
              <w:iCs w:val="0"/>
              <w:sz w:val="22"/>
              <w:szCs w:val="22"/>
            </w:rPr>
          </w:pPr>
          <w:hyperlink w:anchor="_Toc489278850" w:history="1">
            <w:r w:rsidR="00C544F3" w:rsidRPr="00720B38">
              <w:rPr>
                <w:rStyle w:val="Hiperhivatkozs"/>
                <w:b w:val="0"/>
                <w:sz w:val="22"/>
                <w:szCs w:val="22"/>
              </w:rPr>
              <w:t>A különböző forrásokból megvalósított beruházások megoszlása tevékenységekre</w:t>
            </w:r>
            <w:r w:rsidR="00C544F3" w:rsidRPr="00720B38">
              <w:rPr>
                <w:b w:val="0"/>
                <w:webHidden/>
                <w:sz w:val="22"/>
                <w:szCs w:val="22"/>
              </w:rPr>
              <w:tab/>
            </w:r>
            <w:r w:rsidR="00C544F3" w:rsidRPr="00720B38">
              <w:rPr>
                <w:b w:val="0"/>
                <w:webHidden/>
                <w:sz w:val="22"/>
                <w:szCs w:val="22"/>
              </w:rPr>
              <w:fldChar w:fldCharType="begin"/>
            </w:r>
            <w:r w:rsidR="00C544F3" w:rsidRPr="00720B38">
              <w:rPr>
                <w:b w:val="0"/>
                <w:webHidden/>
                <w:sz w:val="22"/>
                <w:szCs w:val="22"/>
              </w:rPr>
              <w:instrText xml:space="preserve"> PAGEREF _Toc489278850 \h </w:instrText>
            </w:r>
            <w:r w:rsidR="00C544F3" w:rsidRPr="00720B38">
              <w:rPr>
                <w:b w:val="0"/>
                <w:webHidden/>
                <w:sz w:val="22"/>
                <w:szCs w:val="22"/>
              </w:rPr>
            </w:r>
            <w:r w:rsidR="00C544F3" w:rsidRPr="00720B38">
              <w:rPr>
                <w:b w:val="0"/>
                <w:webHidden/>
                <w:sz w:val="22"/>
                <w:szCs w:val="22"/>
              </w:rPr>
              <w:fldChar w:fldCharType="separate"/>
            </w:r>
            <w:r w:rsidR="002F632D">
              <w:rPr>
                <w:b w:val="0"/>
                <w:webHidden/>
                <w:sz w:val="22"/>
                <w:szCs w:val="22"/>
              </w:rPr>
              <w:t>11</w:t>
            </w:r>
            <w:r w:rsidR="00C544F3" w:rsidRPr="00720B38">
              <w:rPr>
                <w:b w:val="0"/>
                <w:webHidden/>
                <w:sz w:val="22"/>
                <w:szCs w:val="22"/>
              </w:rPr>
              <w:fldChar w:fldCharType="end"/>
            </w:r>
          </w:hyperlink>
        </w:p>
        <w:p w:rsidR="00C544F3" w:rsidRPr="00720B38" w:rsidRDefault="00D3463E">
          <w:pPr>
            <w:pStyle w:val="TJ2"/>
            <w:rPr>
              <w:rFonts w:asciiTheme="minorHAnsi" w:eastAsiaTheme="minorEastAsia" w:hAnsiTheme="minorHAnsi" w:cstheme="minorBidi"/>
              <w:b w:val="0"/>
              <w:bCs w:val="0"/>
              <w:i w:val="0"/>
              <w:iCs w:val="0"/>
              <w:sz w:val="22"/>
              <w:szCs w:val="22"/>
            </w:rPr>
          </w:pPr>
          <w:hyperlink w:anchor="_Toc489278851" w:history="1">
            <w:r w:rsidR="00C544F3" w:rsidRPr="00720B38">
              <w:rPr>
                <w:rStyle w:val="Hiperhivatkozs"/>
                <w:b w:val="0"/>
                <w:sz w:val="22"/>
                <w:szCs w:val="22"/>
              </w:rPr>
              <w:t>Önkormányzatoknak átadott beruházások</w:t>
            </w:r>
            <w:r w:rsidR="00C544F3" w:rsidRPr="00720B38">
              <w:rPr>
                <w:b w:val="0"/>
                <w:webHidden/>
                <w:sz w:val="22"/>
                <w:szCs w:val="22"/>
              </w:rPr>
              <w:tab/>
            </w:r>
            <w:r w:rsidR="00C544F3" w:rsidRPr="00720B38">
              <w:rPr>
                <w:b w:val="0"/>
                <w:webHidden/>
                <w:sz w:val="22"/>
                <w:szCs w:val="22"/>
              </w:rPr>
              <w:fldChar w:fldCharType="begin"/>
            </w:r>
            <w:r w:rsidR="00C544F3" w:rsidRPr="00720B38">
              <w:rPr>
                <w:b w:val="0"/>
                <w:webHidden/>
                <w:sz w:val="22"/>
                <w:szCs w:val="22"/>
              </w:rPr>
              <w:instrText xml:space="preserve"> PAGEREF _Toc489278851 \h </w:instrText>
            </w:r>
            <w:r w:rsidR="00C544F3" w:rsidRPr="00720B38">
              <w:rPr>
                <w:b w:val="0"/>
                <w:webHidden/>
                <w:sz w:val="22"/>
                <w:szCs w:val="22"/>
              </w:rPr>
            </w:r>
            <w:r w:rsidR="00C544F3" w:rsidRPr="00720B38">
              <w:rPr>
                <w:b w:val="0"/>
                <w:webHidden/>
                <w:sz w:val="22"/>
                <w:szCs w:val="22"/>
              </w:rPr>
              <w:fldChar w:fldCharType="separate"/>
            </w:r>
            <w:r w:rsidR="002F632D">
              <w:rPr>
                <w:b w:val="0"/>
                <w:webHidden/>
                <w:sz w:val="22"/>
                <w:szCs w:val="22"/>
              </w:rPr>
              <w:t>11</w:t>
            </w:r>
            <w:r w:rsidR="00C544F3" w:rsidRPr="00720B38">
              <w:rPr>
                <w:b w:val="0"/>
                <w:webHidden/>
                <w:sz w:val="22"/>
                <w:szCs w:val="22"/>
              </w:rPr>
              <w:fldChar w:fldCharType="end"/>
            </w:r>
          </w:hyperlink>
        </w:p>
        <w:p w:rsidR="00C544F3" w:rsidRPr="00720B38" w:rsidRDefault="00D3463E">
          <w:pPr>
            <w:pStyle w:val="TJ2"/>
            <w:rPr>
              <w:rFonts w:asciiTheme="minorHAnsi" w:eastAsiaTheme="minorEastAsia" w:hAnsiTheme="minorHAnsi" w:cstheme="minorBidi"/>
              <w:b w:val="0"/>
              <w:bCs w:val="0"/>
              <w:i w:val="0"/>
              <w:iCs w:val="0"/>
              <w:sz w:val="22"/>
              <w:szCs w:val="22"/>
            </w:rPr>
          </w:pPr>
          <w:hyperlink w:anchor="_Toc489278852" w:history="1">
            <w:r w:rsidR="00C544F3" w:rsidRPr="00720B38">
              <w:rPr>
                <w:rStyle w:val="Hiperhivatkozs"/>
                <w:b w:val="0"/>
                <w:sz w:val="22"/>
                <w:szCs w:val="22"/>
              </w:rPr>
              <w:t>Kiemelt beruházások</w:t>
            </w:r>
            <w:r w:rsidR="00C544F3" w:rsidRPr="00720B38">
              <w:rPr>
                <w:b w:val="0"/>
                <w:webHidden/>
                <w:sz w:val="22"/>
                <w:szCs w:val="22"/>
              </w:rPr>
              <w:tab/>
            </w:r>
            <w:r w:rsidR="00C544F3" w:rsidRPr="00720B38">
              <w:rPr>
                <w:b w:val="0"/>
                <w:webHidden/>
                <w:sz w:val="22"/>
                <w:szCs w:val="22"/>
              </w:rPr>
              <w:fldChar w:fldCharType="begin"/>
            </w:r>
            <w:r w:rsidR="00C544F3" w:rsidRPr="00720B38">
              <w:rPr>
                <w:b w:val="0"/>
                <w:webHidden/>
                <w:sz w:val="22"/>
                <w:szCs w:val="22"/>
              </w:rPr>
              <w:instrText xml:space="preserve"> PAGEREF _Toc489278852 \h </w:instrText>
            </w:r>
            <w:r w:rsidR="00C544F3" w:rsidRPr="00720B38">
              <w:rPr>
                <w:b w:val="0"/>
                <w:webHidden/>
                <w:sz w:val="22"/>
                <w:szCs w:val="22"/>
              </w:rPr>
            </w:r>
            <w:r w:rsidR="00C544F3" w:rsidRPr="00720B38">
              <w:rPr>
                <w:b w:val="0"/>
                <w:webHidden/>
                <w:sz w:val="22"/>
                <w:szCs w:val="22"/>
              </w:rPr>
              <w:fldChar w:fldCharType="separate"/>
            </w:r>
            <w:r w:rsidR="002F632D">
              <w:rPr>
                <w:b w:val="0"/>
                <w:webHidden/>
                <w:sz w:val="22"/>
                <w:szCs w:val="22"/>
              </w:rPr>
              <w:t>11</w:t>
            </w:r>
            <w:r w:rsidR="00C544F3" w:rsidRPr="00720B38">
              <w:rPr>
                <w:b w:val="0"/>
                <w:webHidden/>
                <w:sz w:val="22"/>
                <w:szCs w:val="22"/>
              </w:rPr>
              <w:fldChar w:fldCharType="end"/>
            </w:r>
          </w:hyperlink>
        </w:p>
        <w:p w:rsidR="00C544F3" w:rsidRPr="00720B38" w:rsidRDefault="00D3463E" w:rsidP="009F7572">
          <w:pPr>
            <w:pStyle w:val="TJ1"/>
            <w:rPr>
              <w:rFonts w:asciiTheme="minorHAnsi" w:eastAsiaTheme="minorEastAsia" w:hAnsiTheme="minorHAnsi" w:cstheme="minorBidi"/>
              <w:b w:val="0"/>
            </w:rPr>
          </w:pPr>
          <w:hyperlink w:anchor="_Toc489278853" w:history="1">
            <w:r w:rsidR="00C544F3" w:rsidRPr="00720B38">
              <w:rPr>
                <w:rStyle w:val="Hiperhivatkozs"/>
                <w:b w:val="0"/>
              </w:rPr>
              <w:t>Megrendelésre végzett építési tevékenység</w:t>
            </w:r>
            <w:r w:rsidR="00C544F3" w:rsidRPr="00720B38">
              <w:rPr>
                <w:b w:val="0"/>
                <w:webHidden/>
              </w:rPr>
              <w:tab/>
            </w:r>
            <w:r w:rsidR="00C544F3" w:rsidRPr="00720B38">
              <w:rPr>
                <w:b w:val="0"/>
                <w:webHidden/>
              </w:rPr>
              <w:fldChar w:fldCharType="begin"/>
            </w:r>
            <w:r w:rsidR="00C544F3" w:rsidRPr="00720B38">
              <w:rPr>
                <w:b w:val="0"/>
                <w:webHidden/>
              </w:rPr>
              <w:instrText xml:space="preserve"> PAGEREF _Toc489278853 \h </w:instrText>
            </w:r>
            <w:r w:rsidR="00C544F3" w:rsidRPr="00720B38">
              <w:rPr>
                <w:b w:val="0"/>
                <w:webHidden/>
              </w:rPr>
            </w:r>
            <w:r w:rsidR="00C544F3" w:rsidRPr="00720B38">
              <w:rPr>
                <w:b w:val="0"/>
                <w:webHidden/>
              </w:rPr>
              <w:fldChar w:fldCharType="separate"/>
            </w:r>
            <w:r w:rsidR="002F632D">
              <w:rPr>
                <w:b w:val="0"/>
                <w:webHidden/>
              </w:rPr>
              <w:t>12</w:t>
            </w:r>
            <w:r w:rsidR="00C544F3" w:rsidRPr="00720B38">
              <w:rPr>
                <w:b w:val="0"/>
                <w:webHidden/>
              </w:rPr>
              <w:fldChar w:fldCharType="end"/>
            </w:r>
          </w:hyperlink>
        </w:p>
        <w:p w:rsidR="00C544F3" w:rsidRPr="00720B38" w:rsidRDefault="00D3463E">
          <w:pPr>
            <w:pStyle w:val="TJ2"/>
            <w:rPr>
              <w:rFonts w:asciiTheme="minorHAnsi" w:eastAsiaTheme="minorEastAsia" w:hAnsiTheme="minorHAnsi" w:cstheme="minorBidi"/>
              <w:b w:val="0"/>
              <w:bCs w:val="0"/>
              <w:i w:val="0"/>
              <w:iCs w:val="0"/>
              <w:sz w:val="22"/>
              <w:szCs w:val="22"/>
            </w:rPr>
          </w:pPr>
          <w:hyperlink w:anchor="_Toc489278854" w:history="1">
            <w:r w:rsidR="00C544F3" w:rsidRPr="00720B38">
              <w:rPr>
                <w:rStyle w:val="Hiperhivatkozs"/>
                <w:b w:val="0"/>
                <w:sz w:val="22"/>
                <w:szCs w:val="22"/>
              </w:rPr>
              <w:t>Önkormányzati megrendelésre végzett jelentősebb víziközmű építési-szerelési munkák</w:t>
            </w:r>
            <w:r w:rsidR="00C544F3" w:rsidRPr="00720B38">
              <w:rPr>
                <w:b w:val="0"/>
                <w:webHidden/>
                <w:sz w:val="22"/>
                <w:szCs w:val="22"/>
              </w:rPr>
              <w:tab/>
            </w:r>
            <w:r w:rsidR="00C544F3" w:rsidRPr="00720B38">
              <w:rPr>
                <w:b w:val="0"/>
                <w:webHidden/>
                <w:sz w:val="22"/>
                <w:szCs w:val="22"/>
              </w:rPr>
              <w:fldChar w:fldCharType="begin"/>
            </w:r>
            <w:r w:rsidR="00C544F3" w:rsidRPr="00720B38">
              <w:rPr>
                <w:b w:val="0"/>
                <w:webHidden/>
                <w:sz w:val="22"/>
                <w:szCs w:val="22"/>
              </w:rPr>
              <w:instrText xml:space="preserve"> PAGEREF _Toc489278854 \h </w:instrText>
            </w:r>
            <w:r w:rsidR="00C544F3" w:rsidRPr="00720B38">
              <w:rPr>
                <w:b w:val="0"/>
                <w:webHidden/>
                <w:sz w:val="22"/>
                <w:szCs w:val="22"/>
              </w:rPr>
            </w:r>
            <w:r w:rsidR="00C544F3" w:rsidRPr="00720B38">
              <w:rPr>
                <w:b w:val="0"/>
                <w:webHidden/>
                <w:sz w:val="22"/>
                <w:szCs w:val="22"/>
              </w:rPr>
              <w:fldChar w:fldCharType="separate"/>
            </w:r>
            <w:r w:rsidR="002F632D">
              <w:rPr>
                <w:b w:val="0"/>
                <w:webHidden/>
                <w:sz w:val="22"/>
                <w:szCs w:val="22"/>
              </w:rPr>
              <w:t>12</w:t>
            </w:r>
            <w:r w:rsidR="00C544F3" w:rsidRPr="00720B38">
              <w:rPr>
                <w:b w:val="0"/>
                <w:webHidden/>
                <w:sz w:val="22"/>
                <w:szCs w:val="22"/>
              </w:rPr>
              <w:fldChar w:fldCharType="end"/>
            </w:r>
          </w:hyperlink>
        </w:p>
        <w:p w:rsidR="00C544F3" w:rsidRPr="00720B38" w:rsidRDefault="00D3463E">
          <w:pPr>
            <w:pStyle w:val="TJ2"/>
            <w:rPr>
              <w:rFonts w:asciiTheme="minorHAnsi" w:eastAsiaTheme="minorEastAsia" w:hAnsiTheme="minorHAnsi" w:cstheme="minorBidi"/>
              <w:b w:val="0"/>
              <w:bCs w:val="0"/>
              <w:i w:val="0"/>
              <w:iCs w:val="0"/>
              <w:sz w:val="22"/>
              <w:szCs w:val="22"/>
            </w:rPr>
          </w:pPr>
          <w:hyperlink w:anchor="_Toc489278855" w:history="1">
            <w:r w:rsidR="00C544F3" w:rsidRPr="00720B38">
              <w:rPr>
                <w:rStyle w:val="Hiperhivatkozs"/>
                <w:b w:val="0"/>
                <w:sz w:val="22"/>
                <w:szCs w:val="22"/>
              </w:rPr>
              <w:t>Egyéb megrendelésre végzett főbb építőipari munkák</w:t>
            </w:r>
            <w:r w:rsidR="00C544F3" w:rsidRPr="00720B38">
              <w:rPr>
                <w:b w:val="0"/>
                <w:webHidden/>
                <w:sz w:val="22"/>
                <w:szCs w:val="22"/>
              </w:rPr>
              <w:tab/>
            </w:r>
            <w:r w:rsidR="00C544F3" w:rsidRPr="00720B38">
              <w:rPr>
                <w:b w:val="0"/>
                <w:webHidden/>
                <w:sz w:val="22"/>
                <w:szCs w:val="22"/>
              </w:rPr>
              <w:fldChar w:fldCharType="begin"/>
            </w:r>
            <w:r w:rsidR="00C544F3" w:rsidRPr="00720B38">
              <w:rPr>
                <w:b w:val="0"/>
                <w:webHidden/>
                <w:sz w:val="22"/>
                <w:szCs w:val="22"/>
              </w:rPr>
              <w:instrText xml:space="preserve"> PAGEREF _Toc489278855 \h </w:instrText>
            </w:r>
            <w:r w:rsidR="00C544F3" w:rsidRPr="00720B38">
              <w:rPr>
                <w:b w:val="0"/>
                <w:webHidden/>
                <w:sz w:val="22"/>
                <w:szCs w:val="22"/>
              </w:rPr>
            </w:r>
            <w:r w:rsidR="00C544F3" w:rsidRPr="00720B38">
              <w:rPr>
                <w:b w:val="0"/>
                <w:webHidden/>
                <w:sz w:val="22"/>
                <w:szCs w:val="22"/>
              </w:rPr>
              <w:fldChar w:fldCharType="separate"/>
            </w:r>
            <w:r w:rsidR="002F632D">
              <w:rPr>
                <w:b w:val="0"/>
                <w:webHidden/>
                <w:sz w:val="22"/>
                <w:szCs w:val="22"/>
              </w:rPr>
              <w:t>13</w:t>
            </w:r>
            <w:r w:rsidR="00C544F3" w:rsidRPr="00720B38">
              <w:rPr>
                <w:b w:val="0"/>
                <w:webHidden/>
                <w:sz w:val="22"/>
                <w:szCs w:val="22"/>
              </w:rPr>
              <w:fldChar w:fldCharType="end"/>
            </w:r>
          </w:hyperlink>
        </w:p>
        <w:p w:rsidR="00C544F3" w:rsidRPr="00720B38" w:rsidRDefault="00D3463E" w:rsidP="009F7572">
          <w:pPr>
            <w:pStyle w:val="TJ1"/>
            <w:rPr>
              <w:rFonts w:asciiTheme="minorHAnsi" w:eastAsiaTheme="minorEastAsia" w:hAnsiTheme="minorHAnsi" w:cstheme="minorBidi"/>
              <w:b w:val="0"/>
            </w:rPr>
          </w:pPr>
          <w:hyperlink w:anchor="_Toc489278856" w:history="1">
            <w:r w:rsidR="00C544F3" w:rsidRPr="00720B38">
              <w:rPr>
                <w:rStyle w:val="Hiperhivatkozs"/>
                <w:b w:val="0"/>
              </w:rPr>
              <w:t>Hibaelhárítás, eszközfenntartás</w:t>
            </w:r>
            <w:r w:rsidR="00C544F3" w:rsidRPr="00720B38">
              <w:rPr>
                <w:b w:val="0"/>
                <w:webHidden/>
              </w:rPr>
              <w:tab/>
            </w:r>
            <w:r w:rsidR="00C544F3" w:rsidRPr="00720B38">
              <w:rPr>
                <w:b w:val="0"/>
                <w:webHidden/>
              </w:rPr>
              <w:fldChar w:fldCharType="begin"/>
            </w:r>
            <w:r w:rsidR="00C544F3" w:rsidRPr="00720B38">
              <w:rPr>
                <w:b w:val="0"/>
                <w:webHidden/>
              </w:rPr>
              <w:instrText xml:space="preserve"> PAGEREF _Toc489278856 \h </w:instrText>
            </w:r>
            <w:r w:rsidR="00C544F3" w:rsidRPr="00720B38">
              <w:rPr>
                <w:b w:val="0"/>
                <w:webHidden/>
              </w:rPr>
            </w:r>
            <w:r w:rsidR="00C544F3" w:rsidRPr="00720B38">
              <w:rPr>
                <w:b w:val="0"/>
                <w:webHidden/>
              </w:rPr>
              <w:fldChar w:fldCharType="separate"/>
            </w:r>
            <w:r w:rsidR="002F632D">
              <w:rPr>
                <w:b w:val="0"/>
                <w:webHidden/>
              </w:rPr>
              <w:t>14</w:t>
            </w:r>
            <w:r w:rsidR="00C544F3" w:rsidRPr="00720B38">
              <w:rPr>
                <w:b w:val="0"/>
                <w:webHidden/>
              </w:rPr>
              <w:fldChar w:fldCharType="end"/>
            </w:r>
          </w:hyperlink>
        </w:p>
        <w:p w:rsidR="00C544F3" w:rsidRPr="00720B38" w:rsidRDefault="00D3463E">
          <w:pPr>
            <w:pStyle w:val="TJ2"/>
            <w:rPr>
              <w:rFonts w:asciiTheme="minorHAnsi" w:eastAsiaTheme="minorEastAsia" w:hAnsiTheme="minorHAnsi" w:cstheme="minorBidi"/>
              <w:b w:val="0"/>
              <w:bCs w:val="0"/>
              <w:i w:val="0"/>
              <w:iCs w:val="0"/>
              <w:sz w:val="22"/>
              <w:szCs w:val="22"/>
            </w:rPr>
          </w:pPr>
          <w:hyperlink w:anchor="_Toc489278857" w:history="1">
            <w:r w:rsidR="00C544F3" w:rsidRPr="00720B38">
              <w:rPr>
                <w:rStyle w:val="Hiperhivatkozs"/>
                <w:b w:val="0"/>
                <w:sz w:val="22"/>
                <w:szCs w:val="22"/>
              </w:rPr>
              <w:t>Eszközfenntartási költségek alakulása</w:t>
            </w:r>
            <w:r w:rsidR="00C544F3" w:rsidRPr="00720B38">
              <w:rPr>
                <w:b w:val="0"/>
                <w:webHidden/>
                <w:sz w:val="22"/>
                <w:szCs w:val="22"/>
              </w:rPr>
              <w:tab/>
            </w:r>
            <w:r w:rsidR="00C544F3" w:rsidRPr="00720B38">
              <w:rPr>
                <w:b w:val="0"/>
                <w:webHidden/>
                <w:sz w:val="22"/>
                <w:szCs w:val="22"/>
              </w:rPr>
              <w:fldChar w:fldCharType="begin"/>
            </w:r>
            <w:r w:rsidR="00C544F3" w:rsidRPr="00720B38">
              <w:rPr>
                <w:b w:val="0"/>
                <w:webHidden/>
                <w:sz w:val="22"/>
                <w:szCs w:val="22"/>
              </w:rPr>
              <w:instrText xml:space="preserve"> PAGEREF _Toc489278857 \h </w:instrText>
            </w:r>
            <w:r w:rsidR="00C544F3" w:rsidRPr="00720B38">
              <w:rPr>
                <w:b w:val="0"/>
                <w:webHidden/>
                <w:sz w:val="22"/>
                <w:szCs w:val="22"/>
              </w:rPr>
            </w:r>
            <w:r w:rsidR="00C544F3" w:rsidRPr="00720B38">
              <w:rPr>
                <w:b w:val="0"/>
                <w:webHidden/>
                <w:sz w:val="22"/>
                <w:szCs w:val="22"/>
              </w:rPr>
              <w:fldChar w:fldCharType="separate"/>
            </w:r>
            <w:r w:rsidR="002F632D">
              <w:rPr>
                <w:b w:val="0"/>
                <w:webHidden/>
                <w:sz w:val="22"/>
                <w:szCs w:val="22"/>
              </w:rPr>
              <w:t>14</w:t>
            </w:r>
            <w:r w:rsidR="00C544F3" w:rsidRPr="00720B38">
              <w:rPr>
                <w:b w:val="0"/>
                <w:webHidden/>
                <w:sz w:val="22"/>
                <w:szCs w:val="22"/>
              </w:rPr>
              <w:fldChar w:fldCharType="end"/>
            </w:r>
          </w:hyperlink>
        </w:p>
        <w:p w:rsidR="00C544F3" w:rsidRPr="00720B38" w:rsidRDefault="00D3463E">
          <w:pPr>
            <w:pStyle w:val="TJ2"/>
            <w:rPr>
              <w:rFonts w:asciiTheme="minorHAnsi" w:eastAsiaTheme="minorEastAsia" w:hAnsiTheme="minorHAnsi" w:cstheme="minorBidi"/>
              <w:b w:val="0"/>
              <w:bCs w:val="0"/>
              <w:i w:val="0"/>
              <w:iCs w:val="0"/>
              <w:sz w:val="22"/>
              <w:szCs w:val="22"/>
            </w:rPr>
          </w:pPr>
          <w:hyperlink w:anchor="_Toc489278858" w:history="1">
            <w:r w:rsidR="00C544F3" w:rsidRPr="00720B38">
              <w:rPr>
                <w:rStyle w:val="Hiperhivatkozs"/>
                <w:b w:val="0"/>
                <w:sz w:val="22"/>
                <w:szCs w:val="22"/>
              </w:rPr>
              <w:t>Saját kivitelezésben végzett eszközfenntartás</w:t>
            </w:r>
            <w:r w:rsidR="00C544F3" w:rsidRPr="00720B38">
              <w:rPr>
                <w:b w:val="0"/>
                <w:webHidden/>
                <w:sz w:val="22"/>
                <w:szCs w:val="22"/>
              </w:rPr>
              <w:tab/>
            </w:r>
            <w:r w:rsidR="00C544F3" w:rsidRPr="00720B38">
              <w:rPr>
                <w:b w:val="0"/>
                <w:webHidden/>
                <w:sz w:val="22"/>
                <w:szCs w:val="22"/>
              </w:rPr>
              <w:fldChar w:fldCharType="begin"/>
            </w:r>
            <w:r w:rsidR="00C544F3" w:rsidRPr="00720B38">
              <w:rPr>
                <w:b w:val="0"/>
                <w:webHidden/>
                <w:sz w:val="22"/>
                <w:szCs w:val="22"/>
              </w:rPr>
              <w:instrText xml:space="preserve"> PAGEREF _Toc489278858 \h </w:instrText>
            </w:r>
            <w:r w:rsidR="00C544F3" w:rsidRPr="00720B38">
              <w:rPr>
                <w:b w:val="0"/>
                <w:webHidden/>
                <w:sz w:val="22"/>
                <w:szCs w:val="22"/>
              </w:rPr>
            </w:r>
            <w:r w:rsidR="00C544F3" w:rsidRPr="00720B38">
              <w:rPr>
                <w:b w:val="0"/>
                <w:webHidden/>
                <w:sz w:val="22"/>
                <w:szCs w:val="22"/>
              </w:rPr>
              <w:fldChar w:fldCharType="separate"/>
            </w:r>
            <w:r w:rsidR="002F632D">
              <w:rPr>
                <w:b w:val="0"/>
                <w:webHidden/>
                <w:sz w:val="22"/>
                <w:szCs w:val="22"/>
              </w:rPr>
              <w:t>14</w:t>
            </w:r>
            <w:r w:rsidR="00C544F3" w:rsidRPr="00720B38">
              <w:rPr>
                <w:b w:val="0"/>
                <w:webHidden/>
                <w:sz w:val="22"/>
                <w:szCs w:val="22"/>
              </w:rPr>
              <w:fldChar w:fldCharType="end"/>
            </w:r>
          </w:hyperlink>
        </w:p>
        <w:p w:rsidR="00C544F3" w:rsidRPr="00720B38" w:rsidRDefault="00D3463E">
          <w:pPr>
            <w:pStyle w:val="TJ2"/>
            <w:rPr>
              <w:rFonts w:asciiTheme="minorHAnsi" w:eastAsiaTheme="minorEastAsia" w:hAnsiTheme="minorHAnsi" w:cstheme="minorBidi"/>
              <w:b w:val="0"/>
              <w:bCs w:val="0"/>
              <w:i w:val="0"/>
              <w:iCs w:val="0"/>
              <w:sz w:val="22"/>
              <w:szCs w:val="22"/>
            </w:rPr>
          </w:pPr>
          <w:hyperlink w:anchor="_Toc489278859" w:history="1">
            <w:r w:rsidR="00C544F3" w:rsidRPr="00720B38">
              <w:rPr>
                <w:rStyle w:val="Hiperhivatkozs"/>
                <w:b w:val="0"/>
                <w:sz w:val="22"/>
                <w:szCs w:val="22"/>
              </w:rPr>
              <w:t>Megbízásba adott eszközfenntartás</w:t>
            </w:r>
            <w:r w:rsidR="00C544F3" w:rsidRPr="00720B38">
              <w:rPr>
                <w:b w:val="0"/>
                <w:webHidden/>
                <w:sz w:val="22"/>
                <w:szCs w:val="22"/>
              </w:rPr>
              <w:tab/>
            </w:r>
            <w:r w:rsidR="00C544F3" w:rsidRPr="00720B38">
              <w:rPr>
                <w:b w:val="0"/>
                <w:webHidden/>
                <w:sz w:val="22"/>
                <w:szCs w:val="22"/>
              </w:rPr>
              <w:fldChar w:fldCharType="begin"/>
            </w:r>
            <w:r w:rsidR="00C544F3" w:rsidRPr="00720B38">
              <w:rPr>
                <w:b w:val="0"/>
                <w:webHidden/>
                <w:sz w:val="22"/>
                <w:szCs w:val="22"/>
              </w:rPr>
              <w:instrText xml:space="preserve"> PAGEREF _Toc489278859 \h </w:instrText>
            </w:r>
            <w:r w:rsidR="00C544F3" w:rsidRPr="00720B38">
              <w:rPr>
                <w:b w:val="0"/>
                <w:webHidden/>
                <w:sz w:val="22"/>
                <w:szCs w:val="22"/>
              </w:rPr>
            </w:r>
            <w:r w:rsidR="00C544F3" w:rsidRPr="00720B38">
              <w:rPr>
                <w:b w:val="0"/>
                <w:webHidden/>
                <w:sz w:val="22"/>
                <w:szCs w:val="22"/>
              </w:rPr>
              <w:fldChar w:fldCharType="separate"/>
            </w:r>
            <w:r w:rsidR="002F632D">
              <w:rPr>
                <w:b w:val="0"/>
                <w:webHidden/>
                <w:sz w:val="22"/>
                <w:szCs w:val="22"/>
              </w:rPr>
              <w:t>16</w:t>
            </w:r>
            <w:r w:rsidR="00C544F3" w:rsidRPr="00720B38">
              <w:rPr>
                <w:b w:val="0"/>
                <w:webHidden/>
                <w:sz w:val="22"/>
                <w:szCs w:val="22"/>
              </w:rPr>
              <w:fldChar w:fldCharType="end"/>
            </w:r>
          </w:hyperlink>
        </w:p>
        <w:p w:rsidR="00C544F3" w:rsidRPr="00720B38" w:rsidRDefault="00D3463E" w:rsidP="009F7572">
          <w:pPr>
            <w:pStyle w:val="TJ1"/>
            <w:rPr>
              <w:rFonts w:asciiTheme="minorHAnsi" w:eastAsiaTheme="minorEastAsia" w:hAnsiTheme="minorHAnsi" w:cstheme="minorBidi"/>
              <w:b w:val="0"/>
            </w:rPr>
          </w:pPr>
          <w:hyperlink w:anchor="_Toc489278860" w:history="1">
            <w:r w:rsidR="00C544F3" w:rsidRPr="00720B38">
              <w:rPr>
                <w:rStyle w:val="Hiperhivatkozs"/>
                <w:b w:val="0"/>
              </w:rPr>
              <w:t>Vízminőség, szennyvíztisztítás, környezetvédelem, ellenőrzés</w:t>
            </w:r>
            <w:r w:rsidR="00C544F3" w:rsidRPr="00720B38">
              <w:rPr>
                <w:b w:val="0"/>
                <w:webHidden/>
              </w:rPr>
              <w:tab/>
            </w:r>
            <w:r w:rsidR="00C544F3" w:rsidRPr="00720B38">
              <w:rPr>
                <w:b w:val="0"/>
                <w:webHidden/>
              </w:rPr>
              <w:fldChar w:fldCharType="begin"/>
            </w:r>
            <w:r w:rsidR="00C544F3" w:rsidRPr="00720B38">
              <w:rPr>
                <w:b w:val="0"/>
                <w:webHidden/>
              </w:rPr>
              <w:instrText xml:space="preserve"> PAGEREF _Toc489278860 \h </w:instrText>
            </w:r>
            <w:r w:rsidR="00C544F3" w:rsidRPr="00720B38">
              <w:rPr>
                <w:b w:val="0"/>
                <w:webHidden/>
              </w:rPr>
            </w:r>
            <w:r w:rsidR="00C544F3" w:rsidRPr="00720B38">
              <w:rPr>
                <w:b w:val="0"/>
                <w:webHidden/>
              </w:rPr>
              <w:fldChar w:fldCharType="separate"/>
            </w:r>
            <w:r w:rsidR="002F632D">
              <w:rPr>
                <w:b w:val="0"/>
                <w:webHidden/>
              </w:rPr>
              <w:t>17</w:t>
            </w:r>
            <w:r w:rsidR="00C544F3" w:rsidRPr="00720B38">
              <w:rPr>
                <w:b w:val="0"/>
                <w:webHidden/>
              </w:rPr>
              <w:fldChar w:fldCharType="end"/>
            </w:r>
          </w:hyperlink>
        </w:p>
        <w:p w:rsidR="00C544F3" w:rsidRPr="00720B38" w:rsidRDefault="00D3463E">
          <w:pPr>
            <w:pStyle w:val="TJ2"/>
            <w:rPr>
              <w:rFonts w:asciiTheme="minorHAnsi" w:eastAsiaTheme="minorEastAsia" w:hAnsiTheme="minorHAnsi" w:cstheme="minorBidi"/>
              <w:b w:val="0"/>
              <w:bCs w:val="0"/>
              <w:i w:val="0"/>
              <w:iCs w:val="0"/>
              <w:sz w:val="22"/>
              <w:szCs w:val="22"/>
            </w:rPr>
          </w:pPr>
          <w:hyperlink w:anchor="_Toc489278861" w:history="1">
            <w:r w:rsidR="00C544F3" w:rsidRPr="00720B38">
              <w:rPr>
                <w:rStyle w:val="Hiperhivatkozs"/>
                <w:b w:val="0"/>
                <w:sz w:val="22"/>
                <w:szCs w:val="22"/>
              </w:rPr>
              <w:t>Vízminőség</w:t>
            </w:r>
            <w:r w:rsidR="00C544F3" w:rsidRPr="00720B38">
              <w:rPr>
                <w:b w:val="0"/>
                <w:webHidden/>
                <w:sz w:val="22"/>
                <w:szCs w:val="22"/>
              </w:rPr>
              <w:tab/>
            </w:r>
            <w:r w:rsidR="00C544F3" w:rsidRPr="00720B38">
              <w:rPr>
                <w:b w:val="0"/>
                <w:webHidden/>
                <w:sz w:val="22"/>
                <w:szCs w:val="22"/>
              </w:rPr>
              <w:fldChar w:fldCharType="begin"/>
            </w:r>
            <w:r w:rsidR="00C544F3" w:rsidRPr="00720B38">
              <w:rPr>
                <w:b w:val="0"/>
                <w:webHidden/>
                <w:sz w:val="22"/>
                <w:szCs w:val="22"/>
              </w:rPr>
              <w:instrText xml:space="preserve"> PAGEREF _Toc489278861 \h </w:instrText>
            </w:r>
            <w:r w:rsidR="00C544F3" w:rsidRPr="00720B38">
              <w:rPr>
                <w:b w:val="0"/>
                <w:webHidden/>
                <w:sz w:val="22"/>
                <w:szCs w:val="22"/>
              </w:rPr>
            </w:r>
            <w:r w:rsidR="00C544F3" w:rsidRPr="00720B38">
              <w:rPr>
                <w:b w:val="0"/>
                <w:webHidden/>
                <w:sz w:val="22"/>
                <w:szCs w:val="22"/>
              </w:rPr>
              <w:fldChar w:fldCharType="separate"/>
            </w:r>
            <w:r w:rsidR="002F632D">
              <w:rPr>
                <w:b w:val="0"/>
                <w:webHidden/>
                <w:sz w:val="22"/>
                <w:szCs w:val="22"/>
              </w:rPr>
              <w:t>17</w:t>
            </w:r>
            <w:r w:rsidR="00C544F3" w:rsidRPr="00720B38">
              <w:rPr>
                <w:b w:val="0"/>
                <w:webHidden/>
                <w:sz w:val="22"/>
                <w:szCs w:val="22"/>
              </w:rPr>
              <w:fldChar w:fldCharType="end"/>
            </w:r>
          </w:hyperlink>
        </w:p>
        <w:p w:rsidR="00C544F3" w:rsidRPr="00720B38" w:rsidRDefault="00D3463E">
          <w:pPr>
            <w:pStyle w:val="TJ2"/>
            <w:rPr>
              <w:rFonts w:asciiTheme="minorHAnsi" w:eastAsiaTheme="minorEastAsia" w:hAnsiTheme="minorHAnsi" w:cstheme="minorBidi"/>
              <w:b w:val="0"/>
              <w:bCs w:val="0"/>
              <w:i w:val="0"/>
              <w:iCs w:val="0"/>
              <w:sz w:val="22"/>
              <w:szCs w:val="22"/>
            </w:rPr>
          </w:pPr>
          <w:hyperlink w:anchor="_Toc489278862" w:history="1">
            <w:r w:rsidR="00C544F3" w:rsidRPr="00720B38">
              <w:rPr>
                <w:rStyle w:val="Hiperhivatkozs"/>
                <w:b w:val="0"/>
                <w:sz w:val="22"/>
                <w:szCs w:val="22"/>
              </w:rPr>
              <w:t>A vízminőség megőrzése érdekében végzett tevékenységek</w:t>
            </w:r>
            <w:r w:rsidR="00C544F3" w:rsidRPr="00720B38">
              <w:rPr>
                <w:b w:val="0"/>
                <w:webHidden/>
                <w:sz w:val="22"/>
                <w:szCs w:val="22"/>
              </w:rPr>
              <w:tab/>
            </w:r>
            <w:r w:rsidR="00C544F3" w:rsidRPr="00720B38">
              <w:rPr>
                <w:b w:val="0"/>
                <w:webHidden/>
                <w:sz w:val="22"/>
                <w:szCs w:val="22"/>
              </w:rPr>
              <w:fldChar w:fldCharType="begin"/>
            </w:r>
            <w:r w:rsidR="00C544F3" w:rsidRPr="00720B38">
              <w:rPr>
                <w:b w:val="0"/>
                <w:webHidden/>
                <w:sz w:val="22"/>
                <w:szCs w:val="22"/>
              </w:rPr>
              <w:instrText xml:space="preserve"> PAGEREF _Toc489278862 \h </w:instrText>
            </w:r>
            <w:r w:rsidR="00C544F3" w:rsidRPr="00720B38">
              <w:rPr>
                <w:b w:val="0"/>
                <w:webHidden/>
                <w:sz w:val="22"/>
                <w:szCs w:val="22"/>
              </w:rPr>
            </w:r>
            <w:r w:rsidR="00C544F3" w:rsidRPr="00720B38">
              <w:rPr>
                <w:b w:val="0"/>
                <w:webHidden/>
                <w:sz w:val="22"/>
                <w:szCs w:val="22"/>
              </w:rPr>
              <w:fldChar w:fldCharType="separate"/>
            </w:r>
            <w:r w:rsidR="002F632D">
              <w:rPr>
                <w:b w:val="0"/>
                <w:webHidden/>
                <w:sz w:val="22"/>
                <w:szCs w:val="22"/>
              </w:rPr>
              <w:t>17</w:t>
            </w:r>
            <w:r w:rsidR="00C544F3" w:rsidRPr="00720B38">
              <w:rPr>
                <w:b w:val="0"/>
                <w:webHidden/>
                <w:sz w:val="22"/>
                <w:szCs w:val="22"/>
              </w:rPr>
              <w:fldChar w:fldCharType="end"/>
            </w:r>
          </w:hyperlink>
        </w:p>
        <w:p w:rsidR="00C544F3" w:rsidRPr="00720B38" w:rsidRDefault="00D3463E">
          <w:pPr>
            <w:pStyle w:val="TJ2"/>
            <w:rPr>
              <w:rFonts w:asciiTheme="minorHAnsi" w:eastAsiaTheme="minorEastAsia" w:hAnsiTheme="minorHAnsi" w:cstheme="minorBidi"/>
              <w:b w:val="0"/>
              <w:bCs w:val="0"/>
              <w:i w:val="0"/>
              <w:iCs w:val="0"/>
              <w:sz w:val="22"/>
              <w:szCs w:val="22"/>
            </w:rPr>
          </w:pPr>
          <w:hyperlink w:anchor="_Toc489278863" w:history="1">
            <w:r w:rsidR="00C544F3" w:rsidRPr="00720B38">
              <w:rPr>
                <w:rStyle w:val="Hiperhivatkozs"/>
                <w:b w:val="0"/>
                <w:sz w:val="22"/>
                <w:szCs w:val="22"/>
              </w:rPr>
              <w:t>Ivóvízellátás technológiai vonatkozásai</w:t>
            </w:r>
            <w:r w:rsidR="00C544F3" w:rsidRPr="00720B38">
              <w:rPr>
                <w:b w:val="0"/>
                <w:webHidden/>
                <w:sz w:val="22"/>
                <w:szCs w:val="22"/>
              </w:rPr>
              <w:tab/>
            </w:r>
            <w:r w:rsidR="00C544F3" w:rsidRPr="00720B38">
              <w:rPr>
                <w:b w:val="0"/>
                <w:webHidden/>
                <w:sz w:val="22"/>
                <w:szCs w:val="22"/>
              </w:rPr>
              <w:fldChar w:fldCharType="begin"/>
            </w:r>
            <w:r w:rsidR="00C544F3" w:rsidRPr="00720B38">
              <w:rPr>
                <w:b w:val="0"/>
                <w:webHidden/>
                <w:sz w:val="22"/>
                <w:szCs w:val="22"/>
              </w:rPr>
              <w:instrText xml:space="preserve"> PAGEREF _Toc489278863 \h </w:instrText>
            </w:r>
            <w:r w:rsidR="00C544F3" w:rsidRPr="00720B38">
              <w:rPr>
                <w:b w:val="0"/>
                <w:webHidden/>
                <w:sz w:val="22"/>
                <w:szCs w:val="22"/>
              </w:rPr>
            </w:r>
            <w:r w:rsidR="00C544F3" w:rsidRPr="00720B38">
              <w:rPr>
                <w:b w:val="0"/>
                <w:webHidden/>
                <w:sz w:val="22"/>
                <w:szCs w:val="22"/>
              </w:rPr>
              <w:fldChar w:fldCharType="separate"/>
            </w:r>
            <w:r w:rsidR="002F632D">
              <w:rPr>
                <w:b w:val="0"/>
                <w:webHidden/>
                <w:sz w:val="22"/>
                <w:szCs w:val="22"/>
              </w:rPr>
              <w:t>17</w:t>
            </w:r>
            <w:r w:rsidR="00C544F3" w:rsidRPr="00720B38">
              <w:rPr>
                <w:b w:val="0"/>
                <w:webHidden/>
                <w:sz w:val="22"/>
                <w:szCs w:val="22"/>
              </w:rPr>
              <w:fldChar w:fldCharType="end"/>
            </w:r>
          </w:hyperlink>
        </w:p>
        <w:p w:rsidR="00C544F3" w:rsidRPr="00720B38" w:rsidRDefault="00D3463E">
          <w:pPr>
            <w:pStyle w:val="TJ2"/>
            <w:rPr>
              <w:rFonts w:asciiTheme="minorHAnsi" w:eastAsiaTheme="minorEastAsia" w:hAnsiTheme="minorHAnsi" w:cstheme="minorBidi"/>
              <w:b w:val="0"/>
              <w:bCs w:val="0"/>
              <w:i w:val="0"/>
              <w:iCs w:val="0"/>
              <w:sz w:val="22"/>
              <w:szCs w:val="22"/>
            </w:rPr>
          </w:pPr>
          <w:hyperlink w:anchor="_Toc489278864" w:history="1">
            <w:r w:rsidR="00C544F3" w:rsidRPr="00720B38">
              <w:rPr>
                <w:rStyle w:val="Hiperhivatkozs"/>
                <w:b w:val="0"/>
                <w:sz w:val="22"/>
                <w:szCs w:val="22"/>
              </w:rPr>
              <w:t>KEHOP ivóvízminőség-javító, szennyvízelvezetési és –tisztítási pályázatok</w:t>
            </w:r>
            <w:r w:rsidR="00C544F3" w:rsidRPr="00720B38">
              <w:rPr>
                <w:b w:val="0"/>
                <w:webHidden/>
                <w:sz w:val="22"/>
                <w:szCs w:val="22"/>
              </w:rPr>
              <w:tab/>
            </w:r>
            <w:r w:rsidR="00C544F3" w:rsidRPr="00720B38">
              <w:rPr>
                <w:b w:val="0"/>
                <w:webHidden/>
                <w:sz w:val="22"/>
                <w:szCs w:val="22"/>
              </w:rPr>
              <w:fldChar w:fldCharType="begin"/>
            </w:r>
            <w:r w:rsidR="00C544F3" w:rsidRPr="00720B38">
              <w:rPr>
                <w:b w:val="0"/>
                <w:webHidden/>
                <w:sz w:val="22"/>
                <w:szCs w:val="22"/>
              </w:rPr>
              <w:instrText xml:space="preserve"> PAGEREF _Toc489278864 \h </w:instrText>
            </w:r>
            <w:r w:rsidR="00C544F3" w:rsidRPr="00720B38">
              <w:rPr>
                <w:b w:val="0"/>
                <w:webHidden/>
                <w:sz w:val="22"/>
                <w:szCs w:val="22"/>
              </w:rPr>
            </w:r>
            <w:r w:rsidR="00C544F3" w:rsidRPr="00720B38">
              <w:rPr>
                <w:b w:val="0"/>
                <w:webHidden/>
                <w:sz w:val="22"/>
                <w:szCs w:val="22"/>
              </w:rPr>
              <w:fldChar w:fldCharType="separate"/>
            </w:r>
            <w:r w:rsidR="002F632D">
              <w:rPr>
                <w:b w:val="0"/>
                <w:webHidden/>
                <w:sz w:val="22"/>
                <w:szCs w:val="22"/>
              </w:rPr>
              <w:t>18</w:t>
            </w:r>
            <w:r w:rsidR="00C544F3" w:rsidRPr="00720B38">
              <w:rPr>
                <w:b w:val="0"/>
                <w:webHidden/>
                <w:sz w:val="22"/>
                <w:szCs w:val="22"/>
              </w:rPr>
              <w:fldChar w:fldCharType="end"/>
            </w:r>
          </w:hyperlink>
        </w:p>
        <w:p w:rsidR="00C544F3" w:rsidRPr="00720B38" w:rsidRDefault="00D3463E">
          <w:pPr>
            <w:pStyle w:val="TJ2"/>
            <w:rPr>
              <w:rFonts w:asciiTheme="minorHAnsi" w:eastAsiaTheme="minorEastAsia" w:hAnsiTheme="minorHAnsi" w:cstheme="minorBidi"/>
              <w:b w:val="0"/>
              <w:bCs w:val="0"/>
              <w:i w:val="0"/>
              <w:iCs w:val="0"/>
              <w:sz w:val="22"/>
              <w:szCs w:val="22"/>
            </w:rPr>
          </w:pPr>
          <w:hyperlink w:anchor="_Toc489278865" w:history="1">
            <w:r w:rsidR="00C544F3" w:rsidRPr="00720B38">
              <w:rPr>
                <w:rStyle w:val="Hiperhivatkozs"/>
                <w:b w:val="0"/>
                <w:sz w:val="22"/>
                <w:szCs w:val="22"/>
              </w:rPr>
              <w:t>Szennyvíztisztító telepek üzemelési körülményei</w:t>
            </w:r>
            <w:r w:rsidR="00C544F3" w:rsidRPr="00720B38">
              <w:rPr>
                <w:b w:val="0"/>
                <w:webHidden/>
                <w:sz w:val="22"/>
                <w:szCs w:val="22"/>
              </w:rPr>
              <w:tab/>
            </w:r>
            <w:r w:rsidR="00C544F3" w:rsidRPr="00720B38">
              <w:rPr>
                <w:b w:val="0"/>
                <w:webHidden/>
                <w:sz w:val="22"/>
                <w:szCs w:val="22"/>
              </w:rPr>
              <w:fldChar w:fldCharType="begin"/>
            </w:r>
            <w:r w:rsidR="00C544F3" w:rsidRPr="00720B38">
              <w:rPr>
                <w:b w:val="0"/>
                <w:webHidden/>
                <w:sz w:val="22"/>
                <w:szCs w:val="22"/>
              </w:rPr>
              <w:instrText xml:space="preserve"> PAGEREF _Toc489278865 \h </w:instrText>
            </w:r>
            <w:r w:rsidR="00C544F3" w:rsidRPr="00720B38">
              <w:rPr>
                <w:b w:val="0"/>
                <w:webHidden/>
                <w:sz w:val="22"/>
                <w:szCs w:val="22"/>
              </w:rPr>
            </w:r>
            <w:r w:rsidR="00C544F3" w:rsidRPr="00720B38">
              <w:rPr>
                <w:b w:val="0"/>
                <w:webHidden/>
                <w:sz w:val="22"/>
                <w:szCs w:val="22"/>
              </w:rPr>
              <w:fldChar w:fldCharType="separate"/>
            </w:r>
            <w:r w:rsidR="002F632D">
              <w:rPr>
                <w:b w:val="0"/>
                <w:webHidden/>
                <w:sz w:val="22"/>
                <w:szCs w:val="22"/>
              </w:rPr>
              <w:t>21</w:t>
            </w:r>
            <w:r w:rsidR="00C544F3" w:rsidRPr="00720B38">
              <w:rPr>
                <w:b w:val="0"/>
                <w:webHidden/>
                <w:sz w:val="22"/>
                <w:szCs w:val="22"/>
              </w:rPr>
              <w:fldChar w:fldCharType="end"/>
            </w:r>
          </w:hyperlink>
        </w:p>
        <w:p w:rsidR="00C544F3" w:rsidRPr="00720B38" w:rsidRDefault="00D3463E">
          <w:pPr>
            <w:pStyle w:val="TJ2"/>
            <w:rPr>
              <w:rFonts w:asciiTheme="minorHAnsi" w:eastAsiaTheme="minorEastAsia" w:hAnsiTheme="minorHAnsi" w:cstheme="minorBidi"/>
              <w:b w:val="0"/>
              <w:bCs w:val="0"/>
              <w:i w:val="0"/>
              <w:iCs w:val="0"/>
              <w:sz w:val="22"/>
              <w:szCs w:val="22"/>
            </w:rPr>
          </w:pPr>
          <w:hyperlink w:anchor="_Toc489278866" w:history="1">
            <w:r w:rsidR="00C544F3" w:rsidRPr="00720B38">
              <w:rPr>
                <w:rStyle w:val="Hiperhivatkozs"/>
                <w:b w:val="0"/>
                <w:sz w:val="22"/>
                <w:szCs w:val="22"/>
              </w:rPr>
              <w:t>Szombathely-Kőszeg regionális csatornarendszer szennyvíztisztító telepének működése</w:t>
            </w:r>
            <w:r w:rsidR="00C544F3" w:rsidRPr="00720B38">
              <w:rPr>
                <w:b w:val="0"/>
                <w:webHidden/>
                <w:sz w:val="22"/>
                <w:szCs w:val="22"/>
              </w:rPr>
              <w:tab/>
            </w:r>
            <w:r w:rsidR="00C544F3" w:rsidRPr="00720B38">
              <w:rPr>
                <w:b w:val="0"/>
                <w:webHidden/>
                <w:sz w:val="22"/>
                <w:szCs w:val="22"/>
              </w:rPr>
              <w:fldChar w:fldCharType="begin"/>
            </w:r>
            <w:r w:rsidR="00C544F3" w:rsidRPr="00720B38">
              <w:rPr>
                <w:b w:val="0"/>
                <w:webHidden/>
                <w:sz w:val="22"/>
                <w:szCs w:val="22"/>
              </w:rPr>
              <w:instrText xml:space="preserve"> PAGEREF _Toc489278866 \h </w:instrText>
            </w:r>
            <w:r w:rsidR="00C544F3" w:rsidRPr="00720B38">
              <w:rPr>
                <w:b w:val="0"/>
                <w:webHidden/>
                <w:sz w:val="22"/>
                <w:szCs w:val="22"/>
              </w:rPr>
            </w:r>
            <w:r w:rsidR="00C544F3" w:rsidRPr="00720B38">
              <w:rPr>
                <w:b w:val="0"/>
                <w:webHidden/>
                <w:sz w:val="22"/>
                <w:szCs w:val="22"/>
              </w:rPr>
              <w:fldChar w:fldCharType="separate"/>
            </w:r>
            <w:r w:rsidR="002F632D">
              <w:rPr>
                <w:b w:val="0"/>
                <w:webHidden/>
                <w:sz w:val="22"/>
                <w:szCs w:val="22"/>
              </w:rPr>
              <w:t>21</w:t>
            </w:r>
            <w:r w:rsidR="00C544F3" w:rsidRPr="00720B38">
              <w:rPr>
                <w:b w:val="0"/>
                <w:webHidden/>
                <w:sz w:val="22"/>
                <w:szCs w:val="22"/>
              </w:rPr>
              <w:fldChar w:fldCharType="end"/>
            </w:r>
          </w:hyperlink>
        </w:p>
        <w:p w:rsidR="00C544F3" w:rsidRPr="00720B38" w:rsidRDefault="00D3463E">
          <w:pPr>
            <w:pStyle w:val="TJ2"/>
            <w:rPr>
              <w:rFonts w:asciiTheme="minorHAnsi" w:eastAsiaTheme="minorEastAsia" w:hAnsiTheme="minorHAnsi" w:cstheme="minorBidi"/>
              <w:b w:val="0"/>
              <w:bCs w:val="0"/>
              <w:i w:val="0"/>
              <w:iCs w:val="0"/>
              <w:sz w:val="22"/>
              <w:szCs w:val="22"/>
            </w:rPr>
          </w:pPr>
          <w:hyperlink w:anchor="_Toc489278867" w:history="1">
            <w:r w:rsidR="00C544F3" w:rsidRPr="00720B38">
              <w:rPr>
                <w:rStyle w:val="Hiperhivatkozs"/>
                <w:b w:val="0"/>
                <w:sz w:val="22"/>
                <w:szCs w:val="22"/>
              </w:rPr>
              <w:t>Szennyvíziszap elhelyezés, környezetvédelem</w:t>
            </w:r>
            <w:r w:rsidR="00C544F3" w:rsidRPr="00720B38">
              <w:rPr>
                <w:b w:val="0"/>
                <w:webHidden/>
                <w:sz w:val="22"/>
                <w:szCs w:val="22"/>
              </w:rPr>
              <w:tab/>
            </w:r>
            <w:r w:rsidR="00C544F3" w:rsidRPr="00720B38">
              <w:rPr>
                <w:b w:val="0"/>
                <w:webHidden/>
                <w:sz w:val="22"/>
                <w:szCs w:val="22"/>
              </w:rPr>
              <w:fldChar w:fldCharType="begin"/>
            </w:r>
            <w:r w:rsidR="00C544F3" w:rsidRPr="00720B38">
              <w:rPr>
                <w:b w:val="0"/>
                <w:webHidden/>
                <w:sz w:val="22"/>
                <w:szCs w:val="22"/>
              </w:rPr>
              <w:instrText xml:space="preserve"> PAGEREF _Toc489278867 \h </w:instrText>
            </w:r>
            <w:r w:rsidR="00C544F3" w:rsidRPr="00720B38">
              <w:rPr>
                <w:b w:val="0"/>
                <w:webHidden/>
                <w:sz w:val="22"/>
                <w:szCs w:val="22"/>
              </w:rPr>
            </w:r>
            <w:r w:rsidR="00C544F3" w:rsidRPr="00720B38">
              <w:rPr>
                <w:b w:val="0"/>
                <w:webHidden/>
                <w:sz w:val="22"/>
                <w:szCs w:val="22"/>
              </w:rPr>
              <w:fldChar w:fldCharType="separate"/>
            </w:r>
            <w:r w:rsidR="002F632D">
              <w:rPr>
                <w:b w:val="0"/>
                <w:webHidden/>
                <w:sz w:val="22"/>
                <w:szCs w:val="22"/>
              </w:rPr>
              <w:t>22</w:t>
            </w:r>
            <w:r w:rsidR="00C544F3" w:rsidRPr="00720B38">
              <w:rPr>
                <w:b w:val="0"/>
                <w:webHidden/>
                <w:sz w:val="22"/>
                <w:szCs w:val="22"/>
              </w:rPr>
              <w:fldChar w:fldCharType="end"/>
            </w:r>
          </w:hyperlink>
        </w:p>
        <w:p w:rsidR="00C544F3" w:rsidRPr="00720B38" w:rsidRDefault="00D3463E">
          <w:pPr>
            <w:pStyle w:val="TJ2"/>
            <w:rPr>
              <w:rFonts w:asciiTheme="minorHAnsi" w:eastAsiaTheme="minorEastAsia" w:hAnsiTheme="minorHAnsi" w:cstheme="minorBidi"/>
              <w:b w:val="0"/>
              <w:bCs w:val="0"/>
              <w:i w:val="0"/>
              <w:iCs w:val="0"/>
              <w:sz w:val="22"/>
              <w:szCs w:val="22"/>
            </w:rPr>
          </w:pPr>
          <w:hyperlink w:anchor="_Toc489278868" w:history="1">
            <w:r w:rsidR="00C544F3" w:rsidRPr="00720B38">
              <w:rPr>
                <w:rStyle w:val="Hiperhivatkozs"/>
                <w:b w:val="0"/>
                <w:sz w:val="22"/>
                <w:szCs w:val="22"/>
              </w:rPr>
              <w:t>Üzemellenőrzés, csatornabírság</w:t>
            </w:r>
            <w:r w:rsidR="00C544F3" w:rsidRPr="00720B38">
              <w:rPr>
                <w:b w:val="0"/>
                <w:webHidden/>
                <w:sz w:val="22"/>
                <w:szCs w:val="22"/>
              </w:rPr>
              <w:tab/>
            </w:r>
            <w:r w:rsidR="00C544F3" w:rsidRPr="00720B38">
              <w:rPr>
                <w:b w:val="0"/>
                <w:webHidden/>
                <w:sz w:val="22"/>
                <w:szCs w:val="22"/>
              </w:rPr>
              <w:fldChar w:fldCharType="begin"/>
            </w:r>
            <w:r w:rsidR="00C544F3" w:rsidRPr="00720B38">
              <w:rPr>
                <w:b w:val="0"/>
                <w:webHidden/>
                <w:sz w:val="22"/>
                <w:szCs w:val="22"/>
              </w:rPr>
              <w:instrText xml:space="preserve"> PAGEREF _Toc489278868 \h </w:instrText>
            </w:r>
            <w:r w:rsidR="00C544F3" w:rsidRPr="00720B38">
              <w:rPr>
                <w:b w:val="0"/>
                <w:webHidden/>
                <w:sz w:val="22"/>
                <w:szCs w:val="22"/>
              </w:rPr>
            </w:r>
            <w:r w:rsidR="00C544F3" w:rsidRPr="00720B38">
              <w:rPr>
                <w:b w:val="0"/>
                <w:webHidden/>
                <w:sz w:val="22"/>
                <w:szCs w:val="22"/>
              </w:rPr>
              <w:fldChar w:fldCharType="separate"/>
            </w:r>
            <w:r w:rsidR="002F632D">
              <w:rPr>
                <w:b w:val="0"/>
                <w:webHidden/>
                <w:sz w:val="22"/>
                <w:szCs w:val="22"/>
              </w:rPr>
              <w:t>23</w:t>
            </w:r>
            <w:r w:rsidR="00C544F3" w:rsidRPr="00720B38">
              <w:rPr>
                <w:b w:val="0"/>
                <w:webHidden/>
                <w:sz w:val="22"/>
                <w:szCs w:val="22"/>
              </w:rPr>
              <w:fldChar w:fldCharType="end"/>
            </w:r>
          </w:hyperlink>
        </w:p>
        <w:p w:rsidR="00C544F3" w:rsidRPr="00720B38" w:rsidRDefault="00D3463E">
          <w:pPr>
            <w:pStyle w:val="TJ2"/>
            <w:rPr>
              <w:rFonts w:asciiTheme="minorHAnsi" w:eastAsiaTheme="minorEastAsia" w:hAnsiTheme="minorHAnsi" w:cstheme="minorBidi"/>
              <w:b w:val="0"/>
              <w:bCs w:val="0"/>
              <w:i w:val="0"/>
              <w:iCs w:val="0"/>
              <w:sz w:val="22"/>
              <w:szCs w:val="22"/>
            </w:rPr>
          </w:pPr>
          <w:hyperlink w:anchor="_Toc489278869" w:history="1">
            <w:r w:rsidR="00C544F3" w:rsidRPr="00720B38">
              <w:rPr>
                <w:rStyle w:val="Hiperhivatkozs"/>
                <w:b w:val="0"/>
                <w:sz w:val="22"/>
                <w:szCs w:val="22"/>
              </w:rPr>
              <w:t>Hatósági ellenőrzés, szennyvízbírság</w:t>
            </w:r>
            <w:r w:rsidR="00C544F3" w:rsidRPr="00720B38">
              <w:rPr>
                <w:b w:val="0"/>
                <w:webHidden/>
                <w:sz w:val="22"/>
                <w:szCs w:val="22"/>
              </w:rPr>
              <w:tab/>
            </w:r>
            <w:r w:rsidR="00C544F3" w:rsidRPr="00720B38">
              <w:rPr>
                <w:b w:val="0"/>
                <w:webHidden/>
                <w:sz w:val="22"/>
                <w:szCs w:val="22"/>
              </w:rPr>
              <w:fldChar w:fldCharType="begin"/>
            </w:r>
            <w:r w:rsidR="00C544F3" w:rsidRPr="00720B38">
              <w:rPr>
                <w:b w:val="0"/>
                <w:webHidden/>
                <w:sz w:val="22"/>
                <w:szCs w:val="22"/>
              </w:rPr>
              <w:instrText xml:space="preserve"> PAGEREF _Toc489278869 \h </w:instrText>
            </w:r>
            <w:r w:rsidR="00C544F3" w:rsidRPr="00720B38">
              <w:rPr>
                <w:b w:val="0"/>
                <w:webHidden/>
                <w:sz w:val="22"/>
                <w:szCs w:val="22"/>
              </w:rPr>
            </w:r>
            <w:r w:rsidR="00C544F3" w:rsidRPr="00720B38">
              <w:rPr>
                <w:b w:val="0"/>
                <w:webHidden/>
                <w:sz w:val="22"/>
                <w:szCs w:val="22"/>
              </w:rPr>
              <w:fldChar w:fldCharType="separate"/>
            </w:r>
            <w:r w:rsidR="002F632D">
              <w:rPr>
                <w:b w:val="0"/>
                <w:webHidden/>
                <w:sz w:val="22"/>
                <w:szCs w:val="22"/>
              </w:rPr>
              <w:t>23</w:t>
            </w:r>
            <w:r w:rsidR="00C544F3" w:rsidRPr="00720B38">
              <w:rPr>
                <w:b w:val="0"/>
                <w:webHidden/>
                <w:sz w:val="22"/>
                <w:szCs w:val="22"/>
              </w:rPr>
              <w:fldChar w:fldCharType="end"/>
            </w:r>
          </w:hyperlink>
        </w:p>
        <w:p w:rsidR="00C544F3" w:rsidRPr="00720B38" w:rsidRDefault="00D3463E" w:rsidP="009F7572">
          <w:pPr>
            <w:pStyle w:val="TJ1"/>
            <w:rPr>
              <w:rFonts w:asciiTheme="minorHAnsi" w:eastAsiaTheme="minorEastAsia" w:hAnsiTheme="minorHAnsi" w:cstheme="minorBidi"/>
              <w:b w:val="0"/>
            </w:rPr>
          </w:pPr>
          <w:hyperlink w:anchor="_Toc489278870" w:history="1">
            <w:r w:rsidR="00C544F3" w:rsidRPr="00720B38">
              <w:rPr>
                <w:rStyle w:val="Hiperhivatkozs"/>
                <w:b w:val="0"/>
              </w:rPr>
              <w:t>Létszám- és bérgazdálkodás</w:t>
            </w:r>
            <w:r w:rsidR="00C544F3" w:rsidRPr="00720B38">
              <w:rPr>
                <w:b w:val="0"/>
                <w:webHidden/>
              </w:rPr>
              <w:tab/>
            </w:r>
            <w:r w:rsidR="00C544F3" w:rsidRPr="00720B38">
              <w:rPr>
                <w:b w:val="0"/>
                <w:webHidden/>
              </w:rPr>
              <w:fldChar w:fldCharType="begin"/>
            </w:r>
            <w:r w:rsidR="00C544F3" w:rsidRPr="00720B38">
              <w:rPr>
                <w:b w:val="0"/>
                <w:webHidden/>
              </w:rPr>
              <w:instrText xml:space="preserve"> PAGEREF _Toc489278870 \h </w:instrText>
            </w:r>
            <w:r w:rsidR="00C544F3" w:rsidRPr="00720B38">
              <w:rPr>
                <w:b w:val="0"/>
                <w:webHidden/>
              </w:rPr>
            </w:r>
            <w:r w:rsidR="00C544F3" w:rsidRPr="00720B38">
              <w:rPr>
                <w:b w:val="0"/>
                <w:webHidden/>
              </w:rPr>
              <w:fldChar w:fldCharType="separate"/>
            </w:r>
            <w:r w:rsidR="002F632D">
              <w:rPr>
                <w:b w:val="0"/>
                <w:webHidden/>
              </w:rPr>
              <w:t>23</w:t>
            </w:r>
            <w:r w:rsidR="00C544F3" w:rsidRPr="00720B38">
              <w:rPr>
                <w:b w:val="0"/>
                <w:webHidden/>
              </w:rPr>
              <w:fldChar w:fldCharType="end"/>
            </w:r>
          </w:hyperlink>
        </w:p>
        <w:p w:rsidR="00C544F3" w:rsidRPr="00720B38" w:rsidRDefault="00D3463E" w:rsidP="009F7572">
          <w:pPr>
            <w:pStyle w:val="TJ1"/>
            <w:rPr>
              <w:rFonts w:asciiTheme="minorHAnsi" w:eastAsiaTheme="minorEastAsia" w:hAnsiTheme="minorHAnsi" w:cstheme="minorBidi"/>
              <w:b w:val="0"/>
            </w:rPr>
          </w:pPr>
          <w:hyperlink w:anchor="_Toc489278871" w:history="1">
            <w:r w:rsidR="00C544F3" w:rsidRPr="00720B38">
              <w:rPr>
                <w:rStyle w:val="Hiperhivatkozs"/>
                <w:b w:val="0"/>
              </w:rPr>
              <w:t>Pénzügyi helyzet</w:t>
            </w:r>
            <w:r w:rsidR="00C544F3" w:rsidRPr="00720B38">
              <w:rPr>
                <w:b w:val="0"/>
                <w:webHidden/>
              </w:rPr>
              <w:tab/>
            </w:r>
            <w:r w:rsidR="00C544F3" w:rsidRPr="00720B38">
              <w:rPr>
                <w:b w:val="0"/>
                <w:webHidden/>
              </w:rPr>
              <w:fldChar w:fldCharType="begin"/>
            </w:r>
            <w:r w:rsidR="00C544F3" w:rsidRPr="00720B38">
              <w:rPr>
                <w:b w:val="0"/>
                <w:webHidden/>
              </w:rPr>
              <w:instrText xml:space="preserve"> PAGEREF _Toc489278871 \h </w:instrText>
            </w:r>
            <w:r w:rsidR="00C544F3" w:rsidRPr="00720B38">
              <w:rPr>
                <w:b w:val="0"/>
                <w:webHidden/>
              </w:rPr>
            </w:r>
            <w:r w:rsidR="00C544F3" w:rsidRPr="00720B38">
              <w:rPr>
                <w:b w:val="0"/>
                <w:webHidden/>
              </w:rPr>
              <w:fldChar w:fldCharType="separate"/>
            </w:r>
            <w:r w:rsidR="002F632D">
              <w:rPr>
                <w:b w:val="0"/>
                <w:webHidden/>
              </w:rPr>
              <w:t>24</w:t>
            </w:r>
            <w:r w:rsidR="00C544F3" w:rsidRPr="00720B38">
              <w:rPr>
                <w:b w:val="0"/>
                <w:webHidden/>
              </w:rPr>
              <w:fldChar w:fldCharType="end"/>
            </w:r>
          </w:hyperlink>
        </w:p>
        <w:p w:rsidR="004975F5" w:rsidRDefault="004975F5">
          <w:r w:rsidRPr="00720B38">
            <w:rPr>
              <w:bCs/>
              <w:sz w:val="22"/>
              <w:szCs w:val="22"/>
            </w:rPr>
            <w:fldChar w:fldCharType="end"/>
          </w:r>
        </w:p>
      </w:sdtContent>
    </w:sdt>
    <w:p w:rsidR="004D6626" w:rsidRPr="004D6626" w:rsidRDefault="004D6626" w:rsidP="004D6626">
      <w:pPr>
        <w:tabs>
          <w:tab w:val="center" w:pos="2410"/>
          <w:tab w:val="center" w:pos="3686"/>
          <w:tab w:val="center" w:pos="5529"/>
          <w:tab w:val="center" w:pos="6663"/>
          <w:tab w:val="center" w:pos="8080"/>
          <w:tab w:val="center" w:pos="9072"/>
          <w:tab w:val="center" w:pos="9214"/>
        </w:tabs>
        <w:jc w:val="center"/>
        <w:rPr>
          <w:b/>
          <w:sz w:val="24"/>
          <w:szCs w:val="24"/>
        </w:rPr>
      </w:pPr>
    </w:p>
    <w:p w:rsidR="00BF703A" w:rsidRDefault="00BF703A">
      <w:pPr>
        <w:tabs>
          <w:tab w:val="center" w:pos="2410"/>
          <w:tab w:val="center" w:pos="3686"/>
          <w:tab w:val="center" w:pos="5529"/>
          <w:tab w:val="center" w:pos="6663"/>
          <w:tab w:val="center" w:pos="8080"/>
          <w:tab w:val="center" w:pos="9072"/>
          <w:tab w:val="center" w:pos="9214"/>
        </w:tabs>
        <w:jc w:val="both"/>
        <w:rPr>
          <w:sz w:val="24"/>
          <w:szCs w:val="24"/>
        </w:rPr>
        <w:sectPr w:rsidR="00BF703A" w:rsidSect="004265FB">
          <w:headerReference w:type="default" r:id="rId9"/>
          <w:footerReference w:type="even" r:id="rId10"/>
          <w:footerReference w:type="default" r:id="rId11"/>
          <w:headerReference w:type="first" r:id="rId12"/>
          <w:footerReference w:type="first" r:id="rId13"/>
          <w:pgSz w:w="11907" w:h="16840"/>
          <w:pgMar w:top="1134" w:right="1276" w:bottom="1418" w:left="1134" w:header="709" w:footer="907" w:gutter="0"/>
          <w:pgNumType w:start="0"/>
          <w:cols w:space="708"/>
          <w:titlePg/>
        </w:sectPr>
      </w:pPr>
    </w:p>
    <w:p w:rsidR="00E8097E" w:rsidRPr="00545E7D" w:rsidRDefault="00E8097E">
      <w:pPr>
        <w:tabs>
          <w:tab w:val="center" w:pos="2410"/>
          <w:tab w:val="center" w:pos="3686"/>
          <w:tab w:val="center" w:pos="5529"/>
          <w:tab w:val="center" w:pos="6663"/>
          <w:tab w:val="center" w:pos="8080"/>
          <w:tab w:val="center" w:pos="9072"/>
          <w:tab w:val="center" w:pos="9214"/>
        </w:tabs>
        <w:jc w:val="both"/>
        <w:rPr>
          <w:sz w:val="24"/>
          <w:szCs w:val="24"/>
        </w:rPr>
      </w:pPr>
    </w:p>
    <w:p w:rsidR="00E8097E" w:rsidRPr="00883EC9" w:rsidRDefault="00E8097E" w:rsidP="00DF270C">
      <w:pPr>
        <w:pStyle w:val="Cmsor1"/>
        <w:tabs>
          <w:tab w:val="clear" w:pos="851"/>
        </w:tabs>
        <w:ind w:left="0"/>
        <w:rPr>
          <w:b/>
          <w:bCs/>
          <w:i/>
          <w:iCs/>
          <w:sz w:val="26"/>
        </w:rPr>
      </w:pPr>
      <w:bookmarkStart w:id="0" w:name="_Toc330999123"/>
      <w:bookmarkStart w:id="1" w:name="_Toc331589974"/>
      <w:bookmarkStart w:id="2" w:name="_Toc489278843"/>
      <w:r w:rsidRPr="00883EC9">
        <w:rPr>
          <w:b/>
          <w:bCs/>
          <w:i/>
          <w:iCs/>
          <w:sz w:val="26"/>
        </w:rPr>
        <w:t>A részvénytársaság tevékenysége</w:t>
      </w:r>
      <w:bookmarkEnd w:id="0"/>
      <w:bookmarkEnd w:id="1"/>
      <w:bookmarkEnd w:id="2"/>
    </w:p>
    <w:p w:rsidR="00E8097E" w:rsidRPr="0093718B" w:rsidRDefault="00E8097E" w:rsidP="00E87708">
      <w:pPr>
        <w:ind w:right="142"/>
        <w:jc w:val="both"/>
      </w:pPr>
    </w:p>
    <w:p w:rsidR="001D0169" w:rsidRPr="00545E7D" w:rsidRDefault="001D0169" w:rsidP="00EB063B">
      <w:pPr>
        <w:ind w:right="142"/>
        <w:jc w:val="both"/>
        <w:rPr>
          <w:bCs/>
          <w:sz w:val="24"/>
          <w:szCs w:val="24"/>
        </w:rPr>
      </w:pPr>
      <w:r w:rsidRPr="00545E7D">
        <w:rPr>
          <w:sz w:val="24"/>
          <w:szCs w:val="24"/>
        </w:rPr>
        <w:t>A M</w:t>
      </w:r>
      <w:r w:rsidR="00D113E0" w:rsidRPr="00545E7D">
        <w:rPr>
          <w:sz w:val="24"/>
          <w:szCs w:val="24"/>
        </w:rPr>
        <w:t>agyar Energetikai és Közmű-szabályozási Hivatal (továbbiakban M</w:t>
      </w:r>
      <w:r w:rsidRPr="00545E7D">
        <w:rPr>
          <w:sz w:val="24"/>
          <w:szCs w:val="24"/>
        </w:rPr>
        <w:t>EKH</w:t>
      </w:r>
      <w:r w:rsidR="00D113E0" w:rsidRPr="00545E7D">
        <w:rPr>
          <w:sz w:val="24"/>
          <w:szCs w:val="24"/>
        </w:rPr>
        <w:t>)</w:t>
      </w:r>
      <w:r w:rsidRPr="00545E7D">
        <w:rPr>
          <w:sz w:val="24"/>
          <w:szCs w:val="24"/>
        </w:rPr>
        <w:t xml:space="preserve"> a 2013. november 7-én kelt 1970/2013. sz. határozatában adta ki társaságunk részére a </w:t>
      </w:r>
      <w:r w:rsidRPr="00545E7D">
        <w:rPr>
          <w:b/>
          <w:i/>
          <w:sz w:val="24"/>
          <w:szCs w:val="24"/>
        </w:rPr>
        <w:t>víziközmű-szolgáltatói működési engedélyt</w:t>
      </w:r>
      <w:r w:rsidRPr="00545E7D">
        <w:rPr>
          <w:sz w:val="24"/>
          <w:szCs w:val="24"/>
        </w:rPr>
        <w:t xml:space="preserve">, amelyet a </w:t>
      </w:r>
      <w:r w:rsidR="00790FBA" w:rsidRPr="00545E7D">
        <w:rPr>
          <w:sz w:val="24"/>
          <w:szCs w:val="24"/>
        </w:rPr>
        <w:t xml:space="preserve">2015. február 24-én kelt 649/2015. </w:t>
      </w:r>
      <w:r w:rsidR="00E906F1" w:rsidRPr="00545E7D">
        <w:rPr>
          <w:sz w:val="24"/>
          <w:szCs w:val="24"/>
        </w:rPr>
        <w:t>1. számú</w:t>
      </w:r>
      <w:r w:rsidR="00EB063B" w:rsidRPr="00545E7D">
        <w:rPr>
          <w:sz w:val="24"/>
          <w:szCs w:val="24"/>
        </w:rPr>
        <w:t xml:space="preserve">, </w:t>
      </w:r>
      <w:r w:rsidR="002C5DC6" w:rsidRPr="00545E7D">
        <w:rPr>
          <w:sz w:val="24"/>
          <w:szCs w:val="24"/>
        </w:rPr>
        <w:t xml:space="preserve">majd </w:t>
      </w:r>
      <w:r w:rsidR="00EB063B" w:rsidRPr="00545E7D">
        <w:rPr>
          <w:sz w:val="24"/>
          <w:szCs w:val="24"/>
        </w:rPr>
        <w:t xml:space="preserve">a </w:t>
      </w:r>
      <w:r w:rsidR="00AE37B9" w:rsidRPr="00545E7D">
        <w:rPr>
          <w:bCs/>
          <w:sz w:val="24"/>
          <w:szCs w:val="24"/>
        </w:rPr>
        <w:t xml:space="preserve">2016. május 20-tól hatályos 3406/2016. számú határozatával </w:t>
      </w:r>
      <w:r w:rsidR="002C5DC6" w:rsidRPr="00545E7D">
        <w:rPr>
          <w:bCs/>
          <w:sz w:val="24"/>
          <w:szCs w:val="24"/>
        </w:rPr>
        <w:t>módosított.</w:t>
      </w:r>
    </w:p>
    <w:p w:rsidR="00EB063B" w:rsidRPr="00E445DB" w:rsidRDefault="00EB063B" w:rsidP="00EB063B">
      <w:pPr>
        <w:pStyle w:val="Szvegtrzs"/>
        <w:ind w:right="34"/>
        <w:rPr>
          <w:szCs w:val="24"/>
        </w:rPr>
      </w:pPr>
      <w:r w:rsidRPr="00545E7D">
        <w:rPr>
          <w:szCs w:val="24"/>
        </w:rPr>
        <w:t xml:space="preserve">A működési engedély </w:t>
      </w:r>
      <w:r w:rsidRPr="00545E7D">
        <w:rPr>
          <w:i/>
          <w:szCs w:val="24"/>
        </w:rPr>
        <w:t>3. sz. módosítási</w:t>
      </w:r>
      <w:r w:rsidRPr="00545E7D">
        <w:rPr>
          <w:szCs w:val="24"/>
        </w:rPr>
        <w:t xml:space="preserve"> kérelmét 2016. augusztus 3-án nyújtottuk be, amelynek </w:t>
      </w:r>
      <w:r w:rsidRPr="00E445DB">
        <w:rPr>
          <w:szCs w:val="24"/>
        </w:rPr>
        <w:t xml:space="preserve">tárgya Hegyháthodász szennyvízelvezetési és –tisztítási rendszer vonatkozásában az engedély határozatlan idejűvé tétele és új, határozatlan idejű engedély kérése </w:t>
      </w:r>
      <w:r w:rsidR="00017258" w:rsidRPr="00E445DB">
        <w:rPr>
          <w:szCs w:val="24"/>
        </w:rPr>
        <w:t xml:space="preserve">– </w:t>
      </w:r>
      <w:r w:rsidR="002C5DC6" w:rsidRPr="00E445DB">
        <w:rPr>
          <w:szCs w:val="24"/>
        </w:rPr>
        <w:t>a</w:t>
      </w:r>
      <w:r w:rsidR="00017258" w:rsidRPr="00E445DB">
        <w:rPr>
          <w:szCs w:val="24"/>
        </w:rPr>
        <w:t xml:space="preserve">z időközben </w:t>
      </w:r>
      <w:r w:rsidR="002C5DC6" w:rsidRPr="00E445DB">
        <w:rPr>
          <w:szCs w:val="24"/>
        </w:rPr>
        <w:t xml:space="preserve">2017. december 31-ig </w:t>
      </w:r>
      <w:r w:rsidR="00017258" w:rsidRPr="00E445DB">
        <w:rPr>
          <w:szCs w:val="24"/>
        </w:rPr>
        <w:t xml:space="preserve">meghosszabbított - </w:t>
      </w:r>
      <w:r w:rsidR="002C5DC6" w:rsidRPr="00E445DB">
        <w:rPr>
          <w:szCs w:val="24"/>
        </w:rPr>
        <w:t xml:space="preserve">közérdekű üzemeltetésre kijelölt </w:t>
      </w:r>
      <w:r w:rsidRPr="00E445DB">
        <w:rPr>
          <w:szCs w:val="24"/>
        </w:rPr>
        <w:t xml:space="preserve">Őriszentpéter és Bajánsenye szennyvízelvezetési és –tisztítási rendszerekre. </w:t>
      </w:r>
      <w:r w:rsidR="00017258" w:rsidRPr="00E445DB">
        <w:rPr>
          <w:szCs w:val="24"/>
        </w:rPr>
        <w:t>Hegyháthodász szennyvízrendszer j</w:t>
      </w:r>
      <w:r w:rsidRPr="00E445DB">
        <w:rPr>
          <w:szCs w:val="24"/>
        </w:rPr>
        <w:t xml:space="preserve">óváhagyott működési engedélye 2017. február 21-től, Őriszentpéter és Bajánsenye szennyvízrendszeré 2017. március </w:t>
      </w:r>
      <w:r w:rsidR="00766EB8" w:rsidRPr="00E445DB">
        <w:rPr>
          <w:szCs w:val="24"/>
        </w:rPr>
        <w:t>2-tő</w:t>
      </w:r>
      <w:r w:rsidRPr="00E445DB">
        <w:rPr>
          <w:szCs w:val="24"/>
        </w:rPr>
        <w:t xml:space="preserve">l érvényes. </w:t>
      </w:r>
    </w:p>
    <w:p w:rsidR="00EB063B" w:rsidRPr="00545E7D" w:rsidRDefault="00EB063B" w:rsidP="00BF703A">
      <w:pPr>
        <w:pStyle w:val="Szvegtrzs"/>
        <w:ind w:right="34"/>
        <w:rPr>
          <w:szCs w:val="24"/>
        </w:rPr>
      </w:pPr>
      <w:r w:rsidRPr="00E445DB">
        <w:rPr>
          <w:szCs w:val="24"/>
        </w:rPr>
        <w:t xml:space="preserve">A </w:t>
      </w:r>
      <w:proofErr w:type="spellStart"/>
      <w:r w:rsidRPr="00E445DB">
        <w:rPr>
          <w:szCs w:val="24"/>
        </w:rPr>
        <w:t>Vksztv</w:t>
      </w:r>
      <w:proofErr w:type="spellEnd"/>
      <w:r w:rsidRPr="00E445DB">
        <w:rPr>
          <w:szCs w:val="24"/>
        </w:rPr>
        <w:t xml:space="preserve">. 2016. július 4-től hatályos módosítása okán a MEKH hivatalból 2016. szeptember 16-án 4058/2016 számon </w:t>
      </w:r>
      <w:r w:rsidRPr="00E445DB">
        <w:rPr>
          <w:i/>
          <w:szCs w:val="24"/>
        </w:rPr>
        <w:t>víziközmű-szolgáltatói engedélyt</w:t>
      </w:r>
      <w:r w:rsidRPr="00E445DB">
        <w:rPr>
          <w:szCs w:val="24"/>
        </w:rPr>
        <w:t xml:space="preserve"> adott ki a VASIVÍZ </w:t>
      </w:r>
      <w:proofErr w:type="spellStart"/>
      <w:r w:rsidRPr="00E445DB">
        <w:rPr>
          <w:szCs w:val="24"/>
        </w:rPr>
        <w:t>ZRt</w:t>
      </w:r>
      <w:proofErr w:type="spellEnd"/>
      <w:r w:rsidRPr="00E445DB">
        <w:rPr>
          <w:szCs w:val="24"/>
        </w:rPr>
        <w:t xml:space="preserve">. részére, majd 2016. október 10-én vettük kézhez a </w:t>
      </w:r>
      <w:proofErr w:type="spellStart"/>
      <w:r w:rsidRPr="00E445DB">
        <w:rPr>
          <w:i/>
          <w:szCs w:val="24"/>
        </w:rPr>
        <w:t>víziközmű</w:t>
      </w:r>
      <w:proofErr w:type="spellEnd"/>
      <w:r w:rsidRPr="00E445DB">
        <w:rPr>
          <w:i/>
          <w:szCs w:val="24"/>
        </w:rPr>
        <w:t xml:space="preserve"> rendszerekre</w:t>
      </w:r>
      <w:r w:rsidRPr="00E445DB">
        <w:rPr>
          <w:szCs w:val="24"/>
        </w:rPr>
        <w:t xml:space="preserve"> a MEKH által kiadott külön-külön </w:t>
      </w:r>
      <w:r w:rsidRPr="00E445DB">
        <w:rPr>
          <w:i/>
          <w:szCs w:val="24"/>
        </w:rPr>
        <w:t>működési</w:t>
      </w:r>
      <w:r w:rsidRPr="00545E7D">
        <w:rPr>
          <w:i/>
          <w:szCs w:val="24"/>
        </w:rPr>
        <w:t xml:space="preserve"> engedélyek</w:t>
      </w:r>
      <w:r w:rsidRPr="00545E7D">
        <w:rPr>
          <w:szCs w:val="24"/>
        </w:rPr>
        <w:t xml:space="preserve">et. </w:t>
      </w:r>
    </w:p>
    <w:p w:rsidR="00EB063B" w:rsidRPr="00545E7D" w:rsidRDefault="00EB063B" w:rsidP="00BF703A">
      <w:pPr>
        <w:ind w:right="34"/>
        <w:jc w:val="both"/>
        <w:rPr>
          <w:sz w:val="24"/>
          <w:szCs w:val="24"/>
        </w:rPr>
      </w:pPr>
    </w:p>
    <w:p w:rsidR="001D0169" w:rsidRPr="00545E7D" w:rsidRDefault="001D0169" w:rsidP="00BF703A">
      <w:pPr>
        <w:pStyle w:val="Szvegtrzs"/>
        <w:ind w:right="34"/>
        <w:rPr>
          <w:szCs w:val="24"/>
        </w:rPr>
      </w:pPr>
      <w:r w:rsidRPr="00545E7D">
        <w:rPr>
          <w:szCs w:val="24"/>
        </w:rPr>
        <w:t xml:space="preserve">A </w:t>
      </w:r>
      <w:proofErr w:type="spellStart"/>
      <w:r w:rsidRPr="00545E7D">
        <w:rPr>
          <w:szCs w:val="24"/>
        </w:rPr>
        <w:t>Vksztv</w:t>
      </w:r>
      <w:proofErr w:type="spellEnd"/>
      <w:r w:rsidRPr="00545E7D">
        <w:rPr>
          <w:szCs w:val="24"/>
        </w:rPr>
        <w:t xml:space="preserve"> egyes rendelkezéseinek végrehajtásáról szóló 58/2013. (II. 27.) Korm. rendelet 29. § szerint </w:t>
      </w:r>
      <w:r w:rsidRPr="00545E7D">
        <w:rPr>
          <w:i/>
          <w:iCs/>
          <w:szCs w:val="24"/>
        </w:rPr>
        <w:t>a Hivatal legalább háromévente ellenőrzi</w:t>
      </w:r>
      <w:r w:rsidRPr="00545E7D">
        <w:rPr>
          <w:szCs w:val="24"/>
        </w:rPr>
        <w:t xml:space="preserve"> a működési engedélyben foglalt feltételeknek való megfelelőséget.</w:t>
      </w:r>
      <w:r w:rsidR="00AE37B9" w:rsidRPr="00545E7D">
        <w:rPr>
          <w:szCs w:val="24"/>
        </w:rPr>
        <w:t xml:space="preserve"> </w:t>
      </w:r>
      <w:r w:rsidR="003F21BA" w:rsidRPr="00545E7D">
        <w:rPr>
          <w:szCs w:val="24"/>
        </w:rPr>
        <w:t>A MEKH 2016. július 25-én érkezett végzése szerint társaságunknál 2016. július 18-án indították az átfogó ellenőrzést a 2014. január 1-2015. december 31. közötti időszakra.</w:t>
      </w:r>
    </w:p>
    <w:p w:rsidR="009F0180" w:rsidRPr="00545E7D" w:rsidRDefault="009F0180" w:rsidP="00BF703A">
      <w:pPr>
        <w:ind w:right="34"/>
        <w:jc w:val="both"/>
        <w:rPr>
          <w:i/>
          <w:iCs/>
          <w:sz w:val="24"/>
          <w:szCs w:val="24"/>
        </w:rPr>
      </w:pPr>
    </w:p>
    <w:p w:rsidR="009F0180" w:rsidRPr="00545E7D" w:rsidRDefault="009F0180" w:rsidP="00BF703A">
      <w:pPr>
        <w:ind w:right="34"/>
        <w:jc w:val="both"/>
        <w:rPr>
          <w:sz w:val="24"/>
          <w:szCs w:val="24"/>
        </w:rPr>
      </w:pPr>
      <w:r w:rsidRPr="00545E7D">
        <w:rPr>
          <w:i/>
          <w:iCs/>
          <w:sz w:val="24"/>
          <w:szCs w:val="24"/>
        </w:rPr>
        <w:t>Engedélyes tevékenység</w:t>
      </w:r>
      <w:r w:rsidRPr="00545E7D">
        <w:rPr>
          <w:sz w:val="24"/>
          <w:szCs w:val="24"/>
        </w:rPr>
        <w:t xml:space="preserve">: ivóvíz termelés, </w:t>
      </w:r>
      <w:proofErr w:type="spellStart"/>
      <w:r w:rsidRPr="00545E7D">
        <w:rPr>
          <w:sz w:val="24"/>
          <w:szCs w:val="24"/>
        </w:rPr>
        <w:t>-kezelés</w:t>
      </w:r>
      <w:proofErr w:type="spellEnd"/>
      <w:r w:rsidRPr="00545E7D">
        <w:rPr>
          <w:sz w:val="24"/>
          <w:szCs w:val="24"/>
        </w:rPr>
        <w:t xml:space="preserve"> és –elosztás; szennyvíz-elvezetés és –tisztítás.</w:t>
      </w:r>
    </w:p>
    <w:p w:rsidR="00645781" w:rsidRPr="00545E7D" w:rsidRDefault="00645781" w:rsidP="00BF703A">
      <w:pPr>
        <w:pStyle w:val="Szvegtrzs"/>
        <w:ind w:right="34"/>
        <w:rPr>
          <w:i/>
          <w:iCs/>
          <w:sz w:val="12"/>
          <w:szCs w:val="12"/>
        </w:rPr>
      </w:pPr>
    </w:p>
    <w:p w:rsidR="00645781" w:rsidRPr="00545E7D" w:rsidRDefault="00645781" w:rsidP="00BF703A">
      <w:pPr>
        <w:pStyle w:val="Szvegtrzs"/>
        <w:ind w:right="34"/>
        <w:rPr>
          <w:szCs w:val="24"/>
        </w:rPr>
      </w:pPr>
      <w:r w:rsidRPr="00545E7D">
        <w:rPr>
          <w:i/>
          <w:iCs/>
          <w:szCs w:val="24"/>
        </w:rPr>
        <w:t>Másodlagos tevékenységek</w:t>
      </w:r>
      <w:r w:rsidRPr="00545E7D">
        <w:rPr>
          <w:szCs w:val="24"/>
        </w:rPr>
        <w:t xml:space="preserve">: ipari víz termelés és </w:t>
      </w:r>
      <w:proofErr w:type="spellStart"/>
      <w:r w:rsidRPr="00545E7D">
        <w:rPr>
          <w:szCs w:val="24"/>
        </w:rPr>
        <w:t>-szolgáltatás</w:t>
      </w:r>
      <w:proofErr w:type="spellEnd"/>
      <w:r w:rsidRPr="00545E7D">
        <w:rPr>
          <w:szCs w:val="24"/>
        </w:rPr>
        <w:t xml:space="preserve">, a fürdőszolgáltatás (Szombathelyi Fedett Uszoda és Termálfürdő üzemeltetése), ipari szolgáltatás, építőipari tevékenység (víz- és csatornahálózat bővítések, hálózati rekonstrukciók, víz- és csatornabekötések), az alaptevékenységhez kapcsolódó egyéb szolgáltatások (csatornamosatás, </w:t>
      </w:r>
      <w:proofErr w:type="spellStart"/>
      <w:r w:rsidRPr="00545E7D">
        <w:rPr>
          <w:szCs w:val="24"/>
        </w:rPr>
        <w:t>-kamerázás</w:t>
      </w:r>
      <w:proofErr w:type="spellEnd"/>
      <w:r w:rsidRPr="00545E7D">
        <w:rPr>
          <w:szCs w:val="24"/>
        </w:rPr>
        <w:t xml:space="preserve">, laboratóriumi vizsgálatok), valamint alaptevékenységen kívüli egyéb tevékenységek. </w:t>
      </w:r>
    </w:p>
    <w:p w:rsidR="001D0169" w:rsidRPr="00545E7D" w:rsidRDefault="001D0169" w:rsidP="00BF703A">
      <w:pPr>
        <w:pStyle w:val="Szvegtrzs"/>
        <w:ind w:right="34"/>
        <w:rPr>
          <w:szCs w:val="24"/>
        </w:rPr>
      </w:pPr>
    </w:p>
    <w:p w:rsidR="00E87708" w:rsidRPr="00545E7D" w:rsidRDefault="00E87708" w:rsidP="00BF703A">
      <w:pPr>
        <w:ind w:right="34"/>
        <w:jc w:val="both"/>
        <w:rPr>
          <w:sz w:val="24"/>
          <w:szCs w:val="24"/>
        </w:rPr>
      </w:pPr>
      <w:r w:rsidRPr="00545E7D">
        <w:rPr>
          <w:sz w:val="24"/>
          <w:szCs w:val="24"/>
        </w:rPr>
        <w:t>201</w:t>
      </w:r>
      <w:r w:rsidR="002C5DC6" w:rsidRPr="00545E7D">
        <w:rPr>
          <w:sz w:val="24"/>
          <w:szCs w:val="24"/>
        </w:rPr>
        <w:t>7</w:t>
      </w:r>
      <w:r w:rsidRPr="00545E7D">
        <w:rPr>
          <w:sz w:val="24"/>
          <w:szCs w:val="24"/>
        </w:rPr>
        <w:t xml:space="preserve">. I. félév során társaságunk </w:t>
      </w:r>
      <w:r w:rsidRPr="00545E7D">
        <w:rPr>
          <w:i/>
          <w:iCs/>
          <w:sz w:val="24"/>
          <w:szCs w:val="24"/>
        </w:rPr>
        <w:t>207 településen</w:t>
      </w:r>
      <w:r w:rsidRPr="00545E7D">
        <w:rPr>
          <w:sz w:val="24"/>
          <w:szCs w:val="24"/>
        </w:rPr>
        <w:t xml:space="preserve"> biztosította az </w:t>
      </w:r>
      <w:r w:rsidRPr="00545E7D">
        <w:rPr>
          <w:i/>
          <w:iCs/>
          <w:sz w:val="24"/>
          <w:szCs w:val="24"/>
        </w:rPr>
        <w:t>ivóvíz ellátást</w:t>
      </w:r>
      <w:r w:rsidRPr="00545E7D">
        <w:rPr>
          <w:sz w:val="24"/>
          <w:szCs w:val="24"/>
        </w:rPr>
        <w:t xml:space="preserve">. Üzemeltetett vízművek száma 62, ebből 17 az egy települést ellátó vízmű, a legnagyobb rendszerhez 36 település tartozik.  </w:t>
      </w:r>
    </w:p>
    <w:p w:rsidR="001D4BBB" w:rsidRPr="00E5711E" w:rsidRDefault="001D4BBB" w:rsidP="00BF703A">
      <w:pPr>
        <w:pStyle w:val="Szvegtrzs"/>
        <w:ind w:right="34"/>
        <w:rPr>
          <w:b/>
          <w:szCs w:val="24"/>
        </w:rPr>
      </w:pPr>
      <w:r w:rsidRPr="00545E7D">
        <w:rPr>
          <w:i/>
          <w:szCs w:val="24"/>
        </w:rPr>
        <w:t xml:space="preserve">Ispánk, Szalafő és Magyarszombatfa településeken a </w:t>
      </w:r>
      <w:r w:rsidRPr="00545E7D">
        <w:rPr>
          <w:bCs/>
          <w:szCs w:val="24"/>
        </w:rPr>
        <w:t xml:space="preserve">2016. december 22-én kézhez vett MEKH határozat értelmében a </w:t>
      </w:r>
      <w:r w:rsidRPr="00545E7D">
        <w:rPr>
          <w:bCs/>
          <w:i/>
          <w:szCs w:val="24"/>
        </w:rPr>
        <w:t xml:space="preserve">szennyvíztisztítást célzó vízi létesítmények (összesen 7 db) nem minősülnek </w:t>
      </w:r>
      <w:proofErr w:type="spellStart"/>
      <w:r w:rsidRPr="00545E7D">
        <w:rPr>
          <w:bCs/>
          <w:i/>
          <w:szCs w:val="24"/>
        </w:rPr>
        <w:t>víziközműnek</w:t>
      </w:r>
      <w:proofErr w:type="spellEnd"/>
      <w:r w:rsidRPr="00545E7D">
        <w:rPr>
          <w:bCs/>
          <w:i/>
          <w:szCs w:val="24"/>
        </w:rPr>
        <w:t xml:space="preserve">, a csatornahálózatok pedig közműpótló </w:t>
      </w:r>
      <w:proofErr w:type="spellStart"/>
      <w:r w:rsidRPr="00545E7D">
        <w:rPr>
          <w:bCs/>
          <w:i/>
          <w:szCs w:val="24"/>
        </w:rPr>
        <w:t>vízilétesítményként</w:t>
      </w:r>
      <w:proofErr w:type="spellEnd"/>
      <w:r w:rsidRPr="00545E7D">
        <w:rPr>
          <w:bCs/>
          <w:i/>
          <w:szCs w:val="24"/>
        </w:rPr>
        <w:t xml:space="preserve"> üzemeltethetők</w:t>
      </w:r>
      <w:r w:rsidRPr="00545E7D">
        <w:rPr>
          <w:bCs/>
          <w:szCs w:val="24"/>
        </w:rPr>
        <w:t>. A Katasztrófavédelem a MEKH határozatát követően, annak tartalmával összhangban módosította a vízjogi üzemeltetési engedélyt, és az önkormányzatokat jelölte meg engedélyesnek. A 2017. január 1-31. időszakban a nem közművel összegyűjtött háztartási szennyvíz elszállítását és kezelését vállalkozási szerződés keretében végeztük. 2017. február 1-jétől a szennyvíz elszállítására a Katasztrófavédelem közszolgáltatót jelölt ki, az általa elszállított szennyvizet a körmendi és kisebb részben a szombathelyi szennyvíztisztító telepen fogadjuk kezelésre. A szennyvízhálózat</w:t>
      </w:r>
      <w:r w:rsidR="00E5711E">
        <w:rPr>
          <w:bCs/>
          <w:szCs w:val="24"/>
        </w:rPr>
        <w:t>ok</w:t>
      </w:r>
      <w:r w:rsidRPr="00545E7D">
        <w:rPr>
          <w:bCs/>
          <w:szCs w:val="24"/>
        </w:rPr>
        <w:t xml:space="preserve"> felügyeletére és kar</w:t>
      </w:r>
      <w:r w:rsidRPr="00E5711E">
        <w:rPr>
          <w:bCs/>
          <w:szCs w:val="24"/>
        </w:rPr>
        <w:t xml:space="preserve">bantartására az érintett önkormányzatok társaságunkkal </w:t>
      </w:r>
      <w:r w:rsidR="00E5711E" w:rsidRPr="00E5711E">
        <w:rPr>
          <w:bCs/>
          <w:szCs w:val="24"/>
        </w:rPr>
        <w:t>szerződést kötöttek</w:t>
      </w:r>
      <w:r w:rsidRPr="00E5711E">
        <w:rPr>
          <w:bCs/>
          <w:szCs w:val="24"/>
        </w:rPr>
        <w:t>.</w:t>
      </w:r>
    </w:p>
    <w:p w:rsidR="0093718B" w:rsidRPr="00545E7D" w:rsidRDefault="00E87708" w:rsidP="00BF703A">
      <w:pPr>
        <w:ind w:right="34"/>
        <w:jc w:val="both"/>
        <w:rPr>
          <w:sz w:val="24"/>
          <w:szCs w:val="24"/>
        </w:rPr>
      </w:pPr>
      <w:r w:rsidRPr="00E5711E">
        <w:rPr>
          <w:sz w:val="24"/>
          <w:szCs w:val="24"/>
        </w:rPr>
        <w:t>201</w:t>
      </w:r>
      <w:r w:rsidR="002C5DC6" w:rsidRPr="00E5711E">
        <w:rPr>
          <w:sz w:val="24"/>
          <w:szCs w:val="24"/>
        </w:rPr>
        <w:t>7</w:t>
      </w:r>
      <w:r w:rsidRPr="00E5711E">
        <w:rPr>
          <w:sz w:val="24"/>
          <w:szCs w:val="24"/>
        </w:rPr>
        <w:t xml:space="preserve">. I. félévben </w:t>
      </w:r>
      <w:r w:rsidR="001D4BBB" w:rsidRPr="00E5711E">
        <w:rPr>
          <w:sz w:val="24"/>
          <w:szCs w:val="24"/>
        </w:rPr>
        <w:t xml:space="preserve">így </w:t>
      </w:r>
      <w:r w:rsidR="00AE37B9" w:rsidRPr="00E5711E">
        <w:rPr>
          <w:sz w:val="24"/>
          <w:szCs w:val="24"/>
        </w:rPr>
        <w:t>11</w:t>
      </w:r>
      <w:r w:rsidR="001D4BBB" w:rsidRPr="00E5711E">
        <w:rPr>
          <w:sz w:val="24"/>
          <w:szCs w:val="24"/>
        </w:rPr>
        <w:t>2</w:t>
      </w:r>
      <w:r w:rsidR="00AE37B9" w:rsidRPr="00E5711E">
        <w:rPr>
          <w:sz w:val="24"/>
          <w:szCs w:val="24"/>
        </w:rPr>
        <w:t xml:space="preserve"> </w:t>
      </w:r>
      <w:r w:rsidR="00AE37B9" w:rsidRPr="00E5711E">
        <w:rPr>
          <w:i/>
          <w:iCs/>
          <w:sz w:val="24"/>
          <w:szCs w:val="24"/>
        </w:rPr>
        <w:t>település szennyvízelvezetési hálózat</w:t>
      </w:r>
      <w:r w:rsidR="00AE37B9" w:rsidRPr="00E5711E">
        <w:rPr>
          <w:i/>
          <w:sz w:val="24"/>
          <w:szCs w:val="24"/>
        </w:rPr>
        <w:t xml:space="preserve">át </w:t>
      </w:r>
      <w:r w:rsidR="00AE37B9" w:rsidRPr="00E5711E">
        <w:rPr>
          <w:sz w:val="24"/>
          <w:szCs w:val="24"/>
        </w:rPr>
        <w:t xml:space="preserve">(ebből </w:t>
      </w:r>
      <w:r w:rsidR="001D4BBB" w:rsidRPr="00E5711E">
        <w:rPr>
          <w:sz w:val="24"/>
          <w:szCs w:val="24"/>
        </w:rPr>
        <w:t>Őriszentpéter és Bajánse</w:t>
      </w:r>
      <w:r w:rsidR="001D4BBB" w:rsidRPr="00545E7D">
        <w:rPr>
          <w:sz w:val="24"/>
          <w:szCs w:val="24"/>
        </w:rPr>
        <w:t xml:space="preserve">nye szennyvízrendszerek </w:t>
      </w:r>
      <w:r w:rsidR="002C5DC6" w:rsidRPr="00545E7D">
        <w:rPr>
          <w:sz w:val="24"/>
          <w:szCs w:val="24"/>
        </w:rPr>
        <w:t>7</w:t>
      </w:r>
      <w:r w:rsidR="00AE37B9" w:rsidRPr="00545E7D">
        <w:rPr>
          <w:sz w:val="24"/>
          <w:szCs w:val="24"/>
        </w:rPr>
        <w:t xml:space="preserve"> település</w:t>
      </w:r>
      <w:r w:rsidR="001D4BBB" w:rsidRPr="00545E7D">
        <w:rPr>
          <w:sz w:val="24"/>
          <w:szCs w:val="24"/>
        </w:rPr>
        <w:t>é</w:t>
      </w:r>
      <w:r w:rsidR="00AE37B9" w:rsidRPr="00545E7D">
        <w:rPr>
          <w:sz w:val="24"/>
          <w:szCs w:val="24"/>
        </w:rPr>
        <w:t xml:space="preserve">n </w:t>
      </w:r>
      <w:r w:rsidR="002C5DC6" w:rsidRPr="00545E7D">
        <w:rPr>
          <w:sz w:val="24"/>
          <w:szCs w:val="24"/>
        </w:rPr>
        <w:t xml:space="preserve">2017. március 2-ig </w:t>
      </w:r>
      <w:r w:rsidR="00AE37B9" w:rsidRPr="00545E7D">
        <w:rPr>
          <w:sz w:val="24"/>
          <w:szCs w:val="24"/>
        </w:rPr>
        <w:t>közérdekű üzemeltetőként), 4</w:t>
      </w:r>
      <w:r w:rsidR="00AA0182" w:rsidRPr="00545E7D">
        <w:rPr>
          <w:sz w:val="24"/>
          <w:szCs w:val="24"/>
        </w:rPr>
        <w:t>0</w:t>
      </w:r>
      <w:r w:rsidR="00AE37B9" w:rsidRPr="00545E7D">
        <w:rPr>
          <w:sz w:val="24"/>
          <w:szCs w:val="24"/>
        </w:rPr>
        <w:t xml:space="preserve"> </w:t>
      </w:r>
      <w:r w:rsidR="00AE37B9" w:rsidRPr="00545E7D">
        <w:rPr>
          <w:i/>
          <w:iCs/>
          <w:sz w:val="24"/>
          <w:szCs w:val="24"/>
        </w:rPr>
        <w:t>szennyvíztisztító telep</w:t>
      </w:r>
      <w:r w:rsidR="00AE37B9" w:rsidRPr="00545E7D">
        <w:rPr>
          <w:sz w:val="24"/>
          <w:szCs w:val="24"/>
        </w:rPr>
        <w:t xml:space="preserve">et - </w:t>
      </w:r>
      <w:r w:rsidR="00AE37B9" w:rsidRPr="00545E7D">
        <w:rPr>
          <w:i/>
          <w:sz w:val="24"/>
          <w:szCs w:val="24"/>
        </w:rPr>
        <w:t xml:space="preserve">Szentgotthárd </w:t>
      </w:r>
      <w:r w:rsidR="00AE37B9" w:rsidRPr="00545E7D">
        <w:rPr>
          <w:sz w:val="24"/>
          <w:szCs w:val="24"/>
        </w:rPr>
        <w:t>valamint</w:t>
      </w:r>
      <w:r w:rsidR="00AE37B9" w:rsidRPr="00545E7D">
        <w:rPr>
          <w:i/>
          <w:sz w:val="24"/>
          <w:szCs w:val="24"/>
        </w:rPr>
        <w:t xml:space="preserve"> </w:t>
      </w:r>
      <w:r w:rsidR="00AE37B9" w:rsidRPr="00545E7D">
        <w:rPr>
          <w:i/>
          <w:iCs/>
          <w:sz w:val="24"/>
          <w:szCs w:val="24"/>
        </w:rPr>
        <w:t>Csörötnek és térsége</w:t>
      </w:r>
      <w:r w:rsidR="00AE37B9" w:rsidRPr="00545E7D">
        <w:rPr>
          <w:b/>
          <w:bCs/>
          <w:sz w:val="24"/>
          <w:szCs w:val="24"/>
        </w:rPr>
        <w:t xml:space="preserve"> </w:t>
      </w:r>
      <w:r w:rsidR="00AE37B9" w:rsidRPr="00545E7D">
        <w:rPr>
          <w:sz w:val="24"/>
          <w:szCs w:val="24"/>
        </w:rPr>
        <w:t>(9 település) szenny</w:t>
      </w:r>
      <w:r w:rsidR="001D4BBB" w:rsidRPr="00545E7D">
        <w:rPr>
          <w:sz w:val="24"/>
          <w:szCs w:val="24"/>
        </w:rPr>
        <w:t xml:space="preserve">vizének tisztítása Ausztriában történik </w:t>
      </w:r>
      <w:r w:rsidR="00AE37B9" w:rsidRPr="00545E7D">
        <w:rPr>
          <w:sz w:val="24"/>
          <w:szCs w:val="24"/>
        </w:rPr>
        <w:t>-, valamint egy üdülőtelep (Hosszúpereszteg-Szajk) részlegesen kiépített szennyvízelvezetését és –tisztítását üzemeltettük.</w:t>
      </w:r>
    </w:p>
    <w:p w:rsidR="0093718B" w:rsidRDefault="0093718B">
      <w:pPr>
        <w:rPr>
          <w:sz w:val="24"/>
          <w:szCs w:val="24"/>
        </w:rPr>
      </w:pPr>
      <w:r>
        <w:rPr>
          <w:sz w:val="24"/>
          <w:szCs w:val="24"/>
        </w:rPr>
        <w:br w:type="page"/>
      </w:r>
    </w:p>
    <w:p w:rsidR="007619DB" w:rsidRDefault="007619DB">
      <w:pPr>
        <w:pStyle w:val="Cmsor1"/>
        <w:ind w:left="0"/>
        <w:rPr>
          <w:b/>
          <w:bCs/>
          <w:i/>
          <w:iCs/>
          <w:sz w:val="26"/>
        </w:rPr>
      </w:pPr>
      <w:bookmarkStart w:id="3" w:name="_Toc330999124"/>
      <w:bookmarkStart w:id="4" w:name="_Toc331589975"/>
    </w:p>
    <w:p w:rsidR="0093718B" w:rsidRPr="0093718B" w:rsidRDefault="0093718B" w:rsidP="0093718B"/>
    <w:p w:rsidR="00E8097E" w:rsidRPr="00B2460A" w:rsidRDefault="00E8097E">
      <w:pPr>
        <w:pStyle w:val="Cmsor1"/>
        <w:ind w:left="0"/>
        <w:rPr>
          <w:b/>
          <w:bCs/>
          <w:i/>
          <w:iCs/>
          <w:sz w:val="28"/>
          <w:szCs w:val="28"/>
        </w:rPr>
      </w:pPr>
      <w:bookmarkStart w:id="5" w:name="_Toc489278844"/>
      <w:r w:rsidRPr="00B2460A">
        <w:rPr>
          <w:b/>
          <w:bCs/>
          <w:i/>
          <w:iCs/>
          <w:sz w:val="28"/>
          <w:szCs w:val="28"/>
        </w:rPr>
        <w:t>Az elsődleges tevékenységek főbb termelési és értékesítési adatai</w:t>
      </w:r>
      <w:bookmarkEnd w:id="3"/>
      <w:bookmarkEnd w:id="4"/>
      <w:bookmarkEnd w:id="5"/>
    </w:p>
    <w:p w:rsidR="00E8097E" w:rsidRPr="00883EC9" w:rsidRDefault="00E8097E">
      <w:pPr>
        <w:rPr>
          <w:b/>
          <w:i/>
          <w:sz w:val="24"/>
        </w:rPr>
      </w:pPr>
    </w:p>
    <w:p w:rsidR="00E8097E" w:rsidRPr="00883EC9" w:rsidRDefault="00E8097E">
      <w:pPr>
        <w:ind w:right="142"/>
        <w:jc w:val="both"/>
        <w:rPr>
          <w:iCs/>
          <w:sz w:val="24"/>
        </w:rPr>
      </w:pPr>
      <w:r w:rsidRPr="00883EC9">
        <w:rPr>
          <w:iCs/>
          <w:sz w:val="24"/>
        </w:rPr>
        <w:t>201</w:t>
      </w:r>
      <w:r w:rsidR="00F32BFF" w:rsidRPr="00883EC9">
        <w:rPr>
          <w:iCs/>
          <w:sz w:val="24"/>
        </w:rPr>
        <w:t>7</w:t>
      </w:r>
      <w:r w:rsidRPr="00883EC9">
        <w:rPr>
          <w:iCs/>
          <w:sz w:val="24"/>
        </w:rPr>
        <w:t xml:space="preserve">. I. félév felhasználási adatai a leolvasásoknak megfelelően a havonta leolvasott felhasználóhelyek esetében január-június, míg a 6 havonta leolvasott fogyasztóhelyek esetében előző év október-novembertől tárgyév április-májusig tartó leolvasási időszak adatait tartalmazzák. </w:t>
      </w:r>
    </w:p>
    <w:tbl>
      <w:tblPr>
        <w:tblW w:w="9620" w:type="dxa"/>
        <w:tblCellMar>
          <w:left w:w="70" w:type="dxa"/>
          <w:right w:w="70" w:type="dxa"/>
        </w:tblCellMar>
        <w:tblLook w:val="04A0" w:firstRow="1" w:lastRow="0" w:firstColumn="1" w:lastColumn="0" w:noHBand="0" w:noVBand="1"/>
      </w:tblPr>
      <w:tblGrid>
        <w:gridCol w:w="2127"/>
        <w:gridCol w:w="329"/>
        <w:gridCol w:w="967"/>
        <w:gridCol w:w="263"/>
        <w:gridCol w:w="66"/>
        <w:gridCol w:w="927"/>
        <w:gridCol w:w="263"/>
        <w:gridCol w:w="66"/>
        <w:gridCol w:w="927"/>
        <w:gridCol w:w="263"/>
        <w:gridCol w:w="66"/>
        <w:gridCol w:w="927"/>
        <w:gridCol w:w="263"/>
        <w:gridCol w:w="66"/>
        <w:gridCol w:w="844"/>
        <w:gridCol w:w="346"/>
        <w:gridCol w:w="504"/>
        <w:gridCol w:w="60"/>
        <w:gridCol w:w="224"/>
        <w:gridCol w:w="122"/>
      </w:tblGrid>
      <w:tr w:rsidR="00F32BFF" w:rsidRPr="00883EC9" w:rsidTr="00A2240F">
        <w:trPr>
          <w:trHeight w:val="375"/>
        </w:trPr>
        <w:tc>
          <w:tcPr>
            <w:tcW w:w="2456" w:type="dxa"/>
            <w:gridSpan w:val="2"/>
            <w:tcBorders>
              <w:top w:val="nil"/>
              <w:left w:val="nil"/>
              <w:bottom w:val="nil"/>
              <w:right w:val="nil"/>
            </w:tcBorders>
            <w:shd w:val="clear" w:color="auto" w:fill="auto"/>
            <w:noWrap/>
            <w:vAlign w:val="bottom"/>
            <w:hideMark/>
          </w:tcPr>
          <w:p w:rsidR="00F32BFF" w:rsidRPr="00883EC9" w:rsidRDefault="00F32BFF" w:rsidP="00F32BFF">
            <w:pPr>
              <w:rPr>
                <w:sz w:val="22"/>
                <w:szCs w:val="22"/>
              </w:rPr>
            </w:pPr>
          </w:p>
        </w:tc>
        <w:tc>
          <w:tcPr>
            <w:tcW w:w="1296" w:type="dxa"/>
            <w:gridSpan w:val="3"/>
            <w:tcBorders>
              <w:top w:val="nil"/>
              <w:left w:val="nil"/>
              <w:bottom w:val="nil"/>
              <w:right w:val="nil"/>
            </w:tcBorders>
            <w:shd w:val="clear" w:color="auto" w:fill="auto"/>
            <w:noWrap/>
            <w:vAlign w:val="bottom"/>
            <w:hideMark/>
          </w:tcPr>
          <w:p w:rsidR="00F32BFF" w:rsidRPr="00883EC9" w:rsidRDefault="00F32BFF" w:rsidP="00F32BFF">
            <w:pPr>
              <w:rPr>
                <w:sz w:val="22"/>
                <w:szCs w:val="22"/>
              </w:rPr>
            </w:pPr>
          </w:p>
        </w:tc>
        <w:tc>
          <w:tcPr>
            <w:tcW w:w="1256" w:type="dxa"/>
            <w:gridSpan w:val="3"/>
            <w:tcBorders>
              <w:top w:val="nil"/>
              <w:left w:val="nil"/>
              <w:bottom w:val="nil"/>
              <w:right w:val="nil"/>
            </w:tcBorders>
            <w:shd w:val="clear" w:color="auto" w:fill="auto"/>
            <w:noWrap/>
            <w:vAlign w:val="bottom"/>
            <w:hideMark/>
          </w:tcPr>
          <w:p w:rsidR="00F32BFF" w:rsidRPr="00883EC9" w:rsidRDefault="00F32BFF" w:rsidP="00F32BFF">
            <w:pPr>
              <w:rPr>
                <w:sz w:val="22"/>
                <w:szCs w:val="22"/>
              </w:rPr>
            </w:pPr>
          </w:p>
        </w:tc>
        <w:tc>
          <w:tcPr>
            <w:tcW w:w="1256" w:type="dxa"/>
            <w:gridSpan w:val="3"/>
            <w:tcBorders>
              <w:top w:val="nil"/>
              <w:left w:val="nil"/>
              <w:bottom w:val="nil"/>
              <w:right w:val="nil"/>
            </w:tcBorders>
            <w:shd w:val="clear" w:color="auto" w:fill="auto"/>
            <w:noWrap/>
            <w:vAlign w:val="bottom"/>
            <w:hideMark/>
          </w:tcPr>
          <w:p w:rsidR="00F32BFF" w:rsidRPr="00883EC9" w:rsidRDefault="00F32BFF" w:rsidP="00F32BFF">
            <w:pPr>
              <w:rPr>
                <w:sz w:val="22"/>
                <w:szCs w:val="22"/>
              </w:rPr>
            </w:pPr>
          </w:p>
        </w:tc>
        <w:tc>
          <w:tcPr>
            <w:tcW w:w="1256" w:type="dxa"/>
            <w:gridSpan w:val="3"/>
            <w:tcBorders>
              <w:top w:val="nil"/>
              <w:left w:val="nil"/>
              <w:bottom w:val="nil"/>
              <w:right w:val="nil"/>
            </w:tcBorders>
            <w:shd w:val="clear" w:color="auto" w:fill="auto"/>
            <w:noWrap/>
            <w:vAlign w:val="bottom"/>
            <w:hideMark/>
          </w:tcPr>
          <w:p w:rsidR="00F32BFF" w:rsidRPr="00883EC9" w:rsidRDefault="00F32BFF" w:rsidP="00F32BFF">
            <w:pPr>
              <w:rPr>
                <w:sz w:val="22"/>
                <w:szCs w:val="22"/>
              </w:rPr>
            </w:pPr>
          </w:p>
        </w:tc>
        <w:tc>
          <w:tcPr>
            <w:tcW w:w="844" w:type="dxa"/>
            <w:tcBorders>
              <w:top w:val="nil"/>
              <w:left w:val="nil"/>
              <w:bottom w:val="nil"/>
              <w:right w:val="nil"/>
            </w:tcBorders>
            <w:shd w:val="clear" w:color="auto" w:fill="auto"/>
            <w:noWrap/>
            <w:vAlign w:val="bottom"/>
            <w:hideMark/>
          </w:tcPr>
          <w:p w:rsidR="00F32BFF" w:rsidRPr="00883EC9" w:rsidRDefault="00F32BFF" w:rsidP="00F32BFF">
            <w:pPr>
              <w:rPr>
                <w:sz w:val="22"/>
                <w:szCs w:val="22"/>
              </w:rPr>
            </w:pPr>
          </w:p>
        </w:tc>
        <w:tc>
          <w:tcPr>
            <w:tcW w:w="1256" w:type="dxa"/>
            <w:gridSpan w:val="5"/>
            <w:tcBorders>
              <w:top w:val="nil"/>
              <w:left w:val="nil"/>
              <w:bottom w:val="nil"/>
              <w:right w:val="nil"/>
            </w:tcBorders>
            <w:shd w:val="clear" w:color="auto" w:fill="auto"/>
            <w:noWrap/>
            <w:vAlign w:val="bottom"/>
            <w:hideMark/>
          </w:tcPr>
          <w:p w:rsidR="00F32BFF" w:rsidRPr="00883EC9" w:rsidRDefault="00F32BFF" w:rsidP="00F32BFF">
            <w:pPr>
              <w:rPr>
                <w:sz w:val="22"/>
                <w:szCs w:val="22"/>
              </w:rPr>
            </w:pPr>
            <w:r w:rsidRPr="00883EC9">
              <w:rPr>
                <w:sz w:val="22"/>
                <w:szCs w:val="22"/>
              </w:rPr>
              <w:t>ezer m3</w:t>
            </w:r>
          </w:p>
        </w:tc>
      </w:tr>
      <w:tr w:rsidR="00F32BFF" w:rsidRPr="00883EC9" w:rsidTr="00A2240F">
        <w:trPr>
          <w:gridAfter w:val="2"/>
          <w:wAfter w:w="346" w:type="dxa"/>
          <w:trHeight w:val="763"/>
        </w:trPr>
        <w:tc>
          <w:tcPr>
            <w:tcW w:w="2127" w:type="dxa"/>
            <w:tcBorders>
              <w:top w:val="single" w:sz="4" w:space="0" w:color="auto"/>
              <w:left w:val="nil"/>
              <w:bottom w:val="single" w:sz="4" w:space="0" w:color="auto"/>
              <w:right w:val="nil"/>
            </w:tcBorders>
            <w:shd w:val="clear" w:color="auto" w:fill="auto"/>
            <w:hideMark/>
          </w:tcPr>
          <w:p w:rsidR="00F32BFF" w:rsidRPr="00883EC9" w:rsidRDefault="00F32BFF" w:rsidP="00F32BFF">
            <w:pPr>
              <w:rPr>
                <w:i/>
                <w:sz w:val="22"/>
                <w:szCs w:val="22"/>
              </w:rPr>
            </w:pPr>
            <w:r w:rsidRPr="00883EC9">
              <w:rPr>
                <w:i/>
                <w:sz w:val="22"/>
                <w:szCs w:val="22"/>
              </w:rPr>
              <w:t>Megnevezés</w:t>
            </w:r>
          </w:p>
        </w:tc>
        <w:tc>
          <w:tcPr>
            <w:tcW w:w="1296" w:type="dxa"/>
            <w:gridSpan w:val="2"/>
            <w:tcBorders>
              <w:top w:val="single" w:sz="4" w:space="0" w:color="auto"/>
              <w:left w:val="nil"/>
              <w:bottom w:val="single" w:sz="4" w:space="0" w:color="auto"/>
              <w:right w:val="nil"/>
            </w:tcBorders>
            <w:shd w:val="clear" w:color="auto" w:fill="auto"/>
            <w:vAlign w:val="center"/>
            <w:hideMark/>
          </w:tcPr>
          <w:p w:rsidR="00F32BFF" w:rsidRPr="00883EC9" w:rsidRDefault="00F32BFF" w:rsidP="003E5057">
            <w:pPr>
              <w:jc w:val="center"/>
              <w:rPr>
                <w:i/>
                <w:sz w:val="22"/>
                <w:szCs w:val="22"/>
              </w:rPr>
            </w:pPr>
            <w:r w:rsidRPr="00883EC9">
              <w:rPr>
                <w:i/>
                <w:sz w:val="22"/>
                <w:szCs w:val="22"/>
              </w:rPr>
              <w:t xml:space="preserve">2016. </w:t>
            </w:r>
            <w:proofErr w:type="spellStart"/>
            <w:r w:rsidRPr="00883EC9">
              <w:rPr>
                <w:i/>
                <w:sz w:val="22"/>
                <w:szCs w:val="22"/>
              </w:rPr>
              <w:t>I.f</w:t>
            </w:r>
            <w:proofErr w:type="gramStart"/>
            <w:r w:rsidRPr="00883EC9">
              <w:rPr>
                <w:i/>
                <w:sz w:val="22"/>
                <w:szCs w:val="22"/>
              </w:rPr>
              <w:t>élév</w:t>
            </w:r>
            <w:proofErr w:type="spellEnd"/>
            <w:r w:rsidRPr="00883EC9">
              <w:rPr>
                <w:i/>
                <w:sz w:val="22"/>
                <w:szCs w:val="22"/>
              </w:rPr>
              <w:t xml:space="preserve">   tény</w:t>
            </w:r>
            <w:proofErr w:type="gramEnd"/>
          </w:p>
        </w:tc>
        <w:tc>
          <w:tcPr>
            <w:tcW w:w="1256" w:type="dxa"/>
            <w:gridSpan w:val="3"/>
            <w:tcBorders>
              <w:top w:val="single" w:sz="4" w:space="0" w:color="auto"/>
              <w:left w:val="nil"/>
              <w:bottom w:val="single" w:sz="4" w:space="0" w:color="auto"/>
              <w:right w:val="nil"/>
            </w:tcBorders>
            <w:shd w:val="clear" w:color="auto" w:fill="auto"/>
            <w:vAlign w:val="center"/>
            <w:hideMark/>
          </w:tcPr>
          <w:p w:rsidR="00F32BFF" w:rsidRPr="00883EC9" w:rsidRDefault="00F32BFF" w:rsidP="003E5057">
            <w:pPr>
              <w:jc w:val="center"/>
              <w:rPr>
                <w:i/>
                <w:sz w:val="22"/>
                <w:szCs w:val="22"/>
              </w:rPr>
            </w:pPr>
            <w:r w:rsidRPr="00883EC9">
              <w:rPr>
                <w:i/>
                <w:sz w:val="22"/>
                <w:szCs w:val="22"/>
              </w:rPr>
              <w:t>2017. évi</w:t>
            </w:r>
            <w:r w:rsidRPr="00883EC9">
              <w:rPr>
                <w:i/>
                <w:sz w:val="22"/>
                <w:szCs w:val="22"/>
              </w:rPr>
              <w:br/>
              <w:t>1. sz. mód.</w:t>
            </w:r>
            <w:r w:rsidRPr="00883EC9">
              <w:rPr>
                <w:i/>
                <w:sz w:val="22"/>
                <w:szCs w:val="22"/>
              </w:rPr>
              <w:br/>
              <w:t>terv</w:t>
            </w:r>
          </w:p>
        </w:tc>
        <w:tc>
          <w:tcPr>
            <w:tcW w:w="1256" w:type="dxa"/>
            <w:gridSpan w:val="3"/>
            <w:tcBorders>
              <w:top w:val="single" w:sz="4" w:space="0" w:color="auto"/>
              <w:left w:val="nil"/>
              <w:bottom w:val="single" w:sz="4" w:space="0" w:color="auto"/>
              <w:right w:val="nil"/>
            </w:tcBorders>
            <w:shd w:val="clear" w:color="auto" w:fill="auto"/>
            <w:vAlign w:val="center"/>
            <w:hideMark/>
          </w:tcPr>
          <w:p w:rsidR="00F32BFF" w:rsidRPr="00883EC9" w:rsidRDefault="00F32BFF" w:rsidP="003E5057">
            <w:pPr>
              <w:jc w:val="center"/>
              <w:rPr>
                <w:i/>
                <w:sz w:val="22"/>
                <w:szCs w:val="22"/>
              </w:rPr>
            </w:pPr>
            <w:r w:rsidRPr="00883EC9">
              <w:rPr>
                <w:i/>
                <w:sz w:val="22"/>
                <w:szCs w:val="22"/>
              </w:rPr>
              <w:t xml:space="preserve">2017. </w:t>
            </w:r>
            <w:proofErr w:type="spellStart"/>
            <w:r w:rsidRPr="00883EC9">
              <w:rPr>
                <w:i/>
                <w:sz w:val="22"/>
                <w:szCs w:val="22"/>
              </w:rPr>
              <w:t>I.félév</w:t>
            </w:r>
            <w:proofErr w:type="spellEnd"/>
            <w:r w:rsidRPr="00883EC9">
              <w:rPr>
                <w:i/>
                <w:sz w:val="22"/>
                <w:szCs w:val="22"/>
              </w:rPr>
              <w:br/>
              <w:t>tény</w:t>
            </w:r>
          </w:p>
        </w:tc>
        <w:tc>
          <w:tcPr>
            <w:tcW w:w="1256" w:type="dxa"/>
            <w:gridSpan w:val="3"/>
            <w:tcBorders>
              <w:top w:val="single" w:sz="4" w:space="0" w:color="auto"/>
              <w:left w:val="nil"/>
              <w:bottom w:val="single" w:sz="4" w:space="0" w:color="auto"/>
              <w:right w:val="nil"/>
            </w:tcBorders>
            <w:shd w:val="clear" w:color="auto" w:fill="auto"/>
            <w:vAlign w:val="center"/>
            <w:hideMark/>
          </w:tcPr>
          <w:p w:rsidR="00F32BFF" w:rsidRPr="00883EC9" w:rsidRDefault="003E5057" w:rsidP="003E5057">
            <w:pPr>
              <w:jc w:val="center"/>
              <w:rPr>
                <w:i/>
                <w:sz w:val="22"/>
                <w:szCs w:val="22"/>
              </w:rPr>
            </w:pPr>
            <w:r w:rsidRPr="00883EC9">
              <w:rPr>
                <w:i/>
                <w:sz w:val="22"/>
                <w:szCs w:val="22"/>
              </w:rPr>
              <w:t>tény/</w:t>
            </w:r>
            <w:proofErr w:type="gramStart"/>
            <w:r w:rsidR="00F32BFF" w:rsidRPr="00883EC9">
              <w:rPr>
                <w:i/>
                <w:sz w:val="22"/>
                <w:szCs w:val="22"/>
              </w:rPr>
              <w:t>bázis     %</w:t>
            </w:r>
            <w:proofErr w:type="gramEnd"/>
          </w:p>
        </w:tc>
        <w:tc>
          <w:tcPr>
            <w:tcW w:w="1173" w:type="dxa"/>
            <w:gridSpan w:val="3"/>
            <w:tcBorders>
              <w:top w:val="single" w:sz="4" w:space="0" w:color="auto"/>
              <w:left w:val="nil"/>
              <w:bottom w:val="single" w:sz="4" w:space="0" w:color="auto"/>
              <w:right w:val="nil"/>
            </w:tcBorders>
            <w:shd w:val="clear" w:color="auto" w:fill="auto"/>
            <w:vAlign w:val="center"/>
            <w:hideMark/>
          </w:tcPr>
          <w:p w:rsidR="00F32BFF" w:rsidRPr="00883EC9" w:rsidRDefault="00F32BFF" w:rsidP="003E5057">
            <w:pPr>
              <w:jc w:val="center"/>
              <w:rPr>
                <w:i/>
                <w:sz w:val="22"/>
                <w:szCs w:val="22"/>
              </w:rPr>
            </w:pPr>
            <w:r w:rsidRPr="00883EC9">
              <w:rPr>
                <w:i/>
                <w:sz w:val="22"/>
                <w:szCs w:val="22"/>
              </w:rPr>
              <w:t>tény-bázis</w:t>
            </w:r>
            <w:r w:rsidRPr="00883EC9">
              <w:rPr>
                <w:i/>
                <w:sz w:val="22"/>
                <w:szCs w:val="22"/>
              </w:rPr>
              <w:br/>
              <w:t>eltérés</w:t>
            </w:r>
          </w:p>
        </w:tc>
        <w:tc>
          <w:tcPr>
            <w:tcW w:w="910" w:type="dxa"/>
            <w:gridSpan w:val="3"/>
            <w:tcBorders>
              <w:top w:val="single" w:sz="4" w:space="0" w:color="auto"/>
              <w:left w:val="nil"/>
              <w:bottom w:val="single" w:sz="4" w:space="0" w:color="auto"/>
              <w:right w:val="nil"/>
            </w:tcBorders>
            <w:shd w:val="clear" w:color="auto" w:fill="auto"/>
            <w:vAlign w:val="center"/>
            <w:hideMark/>
          </w:tcPr>
          <w:p w:rsidR="00F32BFF" w:rsidRPr="00883EC9" w:rsidRDefault="00F32BFF" w:rsidP="003E5057">
            <w:pPr>
              <w:jc w:val="center"/>
              <w:rPr>
                <w:i/>
                <w:sz w:val="22"/>
                <w:szCs w:val="22"/>
              </w:rPr>
            </w:pPr>
            <w:r w:rsidRPr="00883EC9">
              <w:rPr>
                <w:i/>
                <w:sz w:val="22"/>
                <w:szCs w:val="22"/>
              </w:rPr>
              <w:t>tény/</w:t>
            </w:r>
            <w:proofErr w:type="gramStart"/>
            <w:r w:rsidRPr="00883EC9">
              <w:rPr>
                <w:i/>
                <w:sz w:val="22"/>
                <w:szCs w:val="22"/>
              </w:rPr>
              <w:t>terv     %</w:t>
            </w:r>
            <w:proofErr w:type="gramEnd"/>
          </w:p>
        </w:tc>
      </w:tr>
      <w:tr w:rsidR="00F32BFF" w:rsidRPr="00883EC9" w:rsidTr="00A2240F">
        <w:trPr>
          <w:gridAfter w:val="1"/>
          <w:wAfter w:w="122" w:type="dxa"/>
          <w:trHeight w:val="315"/>
        </w:trPr>
        <w:tc>
          <w:tcPr>
            <w:tcW w:w="2456" w:type="dxa"/>
            <w:gridSpan w:val="2"/>
            <w:tcBorders>
              <w:top w:val="nil"/>
              <w:left w:val="nil"/>
              <w:bottom w:val="nil"/>
              <w:right w:val="nil"/>
            </w:tcBorders>
            <w:shd w:val="clear" w:color="auto" w:fill="auto"/>
            <w:vAlign w:val="center"/>
            <w:hideMark/>
          </w:tcPr>
          <w:p w:rsidR="00F32BFF" w:rsidRPr="00883EC9" w:rsidRDefault="00F32BFF" w:rsidP="00F32BFF">
            <w:pPr>
              <w:rPr>
                <w:sz w:val="22"/>
                <w:szCs w:val="22"/>
              </w:rPr>
            </w:pPr>
            <w:r w:rsidRPr="00883EC9">
              <w:rPr>
                <w:sz w:val="22"/>
                <w:szCs w:val="22"/>
              </w:rPr>
              <w:t>Ivóvíz</w:t>
            </w:r>
          </w:p>
        </w:tc>
        <w:tc>
          <w:tcPr>
            <w:tcW w:w="1230" w:type="dxa"/>
            <w:gridSpan w:val="2"/>
            <w:tcBorders>
              <w:top w:val="nil"/>
              <w:left w:val="nil"/>
              <w:bottom w:val="nil"/>
              <w:right w:val="nil"/>
            </w:tcBorders>
            <w:shd w:val="clear" w:color="auto" w:fill="auto"/>
            <w:vAlign w:val="center"/>
            <w:hideMark/>
          </w:tcPr>
          <w:p w:rsidR="00F32BFF" w:rsidRPr="00883EC9" w:rsidRDefault="00F32BFF" w:rsidP="00F32BFF">
            <w:pPr>
              <w:rPr>
                <w:sz w:val="22"/>
                <w:szCs w:val="22"/>
              </w:rPr>
            </w:pPr>
          </w:p>
        </w:tc>
        <w:tc>
          <w:tcPr>
            <w:tcW w:w="1256" w:type="dxa"/>
            <w:gridSpan w:val="3"/>
            <w:tcBorders>
              <w:top w:val="nil"/>
              <w:left w:val="nil"/>
              <w:bottom w:val="nil"/>
              <w:right w:val="nil"/>
            </w:tcBorders>
            <w:shd w:val="clear" w:color="auto" w:fill="auto"/>
            <w:vAlign w:val="center"/>
            <w:hideMark/>
          </w:tcPr>
          <w:p w:rsidR="00F32BFF" w:rsidRPr="00883EC9" w:rsidRDefault="00F32BFF" w:rsidP="00F32BFF">
            <w:pPr>
              <w:rPr>
                <w:sz w:val="22"/>
                <w:szCs w:val="22"/>
              </w:rPr>
            </w:pPr>
          </w:p>
        </w:tc>
        <w:tc>
          <w:tcPr>
            <w:tcW w:w="1256" w:type="dxa"/>
            <w:gridSpan w:val="3"/>
            <w:tcBorders>
              <w:top w:val="nil"/>
              <w:left w:val="nil"/>
              <w:bottom w:val="nil"/>
              <w:right w:val="nil"/>
            </w:tcBorders>
            <w:shd w:val="clear" w:color="auto" w:fill="auto"/>
            <w:vAlign w:val="center"/>
            <w:hideMark/>
          </w:tcPr>
          <w:p w:rsidR="00F32BFF" w:rsidRPr="00883EC9" w:rsidRDefault="00F32BFF" w:rsidP="00F32BFF">
            <w:pPr>
              <w:rPr>
                <w:sz w:val="22"/>
                <w:szCs w:val="22"/>
              </w:rPr>
            </w:pPr>
          </w:p>
        </w:tc>
        <w:tc>
          <w:tcPr>
            <w:tcW w:w="1256" w:type="dxa"/>
            <w:gridSpan w:val="3"/>
            <w:tcBorders>
              <w:top w:val="nil"/>
              <w:left w:val="nil"/>
              <w:bottom w:val="nil"/>
              <w:right w:val="nil"/>
            </w:tcBorders>
            <w:shd w:val="clear" w:color="auto" w:fill="auto"/>
            <w:vAlign w:val="center"/>
            <w:hideMark/>
          </w:tcPr>
          <w:p w:rsidR="00F32BFF" w:rsidRPr="00883EC9" w:rsidRDefault="00F32BFF" w:rsidP="00F32BFF">
            <w:pPr>
              <w:rPr>
                <w:sz w:val="22"/>
                <w:szCs w:val="22"/>
              </w:rPr>
            </w:pPr>
          </w:p>
        </w:tc>
        <w:tc>
          <w:tcPr>
            <w:tcW w:w="1256" w:type="dxa"/>
            <w:gridSpan w:val="3"/>
            <w:tcBorders>
              <w:top w:val="nil"/>
              <w:left w:val="nil"/>
              <w:bottom w:val="nil"/>
              <w:right w:val="nil"/>
            </w:tcBorders>
            <w:shd w:val="clear" w:color="auto" w:fill="auto"/>
            <w:vAlign w:val="center"/>
            <w:hideMark/>
          </w:tcPr>
          <w:p w:rsidR="00F32BFF" w:rsidRPr="00883EC9" w:rsidRDefault="00F32BFF" w:rsidP="00F32BFF">
            <w:pPr>
              <w:rPr>
                <w:sz w:val="22"/>
                <w:szCs w:val="22"/>
              </w:rPr>
            </w:pPr>
          </w:p>
        </w:tc>
        <w:tc>
          <w:tcPr>
            <w:tcW w:w="788" w:type="dxa"/>
            <w:gridSpan w:val="3"/>
            <w:tcBorders>
              <w:top w:val="nil"/>
              <w:left w:val="nil"/>
              <w:bottom w:val="nil"/>
              <w:right w:val="nil"/>
            </w:tcBorders>
            <w:shd w:val="clear" w:color="auto" w:fill="auto"/>
            <w:vAlign w:val="center"/>
            <w:hideMark/>
          </w:tcPr>
          <w:p w:rsidR="00F32BFF" w:rsidRPr="00883EC9" w:rsidRDefault="00F32BFF" w:rsidP="00F32BFF">
            <w:pPr>
              <w:rPr>
                <w:sz w:val="22"/>
                <w:szCs w:val="22"/>
              </w:rPr>
            </w:pPr>
          </w:p>
        </w:tc>
      </w:tr>
      <w:tr w:rsidR="00F32BFF" w:rsidRPr="00883EC9" w:rsidTr="00A2240F">
        <w:trPr>
          <w:gridAfter w:val="3"/>
          <w:wAfter w:w="406" w:type="dxa"/>
          <w:trHeight w:val="315"/>
        </w:trPr>
        <w:tc>
          <w:tcPr>
            <w:tcW w:w="2456" w:type="dxa"/>
            <w:gridSpan w:val="2"/>
            <w:tcBorders>
              <w:top w:val="nil"/>
              <w:left w:val="nil"/>
              <w:bottom w:val="nil"/>
              <w:right w:val="nil"/>
            </w:tcBorders>
            <w:shd w:val="clear" w:color="auto" w:fill="auto"/>
            <w:noWrap/>
            <w:vAlign w:val="bottom"/>
            <w:hideMark/>
          </w:tcPr>
          <w:p w:rsidR="00F32BFF" w:rsidRPr="00883EC9" w:rsidRDefault="00F32BFF" w:rsidP="00F32BFF">
            <w:pPr>
              <w:rPr>
                <w:sz w:val="22"/>
                <w:szCs w:val="22"/>
              </w:rPr>
            </w:pPr>
            <w:r w:rsidRPr="00883EC9">
              <w:rPr>
                <w:sz w:val="22"/>
                <w:szCs w:val="22"/>
              </w:rPr>
              <w:t xml:space="preserve">     termelés</w:t>
            </w:r>
          </w:p>
        </w:tc>
        <w:tc>
          <w:tcPr>
            <w:tcW w:w="1230" w:type="dxa"/>
            <w:gridSpan w:val="2"/>
            <w:tcBorders>
              <w:top w:val="nil"/>
              <w:left w:val="nil"/>
              <w:bottom w:val="nil"/>
              <w:right w:val="nil"/>
            </w:tcBorders>
            <w:shd w:val="clear" w:color="auto" w:fill="auto"/>
            <w:noWrap/>
            <w:vAlign w:val="bottom"/>
            <w:hideMark/>
          </w:tcPr>
          <w:p w:rsidR="00F32BFF" w:rsidRPr="00883EC9" w:rsidRDefault="00F32BFF" w:rsidP="00F32BFF">
            <w:pPr>
              <w:rPr>
                <w:sz w:val="22"/>
                <w:szCs w:val="22"/>
              </w:rPr>
            </w:pPr>
            <w:r w:rsidRPr="00883EC9">
              <w:rPr>
                <w:sz w:val="22"/>
                <w:szCs w:val="22"/>
              </w:rPr>
              <w:t>7 005</w:t>
            </w:r>
          </w:p>
        </w:tc>
        <w:tc>
          <w:tcPr>
            <w:tcW w:w="1256" w:type="dxa"/>
            <w:gridSpan w:val="3"/>
            <w:tcBorders>
              <w:top w:val="nil"/>
              <w:left w:val="nil"/>
              <w:bottom w:val="nil"/>
              <w:right w:val="nil"/>
            </w:tcBorders>
            <w:shd w:val="clear" w:color="auto" w:fill="auto"/>
            <w:noWrap/>
            <w:vAlign w:val="bottom"/>
            <w:hideMark/>
          </w:tcPr>
          <w:p w:rsidR="00F32BFF" w:rsidRPr="00883EC9" w:rsidRDefault="00F32BFF" w:rsidP="00F32BFF">
            <w:pPr>
              <w:rPr>
                <w:sz w:val="22"/>
                <w:szCs w:val="22"/>
              </w:rPr>
            </w:pPr>
            <w:r w:rsidRPr="00883EC9">
              <w:rPr>
                <w:sz w:val="22"/>
                <w:szCs w:val="22"/>
              </w:rPr>
              <w:t>14 056</w:t>
            </w:r>
          </w:p>
        </w:tc>
        <w:tc>
          <w:tcPr>
            <w:tcW w:w="1256" w:type="dxa"/>
            <w:gridSpan w:val="3"/>
            <w:tcBorders>
              <w:top w:val="nil"/>
              <w:left w:val="nil"/>
              <w:bottom w:val="nil"/>
              <w:right w:val="nil"/>
            </w:tcBorders>
            <w:shd w:val="clear" w:color="auto" w:fill="auto"/>
            <w:noWrap/>
            <w:vAlign w:val="bottom"/>
            <w:hideMark/>
          </w:tcPr>
          <w:p w:rsidR="00F32BFF" w:rsidRPr="00883EC9" w:rsidRDefault="00F32BFF" w:rsidP="00F32BFF">
            <w:pPr>
              <w:rPr>
                <w:sz w:val="22"/>
                <w:szCs w:val="22"/>
              </w:rPr>
            </w:pPr>
            <w:r w:rsidRPr="00883EC9">
              <w:rPr>
                <w:sz w:val="22"/>
                <w:szCs w:val="22"/>
              </w:rPr>
              <w:t>7 179</w:t>
            </w:r>
          </w:p>
        </w:tc>
        <w:tc>
          <w:tcPr>
            <w:tcW w:w="1256" w:type="dxa"/>
            <w:gridSpan w:val="3"/>
            <w:tcBorders>
              <w:top w:val="nil"/>
              <w:left w:val="nil"/>
              <w:bottom w:val="nil"/>
              <w:right w:val="nil"/>
            </w:tcBorders>
            <w:shd w:val="clear" w:color="auto" w:fill="auto"/>
            <w:noWrap/>
            <w:vAlign w:val="bottom"/>
            <w:hideMark/>
          </w:tcPr>
          <w:p w:rsidR="00F32BFF" w:rsidRPr="00883EC9" w:rsidRDefault="00F32BFF" w:rsidP="00F32BFF">
            <w:pPr>
              <w:rPr>
                <w:sz w:val="22"/>
                <w:szCs w:val="22"/>
              </w:rPr>
            </w:pPr>
            <w:r w:rsidRPr="00883EC9">
              <w:rPr>
                <w:sz w:val="22"/>
                <w:szCs w:val="22"/>
              </w:rPr>
              <w:t>102,5%</w:t>
            </w:r>
          </w:p>
        </w:tc>
        <w:tc>
          <w:tcPr>
            <w:tcW w:w="910" w:type="dxa"/>
            <w:gridSpan w:val="2"/>
            <w:tcBorders>
              <w:top w:val="nil"/>
              <w:left w:val="nil"/>
              <w:bottom w:val="nil"/>
              <w:right w:val="nil"/>
            </w:tcBorders>
            <w:shd w:val="clear" w:color="auto" w:fill="auto"/>
            <w:noWrap/>
            <w:vAlign w:val="bottom"/>
            <w:hideMark/>
          </w:tcPr>
          <w:p w:rsidR="00F32BFF" w:rsidRPr="00883EC9" w:rsidRDefault="00F32BFF" w:rsidP="00EC16AD">
            <w:pPr>
              <w:jc w:val="center"/>
              <w:rPr>
                <w:sz w:val="22"/>
                <w:szCs w:val="22"/>
              </w:rPr>
            </w:pPr>
            <w:r w:rsidRPr="00883EC9">
              <w:rPr>
                <w:sz w:val="22"/>
                <w:szCs w:val="22"/>
              </w:rPr>
              <w:t>174</w:t>
            </w:r>
          </w:p>
        </w:tc>
        <w:tc>
          <w:tcPr>
            <w:tcW w:w="850" w:type="dxa"/>
            <w:gridSpan w:val="2"/>
            <w:tcBorders>
              <w:top w:val="nil"/>
              <w:left w:val="nil"/>
              <w:bottom w:val="nil"/>
              <w:right w:val="nil"/>
            </w:tcBorders>
            <w:shd w:val="clear" w:color="auto" w:fill="auto"/>
            <w:noWrap/>
            <w:vAlign w:val="bottom"/>
            <w:hideMark/>
          </w:tcPr>
          <w:p w:rsidR="00F32BFF" w:rsidRPr="00883EC9" w:rsidRDefault="00F32BFF" w:rsidP="00F32BFF">
            <w:pPr>
              <w:rPr>
                <w:sz w:val="22"/>
                <w:szCs w:val="22"/>
              </w:rPr>
            </w:pPr>
            <w:r w:rsidRPr="00883EC9">
              <w:rPr>
                <w:sz w:val="22"/>
                <w:szCs w:val="22"/>
              </w:rPr>
              <w:t>51,1%</w:t>
            </w:r>
          </w:p>
        </w:tc>
      </w:tr>
      <w:tr w:rsidR="00F32BFF" w:rsidRPr="00883EC9" w:rsidTr="00A2240F">
        <w:trPr>
          <w:gridAfter w:val="3"/>
          <w:wAfter w:w="406" w:type="dxa"/>
          <w:trHeight w:val="315"/>
        </w:trPr>
        <w:tc>
          <w:tcPr>
            <w:tcW w:w="2456" w:type="dxa"/>
            <w:gridSpan w:val="2"/>
            <w:tcBorders>
              <w:top w:val="nil"/>
              <w:left w:val="nil"/>
              <w:bottom w:val="single" w:sz="4" w:space="0" w:color="auto"/>
              <w:right w:val="nil"/>
            </w:tcBorders>
            <w:shd w:val="clear" w:color="auto" w:fill="auto"/>
            <w:noWrap/>
            <w:vAlign w:val="bottom"/>
            <w:hideMark/>
          </w:tcPr>
          <w:p w:rsidR="00F32BFF" w:rsidRPr="00883EC9" w:rsidRDefault="00F32BFF" w:rsidP="00F32BFF">
            <w:pPr>
              <w:rPr>
                <w:sz w:val="22"/>
                <w:szCs w:val="22"/>
              </w:rPr>
            </w:pPr>
            <w:r w:rsidRPr="00883EC9">
              <w:rPr>
                <w:sz w:val="22"/>
                <w:szCs w:val="22"/>
              </w:rPr>
              <w:t xml:space="preserve">     értékesítés</w:t>
            </w:r>
          </w:p>
        </w:tc>
        <w:tc>
          <w:tcPr>
            <w:tcW w:w="1230" w:type="dxa"/>
            <w:gridSpan w:val="2"/>
            <w:tcBorders>
              <w:top w:val="nil"/>
              <w:left w:val="nil"/>
              <w:bottom w:val="single" w:sz="4" w:space="0" w:color="auto"/>
              <w:right w:val="nil"/>
            </w:tcBorders>
            <w:shd w:val="clear" w:color="auto" w:fill="auto"/>
            <w:noWrap/>
            <w:vAlign w:val="bottom"/>
            <w:hideMark/>
          </w:tcPr>
          <w:p w:rsidR="00F32BFF" w:rsidRPr="00883EC9" w:rsidRDefault="00F32BFF" w:rsidP="00F32BFF">
            <w:pPr>
              <w:rPr>
                <w:sz w:val="22"/>
                <w:szCs w:val="22"/>
              </w:rPr>
            </w:pPr>
            <w:r w:rsidRPr="00883EC9">
              <w:rPr>
                <w:sz w:val="22"/>
                <w:szCs w:val="22"/>
              </w:rPr>
              <w:t>5 207</w:t>
            </w:r>
          </w:p>
        </w:tc>
        <w:tc>
          <w:tcPr>
            <w:tcW w:w="1256" w:type="dxa"/>
            <w:gridSpan w:val="3"/>
            <w:tcBorders>
              <w:top w:val="nil"/>
              <w:left w:val="nil"/>
              <w:bottom w:val="single" w:sz="4" w:space="0" w:color="auto"/>
              <w:right w:val="nil"/>
            </w:tcBorders>
            <w:shd w:val="clear" w:color="auto" w:fill="auto"/>
            <w:noWrap/>
            <w:vAlign w:val="bottom"/>
            <w:hideMark/>
          </w:tcPr>
          <w:p w:rsidR="00F32BFF" w:rsidRPr="00883EC9" w:rsidRDefault="00F32BFF" w:rsidP="00F32BFF">
            <w:pPr>
              <w:rPr>
                <w:sz w:val="22"/>
                <w:szCs w:val="22"/>
              </w:rPr>
            </w:pPr>
            <w:r w:rsidRPr="00883EC9">
              <w:rPr>
                <w:sz w:val="22"/>
                <w:szCs w:val="22"/>
              </w:rPr>
              <w:t>10 779</w:t>
            </w:r>
          </w:p>
        </w:tc>
        <w:tc>
          <w:tcPr>
            <w:tcW w:w="1256" w:type="dxa"/>
            <w:gridSpan w:val="3"/>
            <w:tcBorders>
              <w:top w:val="nil"/>
              <w:left w:val="nil"/>
              <w:bottom w:val="single" w:sz="4" w:space="0" w:color="auto"/>
              <w:right w:val="nil"/>
            </w:tcBorders>
            <w:shd w:val="clear" w:color="auto" w:fill="auto"/>
            <w:noWrap/>
            <w:vAlign w:val="bottom"/>
            <w:hideMark/>
          </w:tcPr>
          <w:p w:rsidR="00F32BFF" w:rsidRPr="00883EC9" w:rsidRDefault="00F32BFF" w:rsidP="00F32BFF">
            <w:pPr>
              <w:rPr>
                <w:sz w:val="22"/>
                <w:szCs w:val="22"/>
              </w:rPr>
            </w:pPr>
            <w:r w:rsidRPr="00883EC9">
              <w:rPr>
                <w:sz w:val="22"/>
                <w:szCs w:val="22"/>
              </w:rPr>
              <w:t>5 266</w:t>
            </w:r>
          </w:p>
        </w:tc>
        <w:tc>
          <w:tcPr>
            <w:tcW w:w="1256" w:type="dxa"/>
            <w:gridSpan w:val="3"/>
            <w:tcBorders>
              <w:top w:val="nil"/>
              <w:left w:val="nil"/>
              <w:bottom w:val="single" w:sz="4" w:space="0" w:color="auto"/>
              <w:right w:val="nil"/>
            </w:tcBorders>
            <w:shd w:val="clear" w:color="auto" w:fill="auto"/>
            <w:noWrap/>
            <w:vAlign w:val="bottom"/>
            <w:hideMark/>
          </w:tcPr>
          <w:p w:rsidR="00F32BFF" w:rsidRPr="00883EC9" w:rsidRDefault="00F32BFF" w:rsidP="00F32BFF">
            <w:pPr>
              <w:rPr>
                <w:sz w:val="22"/>
                <w:szCs w:val="22"/>
              </w:rPr>
            </w:pPr>
            <w:r w:rsidRPr="00883EC9">
              <w:rPr>
                <w:sz w:val="22"/>
                <w:szCs w:val="22"/>
              </w:rPr>
              <w:t>101,1%</w:t>
            </w:r>
          </w:p>
        </w:tc>
        <w:tc>
          <w:tcPr>
            <w:tcW w:w="910" w:type="dxa"/>
            <w:gridSpan w:val="2"/>
            <w:tcBorders>
              <w:top w:val="nil"/>
              <w:left w:val="nil"/>
              <w:bottom w:val="single" w:sz="4" w:space="0" w:color="auto"/>
              <w:right w:val="nil"/>
            </w:tcBorders>
            <w:shd w:val="clear" w:color="auto" w:fill="auto"/>
            <w:noWrap/>
            <w:vAlign w:val="bottom"/>
            <w:hideMark/>
          </w:tcPr>
          <w:p w:rsidR="00F32BFF" w:rsidRPr="00883EC9" w:rsidRDefault="00F32BFF" w:rsidP="00EC16AD">
            <w:pPr>
              <w:jc w:val="center"/>
              <w:rPr>
                <w:sz w:val="22"/>
                <w:szCs w:val="22"/>
              </w:rPr>
            </w:pPr>
            <w:r w:rsidRPr="00883EC9">
              <w:rPr>
                <w:sz w:val="22"/>
                <w:szCs w:val="22"/>
              </w:rPr>
              <w:t>59</w:t>
            </w:r>
          </w:p>
        </w:tc>
        <w:tc>
          <w:tcPr>
            <w:tcW w:w="850" w:type="dxa"/>
            <w:gridSpan w:val="2"/>
            <w:tcBorders>
              <w:top w:val="nil"/>
              <w:left w:val="nil"/>
              <w:bottom w:val="single" w:sz="4" w:space="0" w:color="auto"/>
              <w:right w:val="nil"/>
            </w:tcBorders>
            <w:shd w:val="clear" w:color="auto" w:fill="auto"/>
            <w:noWrap/>
            <w:vAlign w:val="bottom"/>
            <w:hideMark/>
          </w:tcPr>
          <w:p w:rsidR="00F32BFF" w:rsidRPr="00883EC9" w:rsidRDefault="00F32BFF" w:rsidP="00F32BFF">
            <w:pPr>
              <w:rPr>
                <w:sz w:val="22"/>
                <w:szCs w:val="22"/>
              </w:rPr>
            </w:pPr>
            <w:r w:rsidRPr="00883EC9">
              <w:rPr>
                <w:sz w:val="22"/>
                <w:szCs w:val="22"/>
              </w:rPr>
              <w:t>48,9%</w:t>
            </w:r>
          </w:p>
        </w:tc>
      </w:tr>
      <w:tr w:rsidR="00F32BFF" w:rsidRPr="00883EC9" w:rsidTr="00A2240F">
        <w:trPr>
          <w:gridAfter w:val="3"/>
          <w:wAfter w:w="406" w:type="dxa"/>
          <w:trHeight w:val="315"/>
        </w:trPr>
        <w:tc>
          <w:tcPr>
            <w:tcW w:w="2456" w:type="dxa"/>
            <w:gridSpan w:val="2"/>
            <w:tcBorders>
              <w:top w:val="nil"/>
              <w:left w:val="nil"/>
              <w:bottom w:val="nil"/>
              <w:right w:val="nil"/>
            </w:tcBorders>
            <w:shd w:val="clear" w:color="auto" w:fill="auto"/>
            <w:noWrap/>
            <w:vAlign w:val="bottom"/>
            <w:hideMark/>
          </w:tcPr>
          <w:p w:rsidR="00F32BFF" w:rsidRPr="00883EC9" w:rsidRDefault="00F32BFF" w:rsidP="00F32BFF">
            <w:pPr>
              <w:rPr>
                <w:sz w:val="22"/>
                <w:szCs w:val="22"/>
              </w:rPr>
            </w:pPr>
            <w:r w:rsidRPr="00883EC9">
              <w:rPr>
                <w:sz w:val="22"/>
                <w:szCs w:val="22"/>
              </w:rPr>
              <w:t>Szennyvíz</w:t>
            </w:r>
          </w:p>
        </w:tc>
        <w:tc>
          <w:tcPr>
            <w:tcW w:w="1230" w:type="dxa"/>
            <w:gridSpan w:val="2"/>
            <w:tcBorders>
              <w:top w:val="nil"/>
              <w:left w:val="nil"/>
              <w:bottom w:val="nil"/>
              <w:right w:val="nil"/>
            </w:tcBorders>
            <w:shd w:val="clear" w:color="auto" w:fill="auto"/>
            <w:noWrap/>
            <w:vAlign w:val="bottom"/>
            <w:hideMark/>
          </w:tcPr>
          <w:p w:rsidR="00F32BFF" w:rsidRPr="00883EC9" w:rsidRDefault="00F32BFF" w:rsidP="00F32BFF">
            <w:pPr>
              <w:rPr>
                <w:sz w:val="22"/>
                <w:szCs w:val="22"/>
              </w:rPr>
            </w:pPr>
          </w:p>
        </w:tc>
        <w:tc>
          <w:tcPr>
            <w:tcW w:w="1256" w:type="dxa"/>
            <w:gridSpan w:val="3"/>
            <w:tcBorders>
              <w:top w:val="nil"/>
              <w:left w:val="nil"/>
              <w:bottom w:val="nil"/>
              <w:right w:val="nil"/>
            </w:tcBorders>
            <w:shd w:val="clear" w:color="auto" w:fill="auto"/>
            <w:noWrap/>
            <w:vAlign w:val="bottom"/>
            <w:hideMark/>
          </w:tcPr>
          <w:p w:rsidR="00F32BFF" w:rsidRPr="00883EC9" w:rsidRDefault="00F32BFF" w:rsidP="00F32BFF">
            <w:pPr>
              <w:rPr>
                <w:sz w:val="22"/>
                <w:szCs w:val="22"/>
              </w:rPr>
            </w:pPr>
          </w:p>
        </w:tc>
        <w:tc>
          <w:tcPr>
            <w:tcW w:w="1256" w:type="dxa"/>
            <w:gridSpan w:val="3"/>
            <w:tcBorders>
              <w:top w:val="nil"/>
              <w:left w:val="nil"/>
              <w:bottom w:val="nil"/>
              <w:right w:val="nil"/>
            </w:tcBorders>
            <w:shd w:val="clear" w:color="auto" w:fill="auto"/>
            <w:noWrap/>
            <w:vAlign w:val="bottom"/>
            <w:hideMark/>
          </w:tcPr>
          <w:p w:rsidR="00F32BFF" w:rsidRPr="00883EC9" w:rsidRDefault="00F32BFF" w:rsidP="00F32BFF">
            <w:pPr>
              <w:rPr>
                <w:sz w:val="22"/>
                <w:szCs w:val="22"/>
              </w:rPr>
            </w:pPr>
          </w:p>
        </w:tc>
        <w:tc>
          <w:tcPr>
            <w:tcW w:w="1256" w:type="dxa"/>
            <w:gridSpan w:val="3"/>
            <w:tcBorders>
              <w:top w:val="nil"/>
              <w:left w:val="nil"/>
              <w:bottom w:val="nil"/>
              <w:right w:val="nil"/>
            </w:tcBorders>
            <w:shd w:val="clear" w:color="auto" w:fill="auto"/>
            <w:noWrap/>
            <w:vAlign w:val="bottom"/>
            <w:hideMark/>
          </w:tcPr>
          <w:p w:rsidR="00F32BFF" w:rsidRPr="00883EC9" w:rsidRDefault="00F32BFF" w:rsidP="00F32BFF">
            <w:pPr>
              <w:rPr>
                <w:sz w:val="22"/>
                <w:szCs w:val="22"/>
              </w:rPr>
            </w:pPr>
          </w:p>
        </w:tc>
        <w:tc>
          <w:tcPr>
            <w:tcW w:w="910" w:type="dxa"/>
            <w:gridSpan w:val="2"/>
            <w:tcBorders>
              <w:top w:val="nil"/>
              <w:left w:val="nil"/>
              <w:bottom w:val="nil"/>
              <w:right w:val="nil"/>
            </w:tcBorders>
            <w:shd w:val="clear" w:color="auto" w:fill="auto"/>
            <w:noWrap/>
            <w:vAlign w:val="bottom"/>
            <w:hideMark/>
          </w:tcPr>
          <w:p w:rsidR="00F32BFF" w:rsidRPr="00883EC9" w:rsidRDefault="00F32BFF" w:rsidP="00EC16AD">
            <w:pPr>
              <w:jc w:val="center"/>
              <w:rPr>
                <w:sz w:val="22"/>
                <w:szCs w:val="22"/>
              </w:rPr>
            </w:pPr>
          </w:p>
        </w:tc>
        <w:tc>
          <w:tcPr>
            <w:tcW w:w="850" w:type="dxa"/>
            <w:gridSpan w:val="2"/>
            <w:tcBorders>
              <w:top w:val="nil"/>
              <w:left w:val="nil"/>
              <w:bottom w:val="nil"/>
              <w:right w:val="nil"/>
            </w:tcBorders>
            <w:shd w:val="clear" w:color="auto" w:fill="auto"/>
            <w:noWrap/>
            <w:vAlign w:val="bottom"/>
            <w:hideMark/>
          </w:tcPr>
          <w:p w:rsidR="00F32BFF" w:rsidRPr="00883EC9" w:rsidRDefault="00F32BFF" w:rsidP="00F32BFF">
            <w:pPr>
              <w:rPr>
                <w:sz w:val="22"/>
                <w:szCs w:val="22"/>
              </w:rPr>
            </w:pPr>
          </w:p>
        </w:tc>
      </w:tr>
      <w:tr w:rsidR="00F32BFF" w:rsidRPr="00883EC9" w:rsidTr="00A2240F">
        <w:trPr>
          <w:gridAfter w:val="3"/>
          <w:wAfter w:w="406" w:type="dxa"/>
          <w:trHeight w:val="345"/>
        </w:trPr>
        <w:tc>
          <w:tcPr>
            <w:tcW w:w="2456" w:type="dxa"/>
            <w:gridSpan w:val="2"/>
            <w:tcBorders>
              <w:top w:val="nil"/>
              <w:left w:val="nil"/>
              <w:bottom w:val="nil"/>
              <w:right w:val="nil"/>
            </w:tcBorders>
            <w:shd w:val="clear" w:color="auto" w:fill="auto"/>
            <w:vAlign w:val="bottom"/>
            <w:hideMark/>
          </w:tcPr>
          <w:p w:rsidR="00F32BFF" w:rsidRPr="00883EC9" w:rsidRDefault="00F32BFF" w:rsidP="00F32BFF">
            <w:pPr>
              <w:rPr>
                <w:sz w:val="22"/>
                <w:szCs w:val="22"/>
              </w:rPr>
            </w:pPr>
            <w:r w:rsidRPr="00883EC9">
              <w:rPr>
                <w:sz w:val="22"/>
                <w:szCs w:val="22"/>
              </w:rPr>
              <w:t xml:space="preserve">      elvezetés (számlázott)</w:t>
            </w:r>
          </w:p>
        </w:tc>
        <w:tc>
          <w:tcPr>
            <w:tcW w:w="1230" w:type="dxa"/>
            <w:gridSpan w:val="2"/>
            <w:tcBorders>
              <w:top w:val="nil"/>
              <w:left w:val="nil"/>
              <w:bottom w:val="nil"/>
              <w:right w:val="nil"/>
            </w:tcBorders>
            <w:shd w:val="clear" w:color="auto" w:fill="auto"/>
            <w:noWrap/>
            <w:vAlign w:val="bottom"/>
            <w:hideMark/>
          </w:tcPr>
          <w:p w:rsidR="00F32BFF" w:rsidRPr="00883EC9" w:rsidRDefault="00F32BFF" w:rsidP="00F32BFF">
            <w:pPr>
              <w:rPr>
                <w:sz w:val="22"/>
                <w:szCs w:val="22"/>
              </w:rPr>
            </w:pPr>
            <w:r w:rsidRPr="00883EC9">
              <w:rPr>
                <w:sz w:val="22"/>
                <w:szCs w:val="22"/>
              </w:rPr>
              <w:t>4 679</w:t>
            </w:r>
          </w:p>
        </w:tc>
        <w:tc>
          <w:tcPr>
            <w:tcW w:w="1256" w:type="dxa"/>
            <w:gridSpan w:val="3"/>
            <w:tcBorders>
              <w:top w:val="nil"/>
              <w:left w:val="nil"/>
              <w:bottom w:val="nil"/>
              <w:right w:val="nil"/>
            </w:tcBorders>
            <w:shd w:val="clear" w:color="auto" w:fill="auto"/>
            <w:noWrap/>
            <w:vAlign w:val="bottom"/>
            <w:hideMark/>
          </w:tcPr>
          <w:p w:rsidR="00F32BFF" w:rsidRPr="00883EC9" w:rsidRDefault="00F32BFF" w:rsidP="00F32BFF">
            <w:pPr>
              <w:rPr>
                <w:sz w:val="22"/>
                <w:szCs w:val="22"/>
              </w:rPr>
            </w:pPr>
            <w:r w:rsidRPr="00883EC9">
              <w:rPr>
                <w:sz w:val="22"/>
                <w:szCs w:val="22"/>
              </w:rPr>
              <w:t>9 664</w:t>
            </w:r>
          </w:p>
        </w:tc>
        <w:tc>
          <w:tcPr>
            <w:tcW w:w="1256" w:type="dxa"/>
            <w:gridSpan w:val="3"/>
            <w:tcBorders>
              <w:top w:val="nil"/>
              <w:left w:val="nil"/>
              <w:bottom w:val="nil"/>
              <w:right w:val="nil"/>
            </w:tcBorders>
            <w:shd w:val="clear" w:color="auto" w:fill="auto"/>
            <w:noWrap/>
            <w:vAlign w:val="bottom"/>
            <w:hideMark/>
          </w:tcPr>
          <w:p w:rsidR="00F32BFF" w:rsidRPr="00883EC9" w:rsidRDefault="00F32BFF" w:rsidP="00F32BFF">
            <w:pPr>
              <w:rPr>
                <w:sz w:val="22"/>
                <w:szCs w:val="22"/>
              </w:rPr>
            </w:pPr>
            <w:r w:rsidRPr="00883EC9">
              <w:rPr>
                <w:sz w:val="22"/>
                <w:szCs w:val="22"/>
              </w:rPr>
              <w:t>4 672</w:t>
            </w:r>
          </w:p>
        </w:tc>
        <w:tc>
          <w:tcPr>
            <w:tcW w:w="1256" w:type="dxa"/>
            <w:gridSpan w:val="3"/>
            <w:tcBorders>
              <w:top w:val="nil"/>
              <w:left w:val="nil"/>
              <w:bottom w:val="nil"/>
              <w:right w:val="nil"/>
            </w:tcBorders>
            <w:shd w:val="clear" w:color="auto" w:fill="auto"/>
            <w:noWrap/>
            <w:vAlign w:val="bottom"/>
            <w:hideMark/>
          </w:tcPr>
          <w:p w:rsidR="00F32BFF" w:rsidRPr="00883EC9" w:rsidRDefault="00F32BFF" w:rsidP="00F32BFF">
            <w:pPr>
              <w:rPr>
                <w:sz w:val="22"/>
                <w:szCs w:val="22"/>
              </w:rPr>
            </w:pPr>
            <w:r w:rsidRPr="00883EC9">
              <w:rPr>
                <w:sz w:val="22"/>
                <w:szCs w:val="22"/>
              </w:rPr>
              <w:t>99,9%</w:t>
            </w:r>
          </w:p>
        </w:tc>
        <w:tc>
          <w:tcPr>
            <w:tcW w:w="910" w:type="dxa"/>
            <w:gridSpan w:val="2"/>
            <w:tcBorders>
              <w:top w:val="nil"/>
              <w:left w:val="nil"/>
              <w:bottom w:val="nil"/>
              <w:right w:val="nil"/>
            </w:tcBorders>
            <w:shd w:val="clear" w:color="auto" w:fill="auto"/>
            <w:noWrap/>
            <w:vAlign w:val="bottom"/>
            <w:hideMark/>
          </w:tcPr>
          <w:p w:rsidR="00F32BFF" w:rsidRPr="00883EC9" w:rsidRDefault="00F32BFF" w:rsidP="00EC16AD">
            <w:pPr>
              <w:jc w:val="center"/>
              <w:rPr>
                <w:sz w:val="22"/>
                <w:szCs w:val="22"/>
              </w:rPr>
            </w:pPr>
            <w:r w:rsidRPr="00883EC9">
              <w:rPr>
                <w:sz w:val="22"/>
                <w:szCs w:val="22"/>
              </w:rPr>
              <w:t>-7</w:t>
            </w:r>
          </w:p>
        </w:tc>
        <w:tc>
          <w:tcPr>
            <w:tcW w:w="850" w:type="dxa"/>
            <w:gridSpan w:val="2"/>
            <w:tcBorders>
              <w:top w:val="nil"/>
              <w:left w:val="nil"/>
              <w:bottom w:val="nil"/>
              <w:right w:val="nil"/>
            </w:tcBorders>
            <w:shd w:val="clear" w:color="auto" w:fill="auto"/>
            <w:noWrap/>
            <w:vAlign w:val="bottom"/>
            <w:hideMark/>
          </w:tcPr>
          <w:p w:rsidR="00F32BFF" w:rsidRPr="00883EC9" w:rsidRDefault="00F32BFF" w:rsidP="00F32BFF">
            <w:pPr>
              <w:rPr>
                <w:sz w:val="22"/>
                <w:szCs w:val="22"/>
              </w:rPr>
            </w:pPr>
            <w:r w:rsidRPr="00883EC9">
              <w:rPr>
                <w:sz w:val="22"/>
                <w:szCs w:val="22"/>
              </w:rPr>
              <w:t>48,3%</w:t>
            </w:r>
          </w:p>
        </w:tc>
      </w:tr>
      <w:tr w:rsidR="00F32BFF" w:rsidRPr="00883EC9" w:rsidTr="00A2240F">
        <w:trPr>
          <w:gridAfter w:val="3"/>
          <w:wAfter w:w="406" w:type="dxa"/>
          <w:trHeight w:val="315"/>
        </w:trPr>
        <w:tc>
          <w:tcPr>
            <w:tcW w:w="2456" w:type="dxa"/>
            <w:gridSpan w:val="2"/>
            <w:tcBorders>
              <w:top w:val="nil"/>
              <w:left w:val="nil"/>
              <w:bottom w:val="single" w:sz="4" w:space="0" w:color="auto"/>
              <w:right w:val="nil"/>
            </w:tcBorders>
            <w:shd w:val="clear" w:color="auto" w:fill="auto"/>
            <w:noWrap/>
            <w:vAlign w:val="bottom"/>
            <w:hideMark/>
          </w:tcPr>
          <w:p w:rsidR="00F32BFF" w:rsidRPr="00883EC9" w:rsidRDefault="00F32BFF" w:rsidP="00F32BFF">
            <w:pPr>
              <w:rPr>
                <w:sz w:val="22"/>
                <w:szCs w:val="22"/>
              </w:rPr>
            </w:pPr>
            <w:r w:rsidRPr="00883EC9">
              <w:rPr>
                <w:sz w:val="22"/>
                <w:szCs w:val="22"/>
              </w:rPr>
              <w:t xml:space="preserve">      tisztítás</w:t>
            </w:r>
          </w:p>
        </w:tc>
        <w:tc>
          <w:tcPr>
            <w:tcW w:w="1230" w:type="dxa"/>
            <w:gridSpan w:val="2"/>
            <w:tcBorders>
              <w:top w:val="nil"/>
              <w:left w:val="nil"/>
              <w:bottom w:val="single" w:sz="4" w:space="0" w:color="auto"/>
              <w:right w:val="nil"/>
            </w:tcBorders>
            <w:shd w:val="clear" w:color="auto" w:fill="auto"/>
            <w:noWrap/>
            <w:vAlign w:val="bottom"/>
            <w:hideMark/>
          </w:tcPr>
          <w:p w:rsidR="00F32BFF" w:rsidRPr="00883EC9" w:rsidRDefault="00F32BFF" w:rsidP="00F32BFF">
            <w:pPr>
              <w:rPr>
                <w:sz w:val="22"/>
                <w:szCs w:val="22"/>
              </w:rPr>
            </w:pPr>
            <w:r w:rsidRPr="00883EC9">
              <w:rPr>
                <w:sz w:val="22"/>
                <w:szCs w:val="22"/>
              </w:rPr>
              <w:t>7 321</w:t>
            </w:r>
          </w:p>
        </w:tc>
        <w:tc>
          <w:tcPr>
            <w:tcW w:w="1256" w:type="dxa"/>
            <w:gridSpan w:val="3"/>
            <w:tcBorders>
              <w:top w:val="nil"/>
              <w:left w:val="nil"/>
              <w:bottom w:val="single" w:sz="4" w:space="0" w:color="auto"/>
              <w:right w:val="nil"/>
            </w:tcBorders>
            <w:shd w:val="clear" w:color="auto" w:fill="auto"/>
            <w:noWrap/>
            <w:vAlign w:val="bottom"/>
            <w:hideMark/>
          </w:tcPr>
          <w:p w:rsidR="00F32BFF" w:rsidRPr="00883EC9" w:rsidRDefault="00F32BFF" w:rsidP="00F32BFF">
            <w:pPr>
              <w:rPr>
                <w:sz w:val="22"/>
                <w:szCs w:val="22"/>
              </w:rPr>
            </w:pPr>
            <w:r w:rsidRPr="00883EC9">
              <w:rPr>
                <w:sz w:val="22"/>
                <w:szCs w:val="22"/>
              </w:rPr>
              <w:t>14 046</w:t>
            </w:r>
          </w:p>
        </w:tc>
        <w:tc>
          <w:tcPr>
            <w:tcW w:w="1256" w:type="dxa"/>
            <w:gridSpan w:val="3"/>
            <w:tcBorders>
              <w:top w:val="nil"/>
              <w:left w:val="nil"/>
              <w:bottom w:val="single" w:sz="4" w:space="0" w:color="auto"/>
              <w:right w:val="nil"/>
            </w:tcBorders>
            <w:shd w:val="clear" w:color="auto" w:fill="auto"/>
            <w:noWrap/>
            <w:vAlign w:val="bottom"/>
            <w:hideMark/>
          </w:tcPr>
          <w:p w:rsidR="00F32BFF" w:rsidRPr="00883EC9" w:rsidRDefault="00F32BFF" w:rsidP="00F32BFF">
            <w:pPr>
              <w:rPr>
                <w:sz w:val="22"/>
                <w:szCs w:val="22"/>
              </w:rPr>
            </w:pPr>
            <w:r w:rsidRPr="00883EC9">
              <w:rPr>
                <w:sz w:val="22"/>
                <w:szCs w:val="22"/>
              </w:rPr>
              <w:t>6 114</w:t>
            </w:r>
          </w:p>
        </w:tc>
        <w:tc>
          <w:tcPr>
            <w:tcW w:w="1256" w:type="dxa"/>
            <w:gridSpan w:val="3"/>
            <w:tcBorders>
              <w:top w:val="nil"/>
              <w:left w:val="nil"/>
              <w:bottom w:val="single" w:sz="4" w:space="0" w:color="auto"/>
              <w:right w:val="nil"/>
            </w:tcBorders>
            <w:shd w:val="clear" w:color="auto" w:fill="auto"/>
            <w:noWrap/>
            <w:vAlign w:val="bottom"/>
            <w:hideMark/>
          </w:tcPr>
          <w:p w:rsidR="00F32BFF" w:rsidRPr="00883EC9" w:rsidRDefault="00F32BFF" w:rsidP="00F32BFF">
            <w:pPr>
              <w:rPr>
                <w:sz w:val="22"/>
                <w:szCs w:val="22"/>
              </w:rPr>
            </w:pPr>
            <w:r w:rsidRPr="00883EC9">
              <w:rPr>
                <w:sz w:val="22"/>
                <w:szCs w:val="22"/>
              </w:rPr>
              <w:t>83,5%</w:t>
            </w:r>
          </w:p>
        </w:tc>
        <w:tc>
          <w:tcPr>
            <w:tcW w:w="910" w:type="dxa"/>
            <w:gridSpan w:val="2"/>
            <w:tcBorders>
              <w:top w:val="nil"/>
              <w:left w:val="nil"/>
              <w:bottom w:val="single" w:sz="4" w:space="0" w:color="auto"/>
              <w:right w:val="nil"/>
            </w:tcBorders>
            <w:shd w:val="clear" w:color="auto" w:fill="auto"/>
            <w:noWrap/>
            <w:vAlign w:val="bottom"/>
            <w:hideMark/>
          </w:tcPr>
          <w:p w:rsidR="00F32BFF" w:rsidRPr="00883EC9" w:rsidRDefault="00F32BFF" w:rsidP="00EC16AD">
            <w:pPr>
              <w:jc w:val="center"/>
              <w:rPr>
                <w:sz w:val="22"/>
                <w:szCs w:val="22"/>
              </w:rPr>
            </w:pPr>
            <w:r w:rsidRPr="00883EC9">
              <w:rPr>
                <w:sz w:val="22"/>
                <w:szCs w:val="22"/>
              </w:rPr>
              <w:t>-1 207</w:t>
            </w:r>
          </w:p>
        </w:tc>
        <w:tc>
          <w:tcPr>
            <w:tcW w:w="850" w:type="dxa"/>
            <w:gridSpan w:val="2"/>
            <w:tcBorders>
              <w:top w:val="nil"/>
              <w:left w:val="nil"/>
              <w:bottom w:val="single" w:sz="4" w:space="0" w:color="auto"/>
              <w:right w:val="nil"/>
            </w:tcBorders>
            <w:shd w:val="clear" w:color="auto" w:fill="auto"/>
            <w:noWrap/>
            <w:vAlign w:val="bottom"/>
            <w:hideMark/>
          </w:tcPr>
          <w:p w:rsidR="00F32BFF" w:rsidRPr="00883EC9" w:rsidRDefault="00F32BFF" w:rsidP="00F32BFF">
            <w:pPr>
              <w:rPr>
                <w:sz w:val="22"/>
                <w:szCs w:val="22"/>
              </w:rPr>
            </w:pPr>
            <w:r w:rsidRPr="00883EC9">
              <w:rPr>
                <w:sz w:val="22"/>
                <w:szCs w:val="22"/>
              </w:rPr>
              <w:t>43,5%</w:t>
            </w:r>
          </w:p>
        </w:tc>
      </w:tr>
    </w:tbl>
    <w:p w:rsidR="007619DB" w:rsidRPr="00883EC9" w:rsidRDefault="007619DB">
      <w:pPr>
        <w:ind w:right="142"/>
        <w:jc w:val="both"/>
        <w:rPr>
          <w:iCs/>
          <w:sz w:val="24"/>
        </w:rPr>
      </w:pPr>
    </w:p>
    <w:p w:rsidR="00E8097E" w:rsidRPr="00883EC9" w:rsidRDefault="00E8097E" w:rsidP="007B6594">
      <w:pPr>
        <w:tabs>
          <w:tab w:val="right" w:pos="6804"/>
        </w:tabs>
        <w:ind w:right="142"/>
        <w:jc w:val="both"/>
        <w:rPr>
          <w:sz w:val="24"/>
        </w:rPr>
      </w:pPr>
      <w:r w:rsidRPr="00883EC9">
        <w:rPr>
          <w:sz w:val="24"/>
        </w:rPr>
        <w:t xml:space="preserve">Az I. félévben az </w:t>
      </w:r>
      <w:r w:rsidRPr="00883EC9">
        <w:rPr>
          <w:bCs/>
          <w:i/>
          <w:iCs/>
          <w:sz w:val="24"/>
        </w:rPr>
        <w:t>ivóvíz termelés</w:t>
      </w:r>
      <w:r w:rsidRPr="00883EC9">
        <w:rPr>
          <w:sz w:val="24"/>
        </w:rPr>
        <w:t xml:space="preserve"> 7</w:t>
      </w:r>
      <w:r w:rsidR="00D93556" w:rsidRPr="00883EC9">
        <w:rPr>
          <w:sz w:val="24"/>
        </w:rPr>
        <w:t xml:space="preserve"> </w:t>
      </w:r>
      <w:r w:rsidR="00EC16AD" w:rsidRPr="00883EC9">
        <w:rPr>
          <w:sz w:val="24"/>
        </w:rPr>
        <w:t>179</w:t>
      </w:r>
      <w:r w:rsidRPr="00883EC9">
        <w:rPr>
          <w:sz w:val="24"/>
        </w:rPr>
        <w:t xml:space="preserve"> em</w:t>
      </w:r>
      <w:r w:rsidRPr="00883EC9">
        <w:rPr>
          <w:sz w:val="24"/>
          <w:vertAlign w:val="superscript"/>
        </w:rPr>
        <w:t>3</w:t>
      </w:r>
      <w:r w:rsidRPr="00883EC9">
        <w:rPr>
          <w:sz w:val="24"/>
        </w:rPr>
        <w:t xml:space="preserve">, az éves terv </w:t>
      </w:r>
      <w:r w:rsidR="00EC16AD" w:rsidRPr="00883EC9">
        <w:rPr>
          <w:sz w:val="24"/>
        </w:rPr>
        <w:t xml:space="preserve">51,1 </w:t>
      </w:r>
      <w:r w:rsidRPr="00883EC9">
        <w:rPr>
          <w:sz w:val="24"/>
        </w:rPr>
        <w:t>%-</w:t>
      </w:r>
      <w:proofErr w:type="gramStart"/>
      <w:r w:rsidRPr="00883EC9">
        <w:rPr>
          <w:sz w:val="24"/>
        </w:rPr>
        <w:t>a</w:t>
      </w:r>
      <w:proofErr w:type="gramEnd"/>
      <w:r w:rsidRPr="00883EC9">
        <w:rPr>
          <w:sz w:val="24"/>
        </w:rPr>
        <w:t>, a 201</w:t>
      </w:r>
      <w:r w:rsidR="00EC16AD" w:rsidRPr="00883EC9">
        <w:rPr>
          <w:sz w:val="24"/>
        </w:rPr>
        <w:t>6</w:t>
      </w:r>
      <w:r w:rsidRPr="00883EC9">
        <w:rPr>
          <w:sz w:val="24"/>
        </w:rPr>
        <w:t>. I. félév</w:t>
      </w:r>
      <w:r w:rsidR="00A36156" w:rsidRPr="00883EC9">
        <w:rPr>
          <w:sz w:val="24"/>
        </w:rPr>
        <w:t xml:space="preserve">i termelést  </w:t>
      </w:r>
      <w:r w:rsidR="00845EB6" w:rsidRPr="00883EC9">
        <w:rPr>
          <w:sz w:val="24"/>
        </w:rPr>
        <w:t>2,</w:t>
      </w:r>
      <w:r w:rsidR="00A36156" w:rsidRPr="00883EC9">
        <w:rPr>
          <w:sz w:val="24"/>
        </w:rPr>
        <w:t>5</w:t>
      </w:r>
      <w:r w:rsidR="00845EB6" w:rsidRPr="00883EC9">
        <w:rPr>
          <w:sz w:val="24"/>
        </w:rPr>
        <w:t xml:space="preserve"> %-kal, 174 e</w:t>
      </w:r>
      <w:r w:rsidR="00A36156" w:rsidRPr="00883EC9">
        <w:rPr>
          <w:sz w:val="24"/>
        </w:rPr>
        <w:t>m</w:t>
      </w:r>
      <w:r w:rsidR="00A36156" w:rsidRPr="00883EC9">
        <w:rPr>
          <w:sz w:val="24"/>
          <w:vertAlign w:val="superscript"/>
        </w:rPr>
        <w:t>3</w:t>
      </w:r>
      <w:r w:rsidR="00845EB6" w:rsidRPr="00883EC9">
        <w:rPr>
          <w:sz w:val="24"/>
        </w:rPr>
        <w:t>-rel haladja meg</w:t>
      </w:r>
      <w:r w:rsidR="00A36156" w:rsidRPr="00883EC9">
        <w:rPr>
          <w:sz w:val="24"/>
        </w:rPr>
        <w:t xml:space="preserve">. </w:t>
      </w:r>
      <w:r w:rsidR="00204111" w:rsidRPr="00883EC9">
        <w:rPr>
          <w:sz w:val="24"/>
        </w:rPr>
        <w:t xml:space="preserve">A növekedés túlnyomó része a január-februári tartósan alacsony hőmérséklettel függ össze, az előző időszakhoz képest magasabb </w:t>
      </w:r>
      <w:r w:rsidR="00F94A79" w:rsidRPr="00883EC9">
        <w:rPr>
          <w:sz w:val="24"/>
        </w:rPr>
        <w:t xml:space="preserve">volt a </w:t>
      </w:r>
      <w:r w:rsidR="00204111" w:rsidRPr="00883EC9">
        <w:rPr>
          <w:sz w:val="24"/>
        </w:rPr>
        <w:t>vízmérők, illetve a bekötővezetékek szerelvényeinek</w:t>
      </w:r>
      <w:r w:rsidR="00F94A79" w:rsidRPr="00883EC9">
        <w:rPr>
          <w:sz w:val="24"/>
        </w:rPr>
        <w:t xml:space="preserve"> fagyás miatt bekövetkezett hibáiból eredő vízelfolyás.</w:t>
      </w:r>
    </w:p>
    <w:p w:rsidR="005D371C" w:rsidRPr="00883EC9" w:rsidRDefault="00E8097E" w:rsidP="007B6594">
      <w:pPr>
        <w:ind w:right="142"/>
        <w:jc w:val="both"/>
        <w:rPr>
          <w:sz w:val="24"/>
        </w:rPr>
      </w:pPr>
      <w:r w:rsidRPr="00883EC9">
        <w:rPr>
          <w:sz w:val="24"/>
        </w:rPr>
        <w:t xml:space="preserve">A leolvasott, kiszámlázott </w:t>
      </w:r>
      <w:r w:rsidRPr="00883EC9">
        <w:rPr>
          <w:bCs/>
          <w:i/>
          <w:sz w:val="24"/>
        </w:rPr>
        <w:t>ivóvíz értékesítés</w:t>
      </w:r>
      <w:r w:rsidRPr="00883EC9">
        <w:rPr>
          <w:sz w:val="24"/>
        </w:rPr>
        <w:t xml:space="preserve"> 5</w:t>
      </w:r>
      <w:r w:rsidR="00845EB6" w:rsidRPr="00883EC9">
        <w:rPr>
          <w:sz w:val="24"/>
        </w:rPr>
        <w:t xml:space="preserve"> 266</w:t>
      </w:r>
      <w:r w:rsidR="00A36156" w:rsidRPr="00883EC9">
        <w:rPr>
          <w:sz w:val="24"/>
        </w:rPr>
        <w:t xml:space="preserve"> </w:t>
      </w:r>
      <w:r w:rsidRPr="00883EC9">
        <w:rPr>
          <w:sz w:val="24"/>
        </w:rPr>
        <w:t>em</w:t>
      </w:r>
      <w:r w:rsidRPr="00883EC9">
        <w:rPr>
          <w:sz w:val="24"/>
          <w:vertAlign w:val="superscript"/>
        </w:rPr>
        <w:t>3</w:t>
      </w:r>
      <w:r w:rsidRPr="00883EC9">
        <w:rPr>
          <w:sz w:val="24"/>
        </w:rPr>
        <w:t xml:space="preserve">, a </w:t>
      </w:r>
      <w:r w:rsidRPr="00883EC9">
        <w:rPr>
          <w:bCs/>
          <w:i/>
          <w:iCs/>
          <w:sz w:val="24"/>
        </w:rPr>
        <w:t>tervhez képest</w:t>
      </w:r>
      <w:r w:rsidRPr="00883EC9">
        <w:rPr>
          <w:sz w:val="24"/>
        </w:rPr>
        <w:t xml:space="preserve"> 4</w:t>
      </w:r>
      <w:r w:rsidR="00A36156" w:rsidRPr="00883EC9">
        <w:rPr>
          <w:sz w:val="24"/>
        </w:rPr>
        <w:t>8</w:t>
      </w:r>
      <w:r w:rsidR="005D371C" w:rsidRPr="00883EC9">
        <w:rPr>
          <w:sz w:val="24"/>
        </w:rPr>
        <w:t>,7 %</w:t>
      </w:r>
      <w:r w:rsidR="00845EB6" w:rsidRPr="00883EC9">
        <w:rPr>
          <w:sz w:val="24"/>
        </w:rPr>
        <w:t>, a bázis időszakhoz képest 1,</w:t>
      </w:r>
      <w:proofErr w:type="spellStart"/>
      <w:r w:rsidR="00845EB6" w:rsidRPr="00883EC9">
        <w:rPr>
          <w:sz w:val="24"/>
        </w:rPr>
        <w:t>1</w:t>
      </w:r>
      <w:proofErr w:type="spellEnd"/>
      <w:r w:rsidR="00845EB6" w:rsidRPr="00883EC9">
        <w:rPr>
          <w:sz w:val="24"/>
        </w:rPr>
        <w:t xml:space="preserve"> %-kal, 59 em</w:t>
      </w:r>
      <w:r w:rsidR="00845EB6" w:rsidRPr="00883EC9">
        <w:rPr>
          <w:sz w:val="24"/>
          <w:vertAlign w:val="superscript"/>
        </w:rPr>
        <w:t>3</w:t>
      </w:r>
      <w:r w:rsidR="00845EB6" w:rsidRPr="00883EC9">
        <w:rPr>
          <w:sz w:val="24"/>
        </w:rPr>
        <w:t>-rel magasabb.</w:t>
      </w:r>
    </w:p>
    <w:p w:rsidR="00E8097E" w:rsidRPr="00883EC9" w:rsidRDefault="005D371C" w:rsidP="007B6594">
      <w:pPr>
        <w:ind w:right="142"/>
        <w:jc w:val="both"/>
        <w:rPr>
          <w:iCs/>
          <w:sz w:val="24"/>
        </w:rPr>
      </w:pPr>
      <w:r w:rsidRPr="00883EC9">
        <w:rPr>
          <w:sz w:val="24"/>
        </w:rPr>
        <w:t xml:space="preserve">A </w:t>
      </w:r>
      <w:r w:rsidR="00E8097E" w:rsidRPr="00883EC9">
        <w:rPr>
          <w:iCs/>
          <w:sz w:val="24"/>
        </w:rPr>
        <w:t>szolgáltatási mennyisége</w:t>
      </w:r>
      <w:r w:rsidRPr="00883EC9">
        <w:rPr>
          <w:iCs/>
          <w:sz w:val="24"/>
        </w:rPr>
        <w:t>k</w:t>
      </w:r>
      <w:r w:rsidR="00E8097E" w:rsidRPr="00883EC9">
        <w:rPr>
          <w:iCs/>
          <w:sz w:val="24"/>
        </w:rPr>
        <w:t xml:space="preserve"> </w:t>
      </w:r>
      <w:r w:rsidRPr="00883EC9">
        <w:rPr>
          <w:iCs/>
          <w:sz w:val="24"/>
        </w:rPr>
        <w:t xml:space="preserve">a II. félévben több év átlagát tekintve </w:t>
      </w:r>
      <w:r w:rsidR="00E8097E" w:rsidRPr="00883EC9">
        <w:rPr>
          <w:iCs/>
          <w:sz w:val="24"/>
        </w:rPr>
        <w:t>mintegy 5 %-kal haladj</w:t>
      </w:r>
      <w:r w:rsidRPr="00883EC9">
        <w:rPr>
          <w:iCs/>
          <w:sz w:val="24"/>
        </w:rPr>
        <w:t>ák</w:t>
      </w:r>
      <w:r w:rsidR="00E8097E" w:rsidRPr="00883EC9">
        <w:rPr>
          <w:iCs/>
          <w:sz w:val="24"/>
        </w:rPr>
        <w:t xml:space="preserve"> meg az I. félév adat</w:t>
      </w:r>
      <w:r w:rsidRPr="00883EC9">
        <w:rPr>
          <w:iCs/>
          <w:sz w:val="24"/>
        </w:rPr>
        <w:t>ai</w:t>
      </w:r>
      <w:r w:rsidR="00E8097E" w:rsidRPr="00883EC9">
        <w:rPr>
          <w:iCs/>
          <w:sz w:val="24"/>
        </w:rPr>
        <w:t>t, tehát a tervhez viszonyított teljesítés megfelel az utóbbi évek tendenciájának.</w:t>
      </w:r>
    </w:p>
    <w:p w:rsidR="005D371C" w:rsidRPr="00883EC9" w:rsidRDefault="005D371C" w:rsidP="007B6594">
      <w:pPr>
        <w:ind w:right="142"/>
        <w:jc w:val="both"/>
        <w:rPr>
          <w:sz w:val="8"/>
          <w:szCs w:val="8"/>
        </w:rPr>
      </w:pPr>
    </w:p>
    <w:p w:rsidR="00E8097E" w:rsidRPr="00883EC9" w:rsidRDefault="00E8097E" w:rsidP="007B6594">
      <w:pPr>
        <w:ind w:right="142"/>
        <w:jc w:val="both"/>
        <w:rPr>
          <w:sz w:val="24"/>
          <w:szCs w:val="24"/>
        </w:rPr>
      </w:pPr>
    </w:p>
    <w:p w:rsidR="00E8097E" w:rsidRPr="00883EC9" w:rsidRDefault="00E8097E" w:rsidP="007B6594">
      <w:pPr>
        <w:tabs>
          <w:tab w:val="right" w:pos="6804"/>
        </w:tabs>
        <w:ind w:right="142"/>
        <w:jc w:val="both"/>
        <w:rPr>
          <w:sz w:val="24"/>
        </w:rPr>
      </w:pPr>
      <w:r w:rsidRPr="00883EC9">
        <w:rPr>
          <w:sz w:val="24"/>
        </w:rPr>
        <w:t xml:space="preserve">A </w:t>
      </w:r>
      <w:r w:rsidRPr="00883EC9">
        <w:rPr>
          <w:bCs/>
          <w:i/>
          <w:sz w:val="24"/>
        </w:rPr>
        <w:t>számlázott szennyvízelvezetés</w:t>
      </w:r>
      <w:r w:rsidRPr="00883EC9">
        <w:rPr>
          <w:bCs/>
          <w:sz w:val="24"/>
        </w:rPr>
        <w:t xml:space="preserve"> </w:t>
      </w:r>
      <w:r w:rsidRPr="00883EC9">
        <w:rPr>
          <w:bCs/>
          <w:i/>
          <w:iCs/>
          <w:sz w:val="24"/>
        </w:rPr>
        <w:t>és –tisztítás</w:t>
      </w:r>
      <w:r w:rsidRPr="00883EC9">
        <w:rPr>
          <w:sz w:val="24"/>
        </w:rPr>
        <w:t xml:space="preserve"> mennyisége 4 </w:t>
      </w:r>
      <w:r w:rsidR="002101BE" w:rsidRPr="00883EC9">
        <w:rPr>
          <w:sz w:val="24"/>
        </w:rPr>
        <w:t>67</w:t>
      </w:r>
      <w:r w:rsidR="00677212" w:rsidRPr="00883EC9">
        <w:rPr>
          <w:sz w:val="24"/>
        </w:rPr>
        <w:t>2</w:t>
      </w:r>
      <w:r w:rsidRPr="00883EC9">
        <w:rPr>
          <w:sz w:val="24"/>
        </w:rPr>
        <w:t xml:space="preserve"> em</w:t>
      </w:r>
      <w:r w:rsidRPr="00883EC9">
        <w:rPr>
          <w:sz w:val="24"/>
          <w:vertAlign w:val="superscript"/>
        </w:rPr>
        <w:t>3</w:t>
      </w:r>
      <w:r w:rsidRPr="00883EC9">
        <w:rPr>
          <w:sz w:val="24"/>
        </w:rPr>
        <w:t xml:space="preserve">, a </w:t>
      </w:r>
      <w:r w:rsidRPr="00883EC9">
        <w:rPr>
          <w:bCs/>
          <w:i/>
          <w:iCs/>
          <w:sz w:val="24"/>
        </w:rPr>
        <w:t>tervhez képest</w:t>
      </w:r>
      <w:r w:rsidRPr="00883EC9">
        <w:rPr>
          <w:sz w:val="24"/>
        </w:rPr>
        <w:t xml:space="preserve"> 4</w:t>
      </w:r>
      <w:r w:rsidR="00677212" w:rsidRPr="00883EC9">
        <w:rPr>
          <w:sz w:val="24"/>
        </w:rPr>
        <w:t>8,3</w:t>
      </w:r>
      <w:r w:rsidR="007619DB" w:rsidRPr="00883EC9">
        <w:rPr>
          <w:sz w:val="24"/>
        </w:rPr>
        <w:t xml:space="preserve"> %</w:t>
      </w:r>
      <w:r w:rsidR="00677212" w:rsidRPr="00883EC9">
        <w:rPr>
          <w:sz w:val="24"/>
        </w:rPr>
        <w:t>, 2016. I. félévhez képest 7 em</w:t>
      </w:r>
      <w:r w:rsidR="00677212" w:rsidRPr="00883EC9">
        <w:rPr>
          <w:sz w:val="24"/>
          <w:vertAlign w:val="superscript"/>
        </w:rPr>
        <w:t>3</w:t>
      </w:r>
      <w:r w:rsidR="00677212" w:rsidRPr="00883EC9">
        <w:rPr>
          <w:sz w:val="24"/>
        </w:rPr>
        <w:t>-rel kevesebb.</w:t>
      </w:r>
    </w:p>
    <w:p w:rsidR="00E8097E" w:rsidRPr="00883EC9" w:rsidRDefault="00E8097E" w:rsidP="007B6594">
      <w:pPr>
        <w:tabs>
          <w:tab w:val="right" w:pos="6804"/>
        </w:tabs>
        <w:ind w:right="142"/>
        <w:jc w:val="both"/>
        <w:rPr>
          <w:sz w:val="8"/>
          <w:szCs w:val="8"/>
        </w:rPr>
      </w:pPr>
    </w:p>
    <w:p w:rsidR="00E8097E" w:rsidRPr="00883EC9" w:rsidRDefault="00E8097E" w:rsidP="007B6594">
      <w:pPr>
        <w:tabs>
          <w:tab w:val="right" w:pos="6804"/>
          <w:tab w:val="right" w:pos="9214"/>
        </w:tabs>
        <w:ind w:right="142"/>
        <w:jc w:val="both"/>
        <w:rPr>
          <w:sz w:val="8"/>
        </w:rPr>
      </w:pPr>
    </w:p>
    <w:p w:rsidR="0093718B" w:rsidRDefault="00E8097E" w:rsidP="007B6594">
      <w:pPr>
        <w:pStyle w:val="Szvegtrzs"/>
        <w:tabs>
          <w:tab w:val="right" w:pos="9214"/>
        </w:tabs>
        <w:ind w:right="142"/>
      </w:pPr>
      <w:r w:rsidRPr="00883EC9">
        <w:t xml:space="preserve">A szennyvíztisztító telepeken mért </w:t>
      </w:r>
      <w:r w:rsidRPr="00883EC9">
        <w:rPr>
          <w:i/>
        </w:rPr>
        <w:t xml:space="preserve">tisztított szennyvíz </w:t>
      </w:r>
      <w:r w:rsidRPr="00883EC9">
        <w:t>mennyisége az időarányos terv</w:t>
      </w:r>
      <w:r w:rsidR="00160654" w:rsidRPr="00883EC9">
        <w:t xml:space="preserve">nél </w:t>
      </w:r>
      <w:r w:rsidR="00677212" w:rsidRPr="00883EC9">
        <w:t>6,5</w:t>
      </w:r>
      <w:r w:rsidRPr="00883EC9">
        <w:t xml:space="preserve"> %-</w:t>
      </w:r>
      <w:r w:rsidR="00160654" w:rsidRPr="00883EC9">
        <w:t xml:space="preserve">kal </w:t>
      </w:r>
      <w:r w:rsidR="00677212" w:rsidRPr="00883EC9">
        <w:t>alacsonyabb</w:t>
      </w:r>
      <w:r w:rsidRPr="00883EC9">
        <w:t xml:space="preserve">, az elmúlt év hasonló időszakában mért mennyiséghez képest </w:t>
      </w:r>
      <w:r w:rsidR="00677212" w:rsidRPr="00883EC9">
        <w:t>16,5</w:t>
      </w:r>
      <w:r w:rsidR="00160654" w:rsidRPr="00883EC9">
        <w:t xml:space="preserve"> </w:t>
      </w:r>
      <w:r w:rsidRPr="00883EC9">
        <w:t xml:space="preserve">%-kal </w:t>
      </w:r>
      <w:r w:rsidR="00160654" w:rsidRPr="00883EC9">
        <w:t>kevesebb</w:t>
      </w:r>
      <w:r w:rsidR="00677212" w:rsidRPr="00883EC9">
        <w:t>, az elmúlt év I. félévéhez képest lényegesen kevesebb csapadék volt, amely kisebb mértékű infiltrációt eredményezett</w:t>
      </w:r>
      <w:r w:rsidRPr="00883EC9">
        <w:t xml:space="preserve">. </w:t>
      </w:r>
    </w:p>
    <w:p w:rsidR="0093718B" w:rsidRDefault="0093718B">
      <w:pPr>
        <w:rPr>
          <w:sz w:val="24"/>
        </w:rPr>
      </w:pPr>
      <w:r>
        <w:br w:type="page"/>
      </w:r>
    </w:p>
    <w:p w:rsidR="00E8097E" w:rsidRPr="00766EB8" w:rsidRDefault="00E8097E" w:rsidP="006E52D9">
      <w:pPr>
        <w:pStyle w:val="Szvegtrzs"/>
        <w:tabs>
          <w:tab w:val="right" w:pos="9214"/>
        </w:tabs>
        <w:ind w:right="142"/>
        <w:rPr>
          <w:b/>
          <w:bCs/>
          <w:i/>
          <w:iCs/>
          <w:sz w:val="8"/>
          <w:szCs w:val="8"/>
        </w:rPr>
      </w:pPr>
      <w:bookmarkStart w:id="6" w:name="_Toc330999126"/>
      <w:bookmarkStart w:id="7" w:name="_Toc331589977"/>
    </w:p>
    <w:p w:rsidR="00E8097E" w:rsidRPr="00B2460A" w:rsidRDefault="00E8097E">
      <w:pPr>
        <w:pStyle w:val="Cmsor1"/>
        <w:ind w:left="0"/>
        <w:rPr>
          <w:b/>
          <w:bCs/>
          <w:i/>
          <w:iCs/>
          <w:sz w:val="28"/>
          <w:szCs w:val="28"/>
        </w:rPr>
      </w:pPr>
      <w:bookmarkStart w:id="8" w:name="_Toc489278845"/>
      <w:r w:rsidRPr="00B2460A">
        <w:rPr>
          <w:b/>
          <w:bCs/>
          <w:i/>
          <w:iCs/>
          <w:sz w:val="28"/>
          <w:szCs w:val="28"/>
        </w:rPr>
        <w:t>Bevételek alakulása</w:t>
      </w:r>
      <w:bookmarkEnd w:id="8"/>
    </w:p>
    <w:tbl>
      <w:tblPr>
        <w:tblW w:w="9923" w:type="dxa"/>
        <w:tblInd w:w="-142" w:type="dxa"/>
        <w:tblCellMar>
          <w:left w:w="70" w:type="dxa"/>
          <w:right w:w="70" w:type="dxa"/>
        </w:tblCellMar>
        <w:tblLook w:val="04A0" w:firstRow="1" w:lastRow="0" w:firstColumn="1" w:lastColumn="0" w:noHBand="0" w:noVBand="1"/>
      </w:tblPr>
      <w:tblGrid>
        <w:gridCol w:w="142"/>
        <w:gridCol w:w="3828"/>
        <w:gridCol w:w="567"/>
        <w:gridCol w:w="781"/>
        <w:gridCol w:w="211"/>
        <w:gridCol w:w="793"/>
        <w:gridCol w:w="199"/>
        <w:gridCol w:w="144"/>
        <w:gridCol w:w="1274"/>
        <w:gridCol w:w="1036"/>
        <w:gridCol w:w="948"/>
      </w:tblGrid>
      <w:tr w:rsidR="007606D6" w:rsidRPr="00766EB8" w:rsidTr="00766EB8">
        <w:trPr>
          <w:trHeight w:val="80"/>
        </w:trPr>
        <w:tc>
          <w:tcPr>
            <w:tcW w:w="4537" w:type="dxa"/>
            <w:gridSpan w:val="3"/>
            <w:tcBorders>
              <w:top w:val="nil"/>
              <w:left w:val="nil"/>
              <w:bottom w:val="nil"/>
              <w:right w:val="nil"/>
            </w:tcBorders>
            <w:shd w:val="clear" w:color="auto" w:fill="auto"/>
            <w:noWrap/>
            <w:vAlign w:val="bottom"/>
            <w:hideMark/>
          </w:tcPr>
          <w:p w:rsidR="007606D6" w:rsidRPr="00766EB8" w:rsidRDefault="007606D6" w:rsidP="007606D6"/>
        </w:tc>
        <w:tc>
          <w:tcPr>
            <w:tcW w:w="992" w:type="dxa"/>
            <w:gridSpan w:val="2"/>
            <w:tcBorders>
              <w:top w:val="nil"/>
              <w:left w:val="nil"/>
              <w:bottom w:val="nil"/>
              <w:right w:val="nil"/>
            </w:tcBorders>
            <w:shd w:val="clear" w:color="auto" w:fill="auto"/>
            <w:noWrap/>
            <w:vAlign w:val="bottom"/>
            <w:hideMark/>
          </w:tcPr>
          <w:p w:rsidR="007606D6" w:rsidRPr="00766EB8" w:rsidRDefault="007606D6" w:rsidP="007606D6"/>
        </w:tc>
        <w:tc>
          <w:tcPr>
            <w:tcW w:w="1136" w:type="dxa"/>
            <w:gridSpan w:val="3"/>
            <w:tcBorders>
              <w:top w:val="nil"/>
              <w:left w:val="nil"/>
              <w:bottom w:val="nil"/>
              <w:right w:val="nil"/>
            </w:tcBorders>
            <w:shd w:val="clear" w:color="auto" w:fill="auto"/>
            <w:noWrap/>
            <w:vAlign w:val="bottom"/>
            <w:hideMark/>
          </w:tcPr>
          <w:p w:rsidR="007606D6" w:rsidRPr="00766EB8" w:rsidRDefault="007606D6" w:rsidP="007606D6"/>
        </w:tc>
        <w:tc>
          <w:tcPr>
            <w:tcW w:w="1274" w:type="dxa"/>
            <w:tcBorders>
              <w:top w:val="nil"/>
              <w:left w:val="nil"/>
              <w:bottom w:val="nil"/>
              <w:right w:val="nil"/>
            </w:tcBorders>
            <w:shd w:val="clear" w:color="auto" w:fill="auto"/>
            <w:noWrap/>
            <w:vAlign w:val="bottom"/>
            <w:hideMark/>
          </w:tcPr>
          <w:p w:rsidR="007606D6" w:rsidRPr="00766EB8" w:rsidRDefault="007606D6" w:rsidP="007606D6"/>
        </w:tc>
        <w:tc>
          <w:tcPr>
            <w:tcW w:w="1036" w:type="dxa"/>
            <w:tcBorders>
              <w:top w:val="nil"/>
              <w:left w:val="nil"/>
              <w:bottom w:val="nil"/>
              <w:right w:val="nil"/>
            </w:tcBorders>
            <w:shd w:val="clear" w:color="auto" w:fill="auto"/>
            <w:noWrap/>
            <w:vAlign w:val="bottom"/>
            <w:hideMark/>
          </w:tcPr>
          <w:p w:rsidR="007606D6" w:rsidRPr="00766EB8" w:rsidRDefault="007606D6" w:rsidP="007606D6"/>
        </w:tc>
        <w:tc>
          <w:tcPr>
            <w:tcW w:w="948" w:type="dxa"/>
            <w:tcBorders>
              <w:top w:val="nil"/>
              <w:left w:val="nil"/>
              <w:bottom w:val="nil"/>
              <w:right w:val="nil"/>
            </w:tcBorders>
            <w:shd w:val="clear" w:color="auto" w:fill="auto"/>
            <w:noWrap/>
            <w:vAlign w:val="bottom"/>
            <w:hideMark/>
          </w:tcPr>
          <w:p w:rsidR="007606D6" w:rsidRPr="00766EB8" w:rsidRDefault="007606D6" w:rsidP="007606D6">
            <w:pPr>
              <w:jc w:val="center"/>
              <w:rPr>
                <w:rFonts w:ascii="Times New Roman CE" w:hAnsi="Times New Roman CE" w:cs="Times New Roman CE"/>
              </w:rPr>
            </w:pPr>
            <w:r w:rsidRPr="00766EB8">
              <w:rPr>
                <w:rFonts w:ascii="Times New Roman CE" w:hAnsi="Times New Roman CE" w:cs="Times New Roman CE"/>
              </w:rPr>
              <w:t>ezer Ft</w:t>
            </w:r>
          </w:p>
        </w:tc>
      </w:tr>
      <w:tr w:rsidR="007606D6" w:rsidRPr="00883EC9" w:rsidTr="00D2714A">
        <w:trPr>
          <w:trHeight w:val="765"/>
        </w:trPr>
        <w:tc>
          <w:tcPr>
            <w:tcW w:w="4537" w:type="dxa"/>
            <w:gridSpan w:val="3"/>
            <w:tcBorders>
              <w:top w:val="single" w:sz="4" w:space="0" w:color="auto"/>
              <w:left w:val="nil"/>
              <w:bottom w:val="single" w:sz="4" w:space="0" w:color="auto"/>
              <w:right w:val="nil"/>
            </w:tcBorders>
            <w:shd w:val="clear" w:color="auto" w:fill="auto"/>
            <w:vAlign w:val="center"/>
            <w:hideMark/>
          </w:tcPr>
          <w:p w:rsidR="007606D6" w:rsidRPr="00883EC9" w:rsidRDefault="007606D6" w:rsidP="007606D6">
            <w:pPr>
              <w:rPr>
                <w:rFonts w:ascii="Times New Roman CE" w:hAnsi="Times New Roman CE" w:cs="Times New Roman CE"/>
                <w:i/>
                <w:iCs/>
              </w:rPr>
            </w:pPr>
            <w:r w:rsidRPr="00883EC9">
              <w:rPr>
                <w:rFonts w:ascii="Times New Roman CE" w:hAnsi="Times New Roman CE" w:cs="Times New Roman CE"/>
                <w:i/>
                <w:iCs/>
              </w:rPr>
              <w:t>Megnevezés</w:t>
            </w:r>
          </w:p>
        </w:tc>
        <w:tc>
          <w:tcPr>
            <w:tcW w:w="992" w:type="dxa"/>
            <w:gridSpan w:val="2"/>
            <w:tcBorders>
              <w:top w:val="single" w:sz="4" w:space="0" w:color="auto"/>
              <w:left w:val="nil"/>
              <w:bottom w:val="nil"/>
              <w:right w:val="nil"/>
            </w:tcBorders>
            <w:shd w:val="clear" w:color="auto" w:fill="auto"/>
            <w:vAlign w:val="center"/>
            <w:hideMark/>
          </w:tcPr>
          <w:p w:rsidR="007606D6" w:rsidRPr="00883EC9" w:rsidRDefault="007606D6" w:rsidP="007606D6">
            <w:pPr>
              <w:jc w:val="center"/>
              <w:rPr>
                <w:rFonts w:ascii="Times New Roman CE" w:hAnsi="Times New Roman CE" w:cs="Times New Roman CE"/>
                <w:i/>
                <w:iCs/>
              </w:rPr>
            </w:pPr>
            <w:r w:rsidRPr="00883EC9">
              <w:rPr>
                <w:rFonts w:ascii="Times New Roman CE" w:hAnsi="Times New Roman CE" w:cs="Times New Roman CE"/>
                <w:i/>
                <w:iCs/>
              </w:rPr>
              <w:t>2016. I. félév</w:t>
            </w:r>
            <w:r w:rsidRPr="00883EC9">
              <w:rPr>
                <w:rFonts w:ascii="Times New Roman CE" w:hAnsi="Times New Roman CE" w:cs="Times New Roman CE"/>
                <w:i/>
                <w:iCs/>
              </w:rPr>
              <w:br/>
            </w:r>
            <w:proofErr w:type="spellStart"/>
            <w:r w:rsidRPr="00883EC9">
              <w:rPr>
                <w:rFonts w:ascii="Times New Roman CE" w:hAnsi="Times New Roman CE" w:cs="Times New Roman CE"/>
                <w:i/>
                <w:iCs/>
              </w:rPr>
              <w:t>korr</w:t>
            </w:r>
            <w:proofErr w:type="spellEnd"/>
            <w:r w:rsidRPr="00883EC9">
              <w:rPr>
                <w:rFonts w:ascii="Times New Roman CE" w:hAnsi="Times New Roman CE" w:cs="Times New Roman CE"/>
                <w:i/>
                <w:iCs/>
              </w:rPr>
              <w:t>. tény</w:t>
            </w:r>
          </w:p>
        </w:tc>
        <w:tc>
          <w:tcPr>
            <w:tcW w:w="1136" w:type="dxa"/>
            <w:gridSpan w:val="3"/>
            <w:tcBorders>
              <w:top w:val="single" w:sz="4" w:space="0" w:color="auto"/>
              <w:left w:val="nil"/>
              <w:bottom w:val="nil"/>
              <w:right w:val="nil"/>
            </w:tcBorders>
            <w:shd w:val="clear" w:color="auto" w:fill="auto"/>
            <w:vAlign w:val="center"/>
            <w:hideMark/>
          </w:tcPr>
          <w:p w:rsidR="007606D6" w:rsidRPr="00883EC9" w:rsidRDefault="007606D6" w:rsidP="007606D6">
            <w:pPr>
              <w:jc w:val="center"/>
              <w:rPr>
                <w:rFonts w:ascii="Times New Roman CE" w:hAnsi="Times New Roman CE" w:cs="Times New Roman CE"/>
                <w:i/>
                <w:iCs/>
              </w:rPr>
            </w:pPr>
            <w:r w:rsidRPr="00883EC9">
              <w:rPr>
                <w:rFonts w:ascii="Times New Roman CE" w:hAnsi="Times New Roman CE" w:cs="Times New Roman CE"/>
                <w:i/>
                <w:iCs/>
              </w:rPr>
              <w:t>2017. évi</w:t>
            </w:r>
            <w:r w:rsidRPr="00883EC9">
              <w:rPr>
                <w:rFonts w:ascii="Times New Roman CE" w:hAnsi="Times New Roman CE" w:cs="Times New Roman CE"/>
                <w:i/>
                <w:iCs/>
              </w:rPr>
              <w:br/>
              <w:t>1. sz. mód.</w:t>
            </w:r>
            <w:r w:rsidRPr="00883EC9">
              <w:rPr>
                <w:rFonts w:ascii="Times New Roman CE" w:hAnsi="Times New Roman CE" w:cs="Times New Roman CE"/>
                <w:i/>
                <w:iCs/>
              </w:rPr>
              <w:br/>
              <w:t>terv</w:t>
            </w:r>
          </w:p>
        </w:tc>
        <w:tc>
          <w:tcPr>
            <w:tcW w:w="1274" w:type="dxa"/>
            <w:tcBorders>
              <w:top w:val="single" w:sz="4" w:space="0" w:color="auto"/>
              <w:left w:val="nil"/>
              <w:bottom w:val="nil"/>
              <w:right w:val="nil"/>
            </w:tcBorders>
            <w:shd w:val="clear" w:color="auto" w:fill="auto"/>
            <w:vAlign w:val="center"/>
            <w:hideMark/>
          </w:tcPr>
          <w:p w:rsidR="007606D6" w:rsidRPr="00883EC9" w:rsidRDefault="007606D6" w:rsidP="007606D6">
            <w:pPr>
              <w:jc w:val="center"/>
              <w:rPr>
                <w:rFonts w:ascii="Times New Roman CE" w:hAnsi="Times New Roman CE" w:cs="Times New Roman CE"/>
                <w:i/>
                <w:iCs/>
              </w:rPr>
            </w:pPr>
            <w:r w:rsidRPr="00883EC9">
              <w:rPr>
                <w:rFonts w:ascii="Times New Roman CE" w:hAnsi="Times New Roman CE" w:cs="Times New Roman CE"/>
                <w:i/>
                <w:iCs/>
              </w:rPr>
              <w:t>2017. I. félév</w:t>
            </w:r>
            <w:r w:rsidRPr="00883EC9">
              <w:rPr>
                <w:rFonts w:ascii="Times New Roman CE" w:hAnsi="Times New Roman CE" w:cs="Times New Roman CE"/>
                <w:i/>
                <w:iCs/>
              </w:rPr>
              <w:br/>
            </w:r>
            <w:proofErr w:type="spellStart"/>
            <w:r w:rsidRPr="00883EC9">
              <w:rPr>
                <w:rFonts w:ascii="Times New Roman CE" w:hAnsi="Times New Roman CE" w:cs="Times New Roman CE"/>
                <w:i/>
                <w:iCs/>
              </w:rPr>
              <w:t>korr</w:t>
            </w:r>
            <w:proofErr w:type="spellEnd"/>
            <w:r w:rsidRPr="00883EC9">
              <w:rPr>
                <w:rFonts w:ascii="Times New Roman CE" w:hAnsi="Times New Roman CE" w:cs="Times New Roman CE"/>
                <w:i/>
                <w:iCs/>
              </w:rPr>
              <w:t>. tény</w:t>
            </w:r>
          </w:p>
        </w:tc>
        <w:tc>
          <w:tcPr>
            <w:tcW w:w="1036" w:type="dxa"/>
            <w:tcBorders>
              <w:top w:val="single" w:sz="4" w:space="0" w:color="auto"/>
              <w:left w:val="nil"/>
              <w:bottom w:val="single" w:sz="4" w:space="0" w:color="auto"/>
              <w:right w:val="nil"/>
            </w:tcBorders>
            <w:shd w:val="clear" w:color="auto" w:fill="auto"/>
            <w:vAlign w:val="center"/>
            <w:hideMark/>
          </w:tcPr>
          <w:p w:rsidR="007606D6" w:rsidRPr="00883EC9" w:rsidRDefault="007606D6" w:rsidP="007606D6">
            <w:pPr>
              <w:jc w:val="center"/>
              <w:rPr>
                <w:rFonts w:ascii="Times New Roman CE" w:hAnsi="Times New Roman CE" w:cs="Times New Roman CE"/>
                <w:i/>
                <w:iCs/>
              </w:rPr>
            </w:pPr>
            <w:proofErr w:type="spellStart"/>
            <w:r w:rsidRPr="00883EC9">
              <w:rPr>
                <w:rFonts w:ascii="Times New Roman CE" w:hAnsi="Times New Roman CE" w:cs="Times New Roman CE"/>
                <w:i/>
                <w:iCs/>
              </w:rPr>
              <w:t>korr</w:t>
            </w:r>
            <w:proofErr w:type="spellEnd"/>
            <w:r w:rsidRPr="00883EC9">
              <w:rPr>
                <w:rFonts w:ascii="Times New Roman CE" w:hAnsi="Times New Roman CE" w:cs="Times New Roman CE"/>
                <w:i/>
                <w:iCs/>
              </w:rPr>
              <w:t>. tény/</w:t>
            </w:r>
            <w:r w:rsidRPr="00883EC9">
              <w:rPr>
                <w:rFonts w:ascii="Times New Roman CE" w:hAnsi="Times New Roman CE" w:cs="Times New Roman CE"/>
                <w:i/>
                <w:iCs/>
              </w:rPr>
              <w:br/>
              <w:t xml:space="preserve">bázis    </w:t>
            </w:r>
          </w:p>
        </w:tc>
        <w:tc>
          <w:tcPr>
            <w:tcW w:w="948" w:type="dxa"/>
            <w:tcBorders>
              <w:top w:val="single" w:sz="4" w:space="0" w:color="auto"/>
              <w:left w:val="nil"/>
              <w:bottom w:val="single" w:sz="4" w:space="0" w:color="auto"/>
              <w:right w:val="nil"/>
            </w:tcBorders>
            <w:shd w:val="clear" w:color="auto" w:fill="auto"/>
            <w:vAlign w:val="center"/>
            <w:hideMark/>
          </w:tcPr>
          <w:p w:rsidR="007606D6" w:rsidRPr="00883EC9" w:rsidRDefault="007606D6" w:rsidP="007606D6">
            <w:pPr>
              <w:jc w:val="center"/>
              <w:rPr>
                <w:rFonts w:ascii="Times New Roman CE" w:hAnsi="Times New Roman CE" w:cs="Times New Roman CE"/>
                <w:i/>
                <w:iCs/>
              </w:rPr>
            </w:pPr>
            <w:proofErr w:type="spellStart"/>
            <w:r w:rsidRPr="00883EC9">
              <w:rPr>
                <w:rFonts w:ascii="Times New Roman CE" w:hAnsi="Times New Roman CE" w:cs="Times New Roman CE"/>
                <w:i/>
                <w:iCs/>
              </w:rPr>
              <w:t>korr</w:t>
            </w:r>
            <w:proofErr w:type="spellEnd"/>
            <w:r w:rsidRPr="00883EC9">
              <w:rPr>
                <w:rFonts w:ascii="Times New Roman CE" w:hAnsi="Times New Roman CE" w:cs="Times New Roman CE"/>
                <w:i/>
                <w:iCs/>
              </w:rPr>
              <w:t xml:space="preserve">. </w:t>
            </w:r>
            <w:proofErr w:type="spellStart"/>
            <w:r w:rsidRPr="00883EC9">
              <w:rPr>
                <w:rFonts w:ascii="Times New Roman CE" w:hAnsi="Times New Roman CE" w:cs="Times New Roman CE"/>
                <w:i/>
                <w:iCs/>
              </w:rPr>
              <w:t>ény</w:t>
            </w:r>
            <w:proofErr w:type="spellEnd"/>
            <w:r w:rsidRPr="00883EC9">
              <w:rPr>
                <w:rFonts w:ascii="Times New Roman CE" w:hAnsi="Times New Roman CE" w:cs="Times New Roman CE"/>
                <w:i/>
                <w:iCs/>
              </w:rPr>
              <w:t>/</w:t>
            </w:r>
            <w:r w:rsidRPr="00883EC9">
              <w:rPr>
                <w:rFonts w:ascii="Times New Roman CE" w:hAnsi="Times New Roman CE" w:cs="Times New Roman CE"/>
                <w:i/>
                <w:iCs/>
              </w:rPr>
              <w:br/>
              <w:t xml:space="preserve">terv    </w:t>
            </w:r>
          </w:p>
        </w:tc>
      </w:tr>
      <w:tr w:rsidR="007606D6" w:rsidRPr="00883EC9" w:rsidTr="00D2714A">
        <w:trPr>
          <w:trHeight w:val="315"/>
        </w:trPr>
        <w:tc>
          <w:tcPr>
            <w:tcW w:w="4537" w:type="dxa"/>
            <w:gridSpan w:val="3"/>
            <w:tcBorders>
              <w:top w:val="nil"/>
              <w:left w:val="nil"/>
              <w:bottom w:val="nil"/>
              <w:right w:val="nil"/>
            </w:tcBorders>
            <w:shd w:val="clear" w:color="auto" w:fill="auto"/>
            <w:noWrap/>
            <w:vAlign w:val="bottom"/>
            <w:hideMark/>
          </w:tcPr>
          <w:p w:rsidR="007606D6" w:rsidRPr="00883EC9" w:rsidRDefault="007606D6" w:rsidP="007606D6">
            <w:pPr>
              <w:rPr>
                <w:rFonts w:ascii="Times New Roman CE" w:hAnsi="Times New Roman CE" w:cs="Times New Roman CE"/>
                <w:sz w:val="22"/>
                <w:szCs w:val="22"/>
              </w:rPr>
            </w:pPr>
            <w:r w:rsidRPr="00883EC9">
              <w:rPr>
                <w:rFonts w:ascii="Times New Roman CE" w:hAnsi="Times New Roman CE" w:cs="Times New Roman CE"/>
                <w:sz w:val="22"/>
                <w:szCs w:val="22"/>
              </w:rPr>
              <w:t>Ivóvíz szolgáltatás</w:t>
            </w:r>
          </w:p>
        </w:tc>
        <w:tc>
          <w:tcPr>
            <w:tcW w:w="992" w:type="dxa"/>
            <w:gridSpan w:val="2"/>
            <w:tcBorders>
              <w:top w:val="single" w:sz="4" w:space="0" w:color="auto"/>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1 372 944</w:t>
            </w:r>
          </w:p>
        </w:tc>
        <w:tc>
          <w:tcPr>
            <w:tcW w:w="1136" w:type="dxa"/>
            <w:gridSpan w:val="3"/>
            <w:tcBorders>
              <w:top w:val="single" w:sz="4" w:space="0" w:color="auto"/>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2 842 474</w:t>
            </w:r>
          </w:p>
        </w:tc>
        <w:tc>
          <w:tcPr>
            <w:tcW w:w="1274" w:type="dxa"/>
            <w:tcBorders>
              <w:top w:val="single" w:sz="4" w:space="0" w:color="auto"/>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1 392 303</w:t>
            </w:r>
          </w:p>
        </w:tc>
        <w:tc>
          <w:tcPr>
            <w:tcW w:w="1036" w:type="dxa"/>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101,4%</w:t>
            </w:r>
          </w:p>
        </w:tc>
        <w:tc>
          <w:tcPr>
            <w:tcW w:w="948" w:type="dxa"/>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49,0%</w:t>
            </w:r>
          </w:p>
        </w:tc>
      </w:tr>
      <w:tr w:rsidR="007606D6" w:rsidRPr="00883EC9" w:rsidTr="00766EB8">
        <w:trPr>
          <w:trHeight w:val="94"/>
        </w:trPr>
        <w:tc>
          <w:tcPr>
            <w:tcW w:w="4537" w:type="dxa"/>
            <w:gridSpan w:val="3"/>
            <w:tcBorders>
              <w:top w:val="nil"/>
              <w:left w:val="nil"/>
              <w:bottom w:val="nil"/>
              <w:right w:val="nil"/>
            </w:tcBorders>
            <w:shd w:val="clear" w:color="auto" w:fill="auto"/>
            <w:noWrap/>
            <w:vAlign w:val="bottom"/>
            <w:hideMark/>
          </w:tcPr>
          <w:p w:rsidR="007606D6" w:rsidRPr="00883EC9" w:rsidRDefault="007606D6" w:rsidP="007606D6">
            <w:pPr>
              <w:rPr>
                <w:rFonts w:ascii="Times New Roman CE" w:hAnsi="Times New Roman CE" w:cs="Times New Roman CE"/>
                <w:sz w:val="22"/>
                <w:szCs w:val="22"/>
              </w:rPr>
            </w:pPr>
            <w:r w:rsidRPr="00883EC9">
              <w:rPr>
                <w:rFonts w:ascii="Times New Roman CE" w:hAnsi="Times New Roman CE" w:cs="Times New Roman CE"/>
                <w:sz w:val="22"/>
                <w:szCs w:val="22"/>
              </w:rPr>
              <w:t xml:space="preserve">Szennyvíz elvezetés és </w:t>
            </w:r>
            <w:proofErr w:type="spellStart"/>
            <w:r w:rsidRPr="00883EC9">
              <w:rPr>
                <w:rFonts w:ascii="Times New Roman CE" w:hAnsi="Times New Roman CE" w:cs="Times New Roman CE"/>
                <w:sz w:val="22"/>
                <w:szCs w:val="22"/>
              </w:rPr>
              <w:t>-tisztítás</w:t>
            </w:r>
            <w:proofErr w:type="spellEnd"/>
          </w:p>
        </w:tc>
        <w:tc>
          <w:tcPr>
            <w:tcW w:w="992" w:type="dxa"/>
            <w:gridSpan w:val="2"/>
            <w:tcBorders>
              <w:top w:val="nil"/>
              <w:left w:val="nil"/>
              <w:bottom w:val="single" w:sz="4" w:space="0" w:color="auto"/>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1 526 000</w:t>
            </w:r>
          </w:p>
        </w:tc>
        <w:tc>
          <w:tcPr>
            <w:tcW w:w="1136" w:type="dxa"/>
            <w:gridSpan w:val="3"/>
            <w:tcBorders>
              <w:top w:val="nil"/>
              <w:left w:val="nil"/>
              <w:bottom w:val="single" w:sz="4" w:space="0" w:color="auto"/>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3 126 611</w:t>
            </w:r>
          </w:p>
        </w:tc>
        <w:tc>
          <w:tcPr>
            <w:tcW w:w="1274" w:type="dxa"/>
            <w:tcBorders>
              <w:top w:val="nil"/>
              <w:left w:val="nil"/>
              <w:bottom w:val="single" w:sz="4" w:space="0" w:color="auto"/>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1 533 871</w:t>
            </w:r>
          </w:p>
        </w:tc>
        <w:tc>
          <w:tcPr>
            <w:tcW w:w="1036" w:type="dxa"/>
            <w:tcBorders>
              <w:top w:val="nil"/>
              <w:left w:val="nil"/>
              <w:bottom w:val="single" w:sz="4" w:space="0" w:color="auto"/>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100,5%</w:t>
            </w:r>
          </w:p>
        </w:tc>
        <w:tc>
          <w:tcPr>
            <w:tcW w:w="948" w:type="dxa"/>
            <w:tcBorders>
              <w:top w:val="nil"/>
              <w:left w:val="nil"/>
              <w:bottom w:val="single" w:sz="4" w:space="0" w:color="auto"/>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49,1%</w:t>
            </w:r>
          </w:p>
        </w:tc>
      </w:tr>
      <w:tr w:rsidR="007606D6" w:rsidRPr="00883EC9" w:rsidTr="00D2714A">
        <w:trPr>
          <w:trHeight w:val="300"/>
        </w:trPr>
        <w:tc>
          <w:tcPr>
            <w:tcW w:w="4537" w:type="dxa"/>
            <w:gridSpan w:val="3"/>
            <w:tcBorders>
              <w:top w:val="single" w:sz="4" w:space="0" w:color="auto"/>
              <w:left w:val="nil"/>
              <w:bottom w:val="single" w:sz="4" w:space="0" w:color="auto"/>
              <w:right w:val="nil"/>
            </w:tcBorders>
            <w:shd w:val="clear" w:color="auto" w:fill="auto"/>
            <w:noWrap/>
            <w:vAlign w:val="bottom"/>
            <w:hideMark/>
          </w:tcPr>
          <w:p w:rsidR="007606D6" w:rsidRPr="00883EC9" w:rsidRDefault="007606D6" w:rsidP="007606D6">
            <w:pPr>
              <w:rPr>
                <w:rFonts w:ascii="Times New Roman CE" w:hAnsi="Times New Roman CE" w:cs="Times New Roman CE"/>
                <w:i/>
                <w:iCs/>
                <w:sz w:val="22"/>
                <w:szCs w:val="22"/>
              </w:rPr>
            </w:pPr>
            <w:r w:rsidRPr="00883EC9">
              <w:rPr>
                <w:rFonts w:ascii="Times New Roman CE" w:hAnsi="Times New Roman CE" w:cs="Times New Roman CE"/>
                <w:i/>
                <w:iCs/>
                <w:sz w:val="22"/>
                <w:szCs w:val="22"/>
              </w:rPr>
              <w:t>Elsődleges tevékenységek összesen</w:t>
            </w:r>
          </w:p>
        </w:tc>
        <w:tc>
          <w:tcPr>
            <w:tcW w:w="992" w:type="dxa"/>
            <w:gridSpan w:val="2"/>
            <w:tcBorders>
              <w:top w:val="nil"/>
              <w:left w:val="nil"/>
              <w:bottom w:val="single" w:sz="4" w:space="0" w:color="auto"/>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i/>
                <w:iCs/>
              </w:rPr>
            </w:pPr>
            <w:r w:rsidRPr="00883EC9">
              <w:rPr>
                <w:rFonts w:ascii="Times New Roman CE" w:hAnsi="Times New Roman CE" w:cs="Times New Roman CE"/>
                <w:i/>
                <w:iCs/>
              </w:rPr>
              <w:t>2 898 944</w:t>
            </w:r>
          </w:p>
        </w:tc>
        <w:tc>
          <w:tcPr>
            <w:tcW w:w="1136" w:type="dxa"/>
            <w:gridSpan w:val="3"/>
            <w:tcBorders>
              <w:top w:val="nil"/>
              <w:left w:val="nil"/>
              <w:bottom w:val="single" w:sz="4" w:space="0" w:color="auto"/>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i/>
                <w:iCs/>
              </w:rPr>
            </w:pPr>
            <w:r w:rsidRPr="00883EC9">
              <w:rPr>
                <w:rFonts w:ascii="Times New Roman CE" w:hAnsi="Times New Roman CE" w:cs="Times New Roman CE"/>
                <w:i/>
                <w:iCs/>
              </w:rPr>
              <w:t>5 969 085</w:t>
            </w:r>
          </w:p>
        </w:tc>
        <w:tc>
          <w:tcPr>
            <w:tcW w:w="1274" w:type="dxa"/>
            <w:tcBorders>
              <w:top w:val="nil"/>
              <w:left w:val="nil"/>
              <w:bottom w:val="single" w:sz="4" w:space="0" w:color="auto"/>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i/>
                <w:iCs/>
              </w:rPr>
            </w:pPr>
            <w:r w:rsidRPr="00883EC9">
              <w:rPr>
                <w:rFonts w:ascii="Times New Roman CE" w:hAnsi="Times New Roman CE" w:cs="Times New Roman CE"/>
                <w:i/>
                <w:iCs/>
              </w:rPr>
              <w:t>2 926 174</w:t>
            </w:r>
          </w:p>
        </w:tc>
        <w:tc>
          <w:tcPr>
            <w:tcW w:w="1036" w:type="dxa"/>
            <w:tcBorders>
              <w:top w:val="nil"/>
              <w:left w:val="nil"/>
              <w:bottom w:val="single" w:sz="4" w:space="0" w:color="auto"/>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i/>
                <w:iCs/>
              </w:rPr>
            </w:pPr>
            <w:r w:rsidRPr="00883EC9">
              <w:rPr>
                <w:rFonts w:ascii="Times New Roman CE" w:hAnsi="Times New Roman CE" w:cs="Times New Roman CE"/>
                <w:i/>
                <w:iCs/>
              </w:rPr>
              <w:t>100,9%</w:t>
            </w:r>
          </w:p>
        </w:tc>
        <w:tc>
          <w:tcPr>
            <w:tcW w:w="948" w:type="dxa"/>
            <w:tcBorders>
              <w:top w:val="nil"/>
              <w:left w:val="nil"/>
              <w:bottom w:val="single" w:sz="4" w:space="0" w:color="auto"/>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i/>
                <w:iCs/>
              </w:rPr>
            </w:pPr>
            <w:r w:rsidRPr="00883EC9">
              <w:rPr>
                <w:rFonts w:ascii="Times New Roman CE" w:hAnsi="Times New Roman CE" w:cs="Times New Roman CE"/>
                <w:i/>
                <w:iCs/>
              </w:rPr>
              <w:t>49,0%</w:t>
            </w:r>
          </w:p>
        </w:tc>
      </w:tr>
      <w:tr w:rsidR="007606D6" w:rsidRPr="00883EC9" w:rsidTr="00D2714A">
        <w:trPr>
          <w:trHeight w:val="300"/>
        </w:trPr>
        <w:tc>
          <w:tcPr>
            <w:tcW w:w="4537" w:type="dxa"/>
            <w:gridSpan w:val="3"/>
            <w:tcBorders>
              <w:top w:val="nil"/>
              <w:left w:val="nil"/>
              <w:bottom w:val="nil"/>
              <w:right w:val="nil"/>
            </w:tcBorders>
            <w:shd w:val="clear" w:color="auto" w:fill="auto"/>
            <w:noWrap/>
            <w:vAlign w:val="bottom"/>
            <w:hideMark/>
          </w:tcPr>
          <w:p w:rsidR="007606D6" w:rsidRPr="00883EC9" w:rsidRDefault="007606D6" w:rsidP="007606D6">
            <w:pPr>
              <w:rPr>
                <w:rFonts w:ascii="Times New Roman CE" w:hAnsi="Times New Roman CE" w:cs="Times New Roman CE"/>
                <w:sz w:val="22"/>
                <w:szCs w:val="22"/>
              </w:rPr>
            </w:pPr>
            <w:r w:rsidRPr="00883EC9">
              <w:rPr>
                <w:rFonts w:ascii="Times New Roman CE" w:hAnsi="Times New Roman CE" w:cs="Times New Roman CE"/>
                <w:sz w:val="22"/>
                <w:szCs w:val="22"/>
              </w:rPr>
              <w:t>Ipari víz szolgáltatás</w:t>
            </w:r>
          </w:p>
        </w:tc>
        <w:tc>
          <w:tcPr>
            <w:tcW w:w="992" w:type="dxa"/>
            <w:gridSpan w:val="2"/>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1 943</w:t>
            </w:r>
          </w:p>
        </w:tc>
        <w:tc>
          <w:tcPr>
            <w:tcW w:w="1136" w:type="dxa"/>
            <w:gridSpan w:val="3"/>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6 800</w:t>
            </w:r>
          </w:p>
        </w:tc>
        <w:tc>
          <w:tcPr>
            <w:tcW w:w="1274" w:type="dxa"/>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1 629</w:t>
            </w:r>
          </w:p>
        </w:tc>
        <w:tc>
          <w:tcPr>
            <w:tcW w:w="1036" w:type="dxa"/>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83,8%</w:t>
            </w:r>
          </w:p>
        </w:tc>
        <w:tc>
          <w:tcPr>
            <w:tcW w:w="948" w:type="dxa"/>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24,0%</w:t>
            </w:r>
          </w:p>
        </w:tc>
      </w:tr>
      <w:tr w:rsidR="007606D6" w:rsidRPr="00883EC9" w:rsidTr="00D2714A">
        <w:trPr>
          <w:trHeight w:val="300"/>
        </w:trPr>
        <w:tc>
          <w:tcPr>
            <w:tcW w:w="4537" w:type="dxa"/>
            <w:gridSpan w:val="3"/>
            <w:tcBorders>
              <w:top w:val="nil"/>
              <w:left w:val="nil"/>
              <w:bottom w:val="nil"/>
              <w:right w:val="nil"/>
            </w:tcBorders>
            <w:shd w:val="clear" w:color="auto" w:fill="auto"/>
            <w:noWrap/>
            <w:vAlign w:val="bottom"/>
            <w:hideMark/>
          </w:tcPr>
          <w:p w:rsidR="007606D6" w:rsidRPr="00883EC9" w:rsidRDefault="007606D6" w:rsidP="007606D6">
            <w:pPr>
              <w:rPr>
                <w:rFonts w:ascii="Times New Roman CE" w:hAnsi="Times New Roman CE" w:cs="Times New Roman CE"/>
                <w:sz w:val="22"/>
                <w:szCs w:val="22"/>
              </w:rPr>
            </w:pPr>
            <w:r w:rsidRPr="00883EC9">
              <w:rPr>
                <w:rFonts w:ascii="Times New Roman CE" w:hAnsi="Times New Roman CE" w:cs="Times New Roman CE"/>
                <w:sz w:val="22"/>
                <w:szCs w:val="22"/>
              </w:rPr>
              <w:t>Fürdőszolgáltatás és kiegészítő tevékenység</w:t>
            </w:r>
          </w:p>
        </w:tc>
        <w:tc>
          <w:tcPr>
            <w:tcW w:w="992" w:type="dxa"/>
            <w:gridSpan w:val="2"/>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40 589</w:t>
            </w:r>
          </w:p>
        </w:tc>
        <w:tc>
          <w:tcPr>
            <w:tcW w:w="1136" w:type="dxa"/>
            <w:gridSpan w:val="3"/>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115 000</w:t>
            </w:r>
          </w:p>
        </w:tc>
        <w:tc>
          <w:tcPr>
            <w:tcW w:w="1274" w:type="dxa"/>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40 629</w:t>
            </w:r>
          </w:p>
        </w:tc>
        <w:tc>
          <w:tcPr>
            <w:tcW w:w="1036" w:type="dxa"/>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100,1%</w:t>
            </w:r>
          </w:p>
        </w:tc>
        <w:tc>
          <w:tcPr>
            <w:tcW w:w="948" w:type="dxa"/>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35,3%</w:t>
            </w:r>
          </w:p>
        </w:tc>
      </w:tr>
      <w:tr w:rsidR="007606D6" w:rsidRPr="00883EC9" w:rsidTr="00D2714A">
        <w:trPr>
          <w:trHeight w:val="300"/>
        </w:trPr>
        <w:tc>
          <w:tcPr>
            <w:tcW w:w="4537" w:type="dxa"/>
            <w:gridSpan w:val="3"/>
            <w:tcBorders>
              <w:top w:val="nil"/>
              <w:left w:val="nil"/>
              <w:bottom w:val="nil"/>
              <w:right w:val="nil"/>
            </w:tcBorders>
            <w:shd w:val="clear" w:color="auto" w:fill="auto"/>
            <w:noWrap/>
            <w:vAlign w:val="bottom"/>
            <w:hideMark/>
          </w:tcPr>
          <w:p w:rsidR="007606D6" w:rsidRPr="00883EC9" w:rsidRDefault="007606D6" w:rsidP="007606D6">
            <w:pPr>
              <w:rPr>
                <w:rFonts w:ascii="Times New Roman CE" w:hAnsi="Times New Roman CE" w:cs="Times New Roman CE"/>
                <w:sz w:val="22"/>
                <w:szCs w:val="22"/>
              </w:rPr>
            </w:pPr>
            <w:r w:rsidRPr="00883EC9">
              <w:rPr>
                <w:rFonts w:ascii="Times New Roman CE" w:hAnsi="Times New Roman CE" w:cs="Times New Roman CE"/>
                <w:sz w:val="22"/>
                <w:szCs w:val="22"/>
              </w:rPr>
              <w:t>Építőipari  tevékenység</w:t>
            </w:r>
          </w:p>
        </w:tc>
        <w:tc>
          <w:tcPr>
            <w:tcW w:w="992" w:type="dxa"/>
            <w:gridSpan w:val="2"/>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183 069</w:t>
            </w:r>
          </w:p>
        </w:tc>
        <w:tc>
          <w:tcPr>
            <w:tcW w:w="1136" w:type="dxa"/>
            <w:gridSpan w:val="3"/>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827 539</w:t>
            </w:r>
          </w:p>
        </w:tc>
        <w:tc>
          <w:tcPr>
            <w:tcW w:w="1274" w:type="dxa"/>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296 400</w:t>
            </w:r>
          </w:p>
        </w:tc>
        <w:tc>
          <w:tcPr>
            <w:tcW w:w="1036" w:type="dxa"/>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161,9%</w:t>
            </w:r>
          </w:p>
        </w:tc>
        <w:tc>
          <w:tcPr>
            <w:tcW w:w="948" w:type="dxa"/>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35,8%</w:t>
            </w:r>
          </w:p>
        </w:tc>
      </w:tr>
      <w:tr w:rsidR="007606D6" w:rsidRPr="00883EC9" w:rsidTr="00D2714A">
        <w:trPr>
          <w:trHeight w:val="270"/>
        </w:trPr>
        <w:tc>
          <w:tcPr>
            <w:tcW w:w="4537" w:type="dxa"/>
            <w:gridSpan w:val="3"/>
            <w:tcBorders>
              <w:top w:val="nil"/>
              <w:left w:val="nil"/>
              <w:bottom w:val="nil"/>
              <w:right w:val="nil"/>
            </w:tcBorders>
            <w:shd w:val="clear" w:color="auto" w:fill="auto"/>
            <w:noWrap/>
            <w:vAlign w:val="bottom"/>
            <w:hideMark/>
          </w:tcPr>
          <w:p w:rsidR="007606D6" w:rsidRPr="00883EC9" w:rsidRDefault="007606D6" w:rsidP="007606D6">
            <w:pPr>
              <w:rPr>
                <w:sz w:val="21"/>
                <w:szCs w:val="21"/>
              </w:rPr>
            </w:pPr>
            <w:r w:rsidRPr="00883EC9">
              <w:rPr>
                <w:sz w:val="21"/>
                <w:szCs w:val="21"/>
              </w:rPr>
              <w:t xml:space="preserve">     </w:t>
            </w:r>
            <w:proofErr w:type="spellStart"/>
            <w:r w:rsidRPr="00883EC9">
              <w:rPr>
                <w:sz w:val="21"/>
                <w:szCs w:val="21"/>
              </w:rPr>
              <w:t>önkorm</w:t>
            </w:r>
            <w:proofErr w:type="spellEnd"/>
            <w:r w:rsidRPr="00883EC9">
              <w:rPr>
                <w:sz w:val="21"/>
                <w:szCs w:val="21"/>
              </w:rPr>
              <w:t xml:space="preserve">. </w:t>
            </w:r>
            <w:proofErr w:type="spellStart"/>
            <w:r w:rsidRPr="00883EC9">
              <w:rPr>
                <w:sz w:val="21"/>
                <w:szCs w:val="21"/>
              </w:rPr>
              <w:t>víziközművek</w:t>
            </w:r>
            <w:proofErr w:type="spellEnd"/>
            <w:r w:rsidRPr="00883EC9">
              <w:rPr>
                <w:sz w:val="21"/>
                <w:szCs w:val="21"/>
              </w:rPr>
              <w:t xml:space="preserve"> ép. </w:t>
            </w:r>
            <w:proofErr w:type="spellStart"/>
            <w:r w:rsidRPr="00883EC9">
              <w:rPr>
                <w:sz w:val="21"/>
                <w:szCs w:val="21"/>
              </w:rPr>
              <w:t>szer.munkák</w:t>
            </w:r>
            <w:proofErr w:type="spellEnd"/>
          </w:p>
        </w:tc>
        <w:tc>
          <w:tcPr>
            <w:tcW w:w="992" w:type="dxa"/>
            <w:gridSpan w:val="2"/>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sz w:val="21"/>
                <w:szCs w:val="21"/>
              </w:rPr>
            </w:pPr>
            <w:r w:rsidRPr="00883EC9">
              <w:rPr>
                <w:rFonts w:ascii="Times New Roman CE" w:hAnsi="Times New Roman CE" w:cs="Times New Roman CE"/>
                <w:sz w:val="21"/>
                <w:szCs w:val="21"/>
              </w:rPr>
              <w:t>109 659</w:t>
            </w:r>
          </w:p>
        </w:tc>
        <w:tc>
          <w:tcPr>
            <w:tcW w:w="1136" w:type="dxa"/>
            <w:gridSpan w:val="3"/>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sz w:val="21"/>
                <w:szCs w:val="21"/>
              </w:rPr>
            </w:pPr>
            <w:r w:rsidRPr="00883EC9">
              <w:rPr>
                <w:rFonts w:ascii="Times New Roman CE" w:hAnsi="Times New Roman CE" w:cs="Times New Roman CE"/>
                <w:sz w:val="21"/>
                <w:szCs w:val="21"/>
              </w:rPr>
              <w:t>725 694</w:t>
            </w:r>
          </w:p>
        </w:tc>
        <w:tc>
          <w:tcPr>
            <w:tcW w:w="1274" w:type="dxa"/>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sz w:val="21"/>
                <w:szCs w:val="21"/>
              </w:rPr>
            </w:pPr>
            <w:r w:rsidRPr="00883EC9">
              <w:rPr>
                <w:rFonts w:ascii="Times New Roman CE" w:hAnsi="Times New Roman CE" w:cs="Times New Roman CE"/>
                <w:sz w:val="21"/>
                <w:szCs w:val="21"/>
              </w:rPr>
              <w:t>123 417</w:t>
            </w:r>
          </w:p>
        </w:tc>
        <w:tc>
          <w:tcPr>
            <w:tcW w:w="1036" w:type="dxa"/>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sz w:val="21"/>
                <w:szCs w:val="21"/>
              </w:rPr>
            </w:pPr>
            <w:r w:rsidRPr="00883EC9">
              <w:rPr>
                <w:rFonts w:ascii="Times New Roman CE" w:hAnsi="Times New Roman CE" w:cs="Times New Roman CE"/>
                <w:sz w:val="21"/>
                <w:szCs w:val="21"/>
              </w:rPr>
              <w:t>112,5%</w:t>
            </w:r>
          </w:p>
        </w:tc>
        <w:tc>
          <w:tcPr>
            <w:tcW w:w="948" w:type="dxa"/>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sz w:val="21"/>
                <w:szCs w:val="21"/>
              </w:rPr>
            </w:pPr>
            <w:r w:rsidRPr="00883EC9">
              <w:rPr>
                <w:rFonts w:ascii="Times New Roman CE" w:hAnsi="Times New Roman CE" w:cs="Times New Roman CE"/>
                <w:sz w:val="21"/>
                <w:szCs w:val="21"/>
              </w:rPr>
              <w:t>17,0%</w:t>
            </w:r>
          </w:p>
        </w:tc>
      </w:tr>
      <w:tr w:rsidR="007606D6" w:rsidRPr="00883EC9" w:rsidTr="00E25ACF">
        <w:trPr>
          <w:trHeight w:val="136"/>
        </w:trPr>
        <w:tc>
          <w:tcPr>
            <w:tcW w:w="4537" w:type="dxa"/>
            <w:gridSpan w:val="3"/>
            <w:tcBorders>
              <w:top w:val="nil"/>
              <w:left w:val="nil"/>
              <w:bottom w:val="nil"/>
              <w:right w:val="nil"/>
            </w:tcBorders>
            <w:shd w:val="clear" w:color="auto" w:fill="auto"/>
            <w:noWrap/>
            <w:vAlign w:val="bottom"/>
            <w:hideMark/>
          </w:tcPr>
          <w:p w:rsidR="007606D6" w:rsidRPr="00883EC9" w:rsidRDefault="007606D6" w:rsidP="007606D6">
            <w:pPr>
              <w:rPr>
                <w:rFonts w:ascii="Times New Roman CE" w:hAnsi="Times New Roman CE" w:cs="Times New Roman CE"/>
                <w:sz w:val="21"/>
                <w:szCs w:val="21"/>
              </w:rPr>
            </w:pPr>
            <w:r w:rsidRPr="00883EC9">
              <w:rPr>
                <w:rFonts w:ascii="Times New Roman CE" w:hAnsi="Times New Roman CE" w:cs="Times New Roman CE"/>
                <w:sz w:val="21"/>
                <w:szCs w:val="21"/>
              </w:rPr>
              <w:t xml:space="preserve">     egyéb építőipari munkák</w:t>
            </w:r>
          </w:p>
        </w:tc>
        <w:tc>
          <w:tcPr>
            <w:tcW w:w="992" w:type="dxa"/>
            <w:gridSpan w:val="2"/>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sz w:val="21"/>
                <w:szCs w:val="21"/>
              </w:rPr>
            </w:pPr>
            <w:r w:rsidRPr="00883EC9">
              <w:rPr>
                <w:rFonts w:ascii="Times New Roman CE" w:hAnsi="Times New Roman CE" w:cs="Times New Roman CE"/>
                <w:sz w:val="21"/>
                <w:szCs w:val="21"/>
              </w:rPr>
              <w:t>73 410</w:t>
            </w:r>
          </w:p>
        </w:tc>
        <w:tc>
          <w:tcPr>
            <w:tcW w:w="1136" w:type="dxa"/>
            <w:gridSpan w:val="3"/>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sz w:val="21"/>
                <w:szCs w:val="21"/>
              </w:rPr>
            </w:pPr>
            <w:r w:rsidRPr="00883EC9">
              <w:rPr>
                <w:rFonts w:ascii="Times New Roman CE" w:hAnsi="Times New Roman CE" w:cs="Times New Roman CE"/>
                <w:sz w:val="21"/>
                <w:szCs w:val="21"/>
              </w:rPr>
              <w:t>101 845</w:t>
            </w:r>
          </w:p>
        </w:tc>
        <w:tc>
          <w:tcPr>
            <w:tcW w:w="1274" w:type="dxa"/>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sz w:val="21"/>
                <w:szCs w:val="21"/>
              </w:rPr>
            </w:pPr>
            <w:r w:rsidRPr="00883EC9">
              <w:rPr>
                <w:rFonts w:ascii="Times New Roman CE" w:hAnsi="Times New Roman CE" w:cs="Times New Roman CE"/>
                <w:sz w:val="21"/>
                <w:szCs w:val="21"/>
              </w:rPr>
              <w:t>172 983</w:t>
            </w:r>
          </w:p>
        </w:tc>
        <w:tc>
          <w:tcPr>
            <w:tcW w:w="1036" w:type="dxa"/>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sz w:val="21"/>
                <w:szCs w:val="21"/>
              </w:rPr>
            </w:pPr>
            <w:r w:rsidRPr="00883EC9">
              <w:rPr>
                <w:rFonts w:ascii="Times New Roman CE" w:hAnsi="Times New Roman CE" w:cs="Times New Roman CE"/>
                <w:sz w:val="21"/>
                <w:szCs w:val="21"/>
              </w:rPr>
              <w:t>235,6%</w:t>
            </w:r>
          </w:p>
        </w:tc>
        <w:tc>
          <w:tcPr>
            <w:tcW w:w="948" w:type="dxa"/>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sz w:val="21"/>
                <w:szCs w:val="21"/>
              </w:rPr>
            </w:pPr>
            <w:r w:rsidRPr="00883EC9">
              <w:rPr>
                <w:rFonts w:ascii="Times New Roman CE" w:hAnsi="Times New Roman CE" w:cs="Times New Roman CE"/>
                <w:sz w:val="21"/>
                <w:szCs w:val="21"/>
              </w:rPr>
              <w:t>169,8%</w:t>
            </w:r>
          </w:p>
        </w:tc>
      </w:tr>
      <w:tr w:rsidR="007606D6" w:rsidRPr="00883EC9" w:rsidTr="00D2714A">
        <w:trPr>
          <w:trHeight w:val="300"/>
        </w:trPr>
        <w:tc>
          <w:tcPr>
            <w:tcW w:w="4537" w:type="dxa"/>
            <w:gridSpan w:val="3"/>
            <w:tcBorders>
              <w:top w:val="nil"/>
              <w:left w:val="nil"/>
              <w:bottom w:val="nil"/>
              <w:right w:val="nil"/>
            </w:tcBorders>
            <w:shd w:val="clear" w:color="auto" w:fill="auto"/>
            <w:noWrap/>
            <w:vAlign w:val="bottom"/>
            <w:hideMark/>
          </w:tcPr>
          <w:p w:rsidR="007606D6" w:rsidRPr="00883EC9" w:rsidRDefault="007606D6" w:rsidP="007606D6">
            <w:pPr>
              <w:rPr>
                <w:rFonts w:ascii="Times New Roman CE" w:hAnsi="Times New Roman CE" w:cs="Times New Roman CE"/>
                <w:sz w:val="22"/>
                <w:szCs w:val="22"/>
              </w:rPr>
            </w:pPr>
            <w:r w:rsidRPr="00883EC9">
              <w:rPr>
                <w:rFonts w:ascii="Times New Roman CE" w:hAnsi="Times New Roman CE" w:cs="Times New Roman CE"/>
                <w:sz w:val="22"/>
                <w:szCs w:val="22"/>
              </w:rPr>
              <w:t xml:space="preserve">Alaptevékenységhez kapcsolódó egyéb </w:t>
            </w:r>
            <w:proofErr w:type="spellStart"/>
            <w:r w:rsidRPr="00883EC9">
              <w:rPr>
                <w:rFonts w:ascii="Times New Roman CE" w:hAnsi="Times New Roman CE" w:cs="Times New Roman CE"/>
                <w:sz w:val="22"/>
                <w:szCs w:val="22"/>
              </w:rPr>
              <w:t>szolg</w:t>
            </w:r>
            <w:proofErr w:type="spellEnd"/>
            <w:r w:rsidRPr="00883EC9">
              <w:rPr>
                <w:rFonts w:ascii="Times New Roman CE" w:hAnsi="Times New Roman CE" w:cs="Times New Roman CE"/>
                <w:sz w:val="22"/>
                <w:szCs w:val="22"/>
              </w:rPr>
              <w:t>.</w:t>
            </w:r>
          </w:p>
        </w:tc>
        <w:tc>
          <w:tcPr>
            <w:tcW w:w="992" w:type="dxa"/>
            <w:gridSpan w:val="2"/>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29 048</w:t>
            </w:r>
          </w:p>
        </w:tc>
        <w:tc>
          <w:tcPr>
            <w:tcW w:w="1136" w:type="dxa"/>
            <w:gridSpan w:val="3"/>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86 912</w:t>
            </w:r>
          </w:p>
        </w:tc>
        <w:tc>
          <w:tcPr>
            <w:tcW w:w="1274" w:type="dxa"/>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51 234</w:t>
            </w:r>
          </w:p>
        </w:tc>
        <w:tc>
          <w:tcPr>
            <w:tcW w:w="1036" w:type="dxa"/>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176,4%</w:t>
            </w:r>
          </w:p>
        </w:tc>
        <w:tc>
          <w:tcPr>
            <w:tcW w:w="948" w:type="dxa"/>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58,9%</w:t>
            </w:r>
          </w:p>
        </w:tc>
      </w:tr>
      <w:tr w:rsidR="007606D6" w:rsidRPr="00883EC9" w:rsidTr="00D2714A">
        <w:trPr>
          <w:trHeight w:val="300"/>
        </w:trPr>
        <w:tc>
          <w:tcPr>
            <w:tcW w:w="4537" w:type="dxa"/>
            <w:gridSpan w:val="3"/>
            <w:tcBorders>
              <w:top w:val="nil"/>
              <w:left w:val="nil"/>
              <w:bottom w:val="nil"/>
              <w:right w:val="nil"/>
            </w:tcBorders>
            <w:shd w:val="clear" w:color="auto" w:fill="auto"/>
            <w:noWrap/>
            <w:vAlign w:val="bottom"/>
            <w:hideMark/>
          </w:tcPr>
          <w:p w:rsidR="007606D6" w:rsidRPr="00883EC9" w:rsidRDefault="007606D6" w:rsidP="007606D6">
            <w:pPr>
              <w:rPr>
                <w:rFonts w:ascii="Times New Roman CE" w:hAnsi="Times New Roman CE" w:cs="Times New Roman CE"/>
                <w:sz w:val="22"/>
                <w:szCs w:val="22"/>
              </w:rPr>
            </w:pPr>
            <w:r w:rsidRPr="00883EC9">
              <w:rPr>
                <w:rFonts w:ascii="Times New Roman CE" w:hAnsi="Times New Roman CE" w:cs="Times New Roman CE"/>
                <w:sz w:val="22"/>
                <w:szCs w:val="22"/>
              </w:rPr>
              <w:t>Alaptevékenységen kívüli egyéb tevékenység</w:t>
            </w:r>
          </w:p>
        </w:tc>
        <w:tc>
          <w:tcPr>
            <w:tcW w:w="992" w:type="dxa"/>
            <w:gridSpan w:val="2"/>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31 960</w:t>
            </w:r>
          </w:p>
        </w:tc>
        <w:tc>
          <w:tcPr>
            <w:tcW w:w="1136" w:type="dxa"/>
            <w:gridSpan w:val="3"/>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80 385</w:t>
            </w:r>
          </w:p>
        </w:tc>
        <w:tc>
          <w:tcPr>
            <w:tcW w:w="1274" w:type="dxa"/>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49 331</w:t>
            </w:r>
          </w:p>
        </w:tc>
        <w:tc>
          <w:tcPr>
            <w:tcW w:w="1036" w:type="dxa"/>
            <w:tcBorders>
              <w:top w:val="nil"/>
              <w:left w:val="nil"/>
              <w:bottom w:val="single" w:sz="4" w:space="0" w:color="auto"/>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154,4%</w:t>
            </w:r>
          </w:p>
        </w:tc>
        <w:tc>
          <w:tcPr>
            <w:tcW w:w="948" w:type="dxa"/>
            <w:tcBorders>
              <w:top w:val="nil"/>
              <w:left w:val="nil"/>
              <w:bottom w:val="single" w:sz="4" w:space="0" w:color="auto"/>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61,4%</w:t>
            </w:r>
          </w:p>
        </w:tc>
      </w:tr>
      <w:tr w:rsidR="007606D6" w:rsidRPr="00883EC9" w:rsidTr="00D2714A">
        <w:trPr>
          <w:trHeight w:val="300"/>
        </w:trPr>
        <w:tc>
          <w:tcPr>
            <w:tcW w:w="4537" w:type="dxa"/>
            <w:gridSpan w:val="3"/>
            <w:tcBorders>
              <w:top w:val="single" w:sz="4" w:space="0" w:color="auto"/>
              <w:left w:val="nil"/>
              <w:bottom w:val="single" w:sz="4" w:space="0" w:color="auto"/>
              <w:right w:val="nil"/>
            </w:tcBorders>
            <w:shd w:val="clear" w:color="auto" w:fill="auto"/>
            <w:noWrap/>
            <w:vAlign w:val="bottom"/>
            <w:hideMark/>
          </w:tcPr>
          <w:p w:rsidR="007606D6" w:rsidRPr="00883EC9" w:rsidRDefault="007606D6" w:rsidP="007606D6">
            <w:pPr>
              <w:rPr>
                <w:rFonts w:ascii="Times New Roman CE" w:hAnsi="Times New Roman CE" w:cs="Times New Roman CE"/>
                <w:i/>
                <w:iCs/>
                <w:sz w:val="22"/>
                <w:szCs w:val="22"/>
              </w:rPr>
            </w:pPr>
            <w:r w:rsidRPr="00883EC9">
              <w:rPr>
                <w:rFonts w:ascii="Times New Roman CE" w:hAnsi="Times New Roman CE" w:cs="Times New Roman CE"/>
                <w:i/>
                <w:iCs/>
                <w:sz w:val="22"/>
                <w:szCs w:val="22"/>
              </w:rPr>
              <w:t>Másodlagos tevékenységek összesen</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i/>
                <w:iCs/>
              </w:rPr>
            </w:pPr>
            <w:r w:rsidRPr="00883EC9">
              <w:rPr>
                <w:rFonts w:ascii="Times New Roman CE" w:hAnsi="Times New Roman CE" w:cs="Times New Roman CE"/>
                <w:i/>
                <w:iCs/>
              </w:rPr>
              <w:t>286 609</w:t>
            </w:r>
          </w:p>
        </w:tc>
        <w:tc>
          <w:tcPr>
            <w:tcW w:w="1136" w:type="dxa"/>
            <w:gridSpan w:val="3"/>
            <w:tcBorders>
              <w:top w:val="single" w:sz="4" w:space="0" w:color="auto"/>
              <w:left w:val="nil"/>
              <w:bottom w:val="single" w:sz="4"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i/>
                <w:iCs/>
              </w:rPr>
            </w:pPr>
            <w:r w:rsidRPr="00883EC9">
              <w:rPr>
                <w:rFonts w:ascii="Times New Roman CE" w:hAnsi="Times New Roman CE" w:cs="Times New Roman CE"/>
                <w:i/>
                <w:iCs/>
              </w:rPr>
              <w:t>1 116 636</w:t>
            </w:r>
          </w:p>
        </w:tc>
        <w:tc>
          <w:tcPr>
            <w:tcW w:w="1274" w:type="dxa"/>
            <w:tcBorders>
              <w:top w:val="single" w:sz="4" w:space="0" w:color="auto"/>
              <w:left w:val="nil"/>
              <w:bottom w:val="single" w:sz="4"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i/>
                <w:iCs/>
              </w:rPr>
            </w:pPr>
            <w:r w:rsidRPr="00883EC9">
              <w:rPr>
                <w:rFonts w:ascii="Times New Roman CE" w:hAnsi="Times New Roman CE" w:cs="Times New Roman CE"/>
                <w:i/>
                <w:iCs/>
              </w:rPr>
              <w:t>439 223</w:t>
            </w:r>
          </w:p>
        </w:tc>
        <w:tc>
          <w:tcPr>
            <w:tcW w:w="1036" w:type="dxa"/>
            <w:tcBorders>
              <w:top w:val="nil"/>
              <w:left w:val="nil"/>
              <w:bottom w:val="single" w:sz="4"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i/>
                <w:iCs/>
              </w:rPr>
            </w:pPr>
            <w:r w:rsidRPr="00883EC9">
              <w:rPr>
                <w:rFonts w:ascii="Times New Roman CE" w:hAnsi="Times New Roman CE" w:cs="Times New Roman CE"/>
                <w:i/>
                <w:iCs/>
              </w:rPr>
              <w:t>153,2%</w:t>
            </w:r>
          </w:p>
        </w:tc>
        <w:tc>
          <w:tcPr>
            <w:tcW w:w="948" w:type="dxa"/>
            <w:tcBorders>
              <w:top w:val="nil"/>
              <w:left w:val="nil"/>
              <w:bottom w:val="single" w:sz="4"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i/>
                <w:iCs/>
              </w:rPr>
            </w:pPr>
            <w:r w:rsidRPr="00883EC9">
              <w:rPr>
                <w:rFonts w:ascii="Times New Roman CE" w:hAnsi="Times New Roman CE" w:cs="Times New Roman CE"/>
                <w:i/>
                <w:iCs/>
              </w:rPr>
              <w:t>39,3%</w:t>
            </w:r>
          </w:p>
        </w:tc>
      </w:tr>
      <w:tr w:rsidR="007606D6" w:rsidRPr="00883EC9" w:rsidTr="00766EB8">
        <w:trPr>
          <w:trHeight w:val="168"/>
        </w:trPr>
        <w:tc>
          <w:tcPr>
            <w:tcW w:w="4537" w:type="dxa"/>
            <w:gridSpan w:val="3"/>
            <w:tcBorders>
              <w:top w:val="nil"/>
              <w:left w:val="nil"/>
              <w:bottom w:val="single" w:sz="4" w:space="0" w:color="auto"/>
              <w:right w:val="nil"/>
            </w:tcBorders>
            <w:shd w:val="clear" w:color="auto" w:fill="auto"/>
            <w:noWrap/>
            <w:vAlign w:val="bottom"/>
            <w:hideMark/>
          </w:tcPr>
          <w:p w:rsidR="007606D6" w:rsidRPr="00883EC9" w:rsidRDefault="007606D6" w:rsidP="007606D6">
            <w:pPr>
              <w:rPr>
                <w:rFonts w:ascii="Times New Roman CE" w:hAnsi="Times New Roman CE" w:cs="Times New Roman CE"/>
                <w:b/>
                <w:bCs/>
                <w:i/>
                <w:iCs/>
                <w:sz w:val="22"/>
                <w:szCs w:val="22"/>
              </w:rPr>
            </w:pPr>
            <w:r w:rsidRPr="00883EC9">
              <w:rPr>
                <w:rFonts w:ascii="Times New Roman CE" w:hAnsi="Times New Roman CE" w:cs="Times New Roman CE"/>
                <w:b/>
                <w:bCs/>
                <w:i/>
                <w:iCs/>
                <w:sz w:val="22"/>
                <w:szCs w:val="22"/>
              </w:rPr>
              <w:t>Belföldi értékesítés nettó árbevétele</w:t>
            </w:r>
          </w:p>
        </w:tc>
        <w:tc>
          <w:tcPr>
            <w:tcW w:w="992" w:type="dxa"/>
            <w:gridSpan w:val="2"/>
            <w:tcBorders>
              <w:top w:val="nil"/>
              <w:left w:val="nil"/>
              <w:bottom w:val="single" w:sz="4"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i/>
                <w:iCs/>
              </w:rPr>
            </w:pPr>
            <w:r w:rsidRPr="00883EC9">
              <w:rPr>
                <w:rFonts w:ascii="Times New Roman CE" w:hAnsi="Times New Roman CE" w:cs="Times New Roman CE"/>
                <w:b/>
                <w:bCs/>
                <w:i/>
                <w:iCs/>
              </w:rPr>
              <w:t>3 185 553</w:t>
            </w:r>
          </w:p>
        </w:tc>
        <w:tc>
          <w:tcPr>
            <w:tcW w:w="1136" w:type="dxa"/>
            <w:gridSpan w:val="3"/>
            <w:tcBorders>
              <w:top w:val="nil"/>
              <w:left w:val="nil"/>
              <w:bottom w:val="single" w:sz="4"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i/>
                <w:iCs/>
              </w:rPr>
            </w:pPr>
            <w:r w:rsidRPr="00883EC9">
              <w:rPr>
                <w:rFonts w:ascii="Times New Roman CE" w:hAnsi="Times New Roman CE" w:cs="Times New Roman CE"/>
                <w:b/>
                <w:bCs/>
                <w:i/>
                <w:iCs/>
              </w:rPr>
              <w:t>7 085 721</w:t>
            </w:r>
          </w:p>
        </w:tc>
        <w:tc>
          <w:tcPr>
            <w:tcW w:w="1274" w:type="dxa"/>
            <w:tcBorders>
              <w:top w:val="nil"/>
              <w:left w:val="nil"/>
              <w:bottom w:val="single" w:sz="4"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i/>
                <w:iCs/>
              </w:rPr>
            </w:pPr>
            <w:r w:rsidRPr="00883EC9">
              <w:rPr>
                <w:rFonts w:ascii="Times New Roman CE" w:hAnsi="Times New Roman CE" w:cs="Times New Roman CE"/>
                <w:b/>
                <w:bCs/>
                <w:i/>
                <w:iCs/>
              </w:rPr>
              <w:t>3 365 397</w:t>
            </w:r>
          </w:p>
        </w:tc>
        <w:tc>
          <w:tcPr>
            <w:tcW w:w="1036" w:type="dxa"/>
            <w:tcBorders>
              <w:top w:val="nil"/>
              <w:left w:val="nil"/>
              <w:bottom w:val="single" w:sz="4"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i/>
                <w:iCs/>
              </w:rPr>
            </w:pPr>
            <w:r w:rsidRPr="00883EC9">
              <w:rPr>
                <w:rFonts w:ascii="Times New Roman CE" w:hAnsi="Times New Roman CE" w:cs="Times New Roman CE"/>
                <w:b/>
                <w:bCs/>
                <w:i/>
                <w:iCs/>
              </w:rPr>
              <w:t>105,6%</w:t>
            </w:r>
          </w:p>
        </w:tc>
        <w:tc>
          <w:tcPr>
            <w:tcW w:w="948" w:type="dxa"/>
            <w:tcBorders>
              <w:top w:val="nil"/>
              <w:left w:val="nil"/>
              <w:bottom w:val="single" w:sz="4"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i/>
                <w:iCs/>
              </w:rPr>
            </w:pPr>
            <w:r w:rsidRPr="00883EC9">
              <w:rPr>
                <w:rFonts w:ascii="Times New Roman CE" w:hAnsi="Times New Roman CE" w:cs="Times New Roman CE"/>
                <w:b/>
                <w:bCs/>
                <w:i/>
                <w:iCs/>
              </w:rPr>
              <w:t>47,5%</w:t>
            </w:r>
          </w:p>
        </w:tc>
      </w:tr>
      <w:tr w:rsidR="007606D6" w:rsidRPr="00883EC9" w:rsidTr="00D2714A">
        <w:trPr>
          <w:trHeight w:val="315"/>
        </w:trPr>
        <w:tc>
          <w:tcPr>
            <w:tcW w:w="4537" w:type="dxa"/>
            <w:gridSpan w:val="3"/>
            <w:tcBorders>
              <w:top w:val="nil"/>
              <w:left w:val="nil"/>
              <w:bottom w:val="single" w:sz="4" w:space="0" w:color="auto"/>
              <w:right w:val="nil"/>
            </w:tcBorders>
            <w:shd w:val="clear" w:color="auto" w:fill="auto"/>
            <w:noWrap/>
            <w:vAlign w:val="bottom"/>
            <w:hideMark/>
          </w:tcPr>
          <w:p w:rsidR="007606D6" w:rsidRPr="00883EC9" w:rsidRDefault="007606D6" w:rsidP="007606D6">
            <w:pPr>
              <w:rPr>
                <w:rFonts w:ascii="Times New Roman CE" w:hAnsi="Times New Roman CE" w:cs="Times New Roman CE"/>
                <w:b/>
                <w:bCs/>
                <w:i/>
                <w:iCs/>
                <w:sz w:val="22"/>
                <w:szCs w:val="22"/>
              </w:rPr>
            </w:pPr>
            <w:r w:rsidRPr="00883EC9">
              <w:rPr>
                <w:rFonts w:ascii="Times New Roman CE" w:hAnsi="Times New Roman CE" w:cs="Times New Roman CE"/>
                <w:b/>
                <w:bCs/>
                <w:i/>
                <w:iCs/>
                <w:sz w:val="22"/>
                <w:szCs w:val="22"/>
              </w:rPr>
              <w:t>Exportértékesítés nettó árbevétele</w:t>
            </w:r>
          </w:p>
        </w:tc>
        <w:tc>
          <w:tcPr>
            <w:tcW w:w="992" w:type="dxa"/>
            <w:gridSpan w:val="2"/>
            <w:tcBorders>
              <w:top w:val="nil"/>
              <w:left w:val="nil"/>
              <w:bottom w:val="single" w:sz="4"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i/>
                <w:iCs/>
              </w:rPr>
            </w:pPr>
            <w:r w:rsidRPr="00883EC9">
              <w:rPr>
                <w:rFonts w:ascii="Times New Roman CE" w:hAnsi="Times New Roman CE" w:cs="Times New Roman CE"/>
                <w:b/>
                <w:bCs/>
                <w:i/>
                <w:iCs/>
              </w:rPr>
              <w:t>3 832</w:t>
            </w:r>
          </w:p>
        </w:tc>
        <w:tc>
          <w:tcPr>
            <w:tcW w:w="1136" w:type="dxa"/>
            <w:gridSpan w:val="3"/>
            <w:tcBorders>
              <w:top w:val="nil"/>
              <w:left w:val="nil"/>
              <w:bottom w:val="single" w:sz="4"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i/>
                <w:iCs/>
              </w:rPr>
            </w:pPr>
            <w:r w:rsidRPr="00883EC9">
              <w:rPr>
                <w:rFonts w:ascii="Times New Roman CE" w:hAnsi="Times New Roman CE" w:cs="Times New Roman CE"/>
                <w:b/>
                <w:bCs/>
                <w:i/>
                <w:iCs/>
              </w:rPr>
              <w:t>10 300</w:t>
            </w:r>
          </w:p>
        </w:tc>
        <w:tc>
          <w:tcPr>
            <w:tcW w:w="1274" w:type="dxa"/>
            <w:tcBorders>
              <w:top w:val="nil"/>
              <w:left w:val="nil"/>
              <w:bottom w:val="single" w:sz="4"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i/>
                <w:iCs/>
              </w:rPr>
            </w:pPr>
            <w:r w:rsidRPr="00883EC9">
              <w:rPr>
                <w:rFonts w:ascii="Times New Roman CE" w:hAnsi="Times New Roman CE" w:cs="Times New Roman CE"/>
                <w:b/>
                <w:bCs/>
                <w:i/>
                <w:iCs/>
              </w:rPr>
              <w:t>4 057</w:t>
            </w:r>
          </w:p>
        </w:tc>
        <w:tc>
          <w:tcPr>
            <w:tcW w:w="1036" w:type="dxa"/>
            <w:tcBorders>
              <w:top w:val="nil"/>
              <w:left w:val="nil"/>
              <w:bottom w:val="single" w:sz="4"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i/>
                <w:iCs/>
              </w:rPr>
            </w:pPr>
            <w:r w:rsidRPr="00883EC9">
              <w:rPr>
                <w:rFonts w:ascii="Times New Roman CE" w:hAnsi="Times New Roman CE" w:cs="Times New Roman CE"/>
                <w:b/>
                <w:bCs/>
                <w:i/>
                <w:iCs/>
              </w:rPr>
              <w:t>105,9%</w:t>
            </w:r>
          </w:p>
        </w:tc>
        <w:tc>
          <w:tcPr>
            <w:tcW w:w="948" w:type="dxa"/>
            <w:tcBorders>
              <w:top w:val="nil"/>
              <w:left w:val="nil"/>
              <w:bottom w:val="single" w:sz="4"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i/>
                <w:iCs/>
              </w:rPr>
            </w:pPr>
            <w:r w:rsidRPr="00883EC9">
              <w:rPr>
                <w:rFonts w:ascii="Times New Roman CE" w:hAnsi="Times New Roman CE" w:cs="Times New Roman CE"/>
                <w:b/>
                <w:bCs/>
                <w:i/>
                <w:iCs/>
              </w:rPr>
              <w:t>39,4%</w:t>
            </w:r>
          </w:p>
        </w:tc>
      </w:tr>
      <w:tr w:rsidR="007606D6" w:rsidRPr="00883EC9" w:rsidTr="00766EB8">
        <w:trPr>
          <w:trHeight w:val="148"/>
        </w:trPr>
        <w:tc>
          <w:tcPr>
            <w:tcW w:w="4537" w:type="dxa"/>
            <w:gridSpan w:val="3"/>
            <w:tcBorders>
              <w:top w:val="nil"/>
              <w:left w:val="nil"/>
              <w:right w:val="nil"/>
            </w:tcBorders>
            <w:shd w:val="clear" w:color="auto" w:fill="auto"/>
            <w:noWrap/>
            <w:vAlign w:val="bottom"/>
            <w:hideMark/>
          </w:tcPr>
          <w:p w:rsidR="007606D6" w:rsidRPr="00883EC9" w:rsidRDefault="007606D6" w:rsidP="007606D6">
            <w:pPr>
              <w:rPr>
                <w:rFonts w:ascii="Times New Roman CE" w:hAnsi="Times New Roman CE" w:cs="Times New Roman CE"/>
                <w:b/>
                <w:bCs/>
                <w:i/>
                <w:iCs/>
                <w:sz w:val="22"/>
                <w:szCs w:val="22"/>
              </w:rPr>
            </w:pPr>
            <w:r w:rsidRPr="00883EC9">
              <w:rPr>
                <w:rFonts w:ascii="Times New Roman CE" w:hAnsi="Times New Roman CE" w:cs="Times New Roman CE"/>
                <w:b/>
                <w:bCs/>
                <w:i/>
                <w:iCs/>
                <w:sz w:val="22"/>
                <w:szCs w:val="22"/>
              </w:rPr>
              <w:t>Egyéb bevételek</w:t>
            </w:r>
          </w:p>
        </w:tc>
        <w:tc>
          <w:tcPr>
            <w:tcW w:w="992" w:type="dxa"/>
            <w:gridSpan w:val="2"/>
            <w:tcBorders>
              <w:top w:val="nil"/>
              <w:left w:val="nil"/>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i/>
                <w:iCs/>
              </w:rPr>
            </w:pPr>
            <w:r w:rsidRPr="00883EC9">
              <w:rPr>
                <w:rFonts w:ascii="Times New Roman CE" w:hAnsi="Times New Roman CE" w:cs="Times New Roman CE"/>
                <w:b/>
                <w:bCs/>
                <w:i/>
                <w:iCs/>
              </w:rPr>
              <w:t>59 522</w:t>
            </w:r>
          </w:p>
        </w:tc>
        <w:tc>
          <w:tcPr>
            <w:tcW w:w="1136" w:type="dxa"/>
            <w:gridSpan w:val="3"/>
            <w:tcBorders>
              <w:top w:val="nil"/>
              <w:left w:val="nil"/>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i/>
                <w:iCs/>
              </w:rPr>
            </w:pPr>
            <w:r w:rsidRPr="00883EC9">
              <w:rPr>
                <w:rFonts w:ascii="Times New Roman CE" w:hAnsi="Times New Roman CE" w:cs="Times New Roman CE"/>
                <w:b/>
                <w:bCs/>
                <w:i/>
                <w:iCs/>
              </w:rPr>
              <w:t>219 769</w:t>
            </w:r>
          </w:p>
        </w:tc>
        <w:tc>
          <w:tcPr>
            <w:tcW w:w="1274" w:type="dxa"/>
            <w:tcBorders>
              <w:top w:val="nil"/>
              <w:left w:val="nil"/>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i/>
                <w:iCs/>
              </w:rPr>
            </w:pPr>
            <w:r w:rsidRPr="00883EC9">
              <w:rPr>
                <w:rFonts w:ascii="Times New Roman CE" w:hAnsi="Times New Roman CE" w:cs="Times New Roman CE"/>
                <w:b/>
                <w:bCs/>
                <w:i/>
                <w:iCs/>
              </w:rPr>
              <w:t>38 688</w:t>
            </w:r>
          </w:p>
        </w:tc>
        <w:tc>
          <w:tcPr>
            <w:tcW w:w="1036" w:type="dxa"/>
            <w:tcBorders>
              <w:top w:val="nil"/>
              <w:left w:val="nil"/>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i/>
                <w:iCs/>
              </w:rPr>
            </w:pPr>
            <w:r w:rsidRPr="00883EC9">
              <w:rPr>
                <w:rFonts w:ascii="Times New Roman CE" w:hAnsi="Times New Roman CE" w:cs="Times New Roman CE"/>
                <w:b/>
                <w:bCs/>
                <w:i/>
                <w:iCs/>
              </w:rPr>
              <w:t>65,0%</w:t>
            </w:r>
          </w:p>
        </w:tc>
        <w:tc>
          <w:tcPr>
            <w:tcW w:w="948" w:type="dxa"/>
            <w:tcBorders>
              <w:top w:val="nil"/>
              <w:left w:val="nil"/>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i/>
                <w:iCs/>
              </w:rPr>
            </w:pPr>
            <w:r w:rsidRPr="00883EC9">
              <w:rPr>
                <w:rFonts w:ascii="Times New Roman CE" w:hAnsi="Times New Roman CE" w:cs="Times New Roman CE"/>
                <w:b/>
                <w:bCs/>
                <w:i/>
                <w:iCs/>
              </w:rPr>
              <w:t>17,6%</w:t>
            </w:r>
          </w:p>
        </w:tc>
      </w:tr>
      <w:tr w:rsidR="007606D6" w:rsidRPr="00883EC9" w:rsidTr="00766EB8">
        <w:trPr>
          <w:trHeight w:val="80"/>
        </w:trPr>
        <w:tc>
          <w:tcPr>
            <w:tcW w:w="4537" w:type="dxa"/>
            <w:gridSpan w:val="3"/>
            <w:tcBorders>
              <w:top w:val="nil"/>
              <w:right w:val="nil"/>
            </w:tcBorders>
            <w:shd w:val="clear" w:color="auto" w:fill="auto"/>
            <w:noWrap/>
            <w:vAlign w:val="bottom"/>
            <w:hideMark/>
          </w:tcPr>
          <w:p w:rsidR="007606D6" w:rsidRPr="00883EC9" w:rsidRDefault="007606D6" w:rsidP="007606D6">
            <w:pPr>
              <w:rPr>
                <w:rFonts w:ascii="Times New Roman CE" w:hAnsi="Times New Roman CE" w:cs="Times New Roman CE"/>
              </w:rPr>
            </w:pPr>
            <w:r w:rsidRPr="00883EC9">
              <w:rPr>
                <w:rFonts w:ascii="Times New Roman CE" w:hAnsi="Times New Roman CE" w:cs="Times New Roman CE"/>
              </w:rPr>
              <w:t xml:space="preserve"> ebből: csatornabírság</w:t>
            </w:r>
          </w:p>
        </w:tc>
        <w:tc>
          <w:tcPr>
            <w:tcW w:w="992" w:type="dxa"/>
            <w:gridSpan w:val="2"/>
            <w:tcBorders>
              <w:top w:val="nil"/>
              <w:left w:val="nil"/>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0</w:t>
            </w:r>
          </w:p>
        </w:tc>
        <w:tc>
          <w:tcPr>
            <w:tcW w:w="1136" w:type="dxa"/>
            <w:gridSpan w:val="3"/>
            <w:tcBorders>
              <w:top w:val="nil"/>
              <w:left w:val="nil"/>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0</w:t>
            </w:r>
          </w:p>
        </w:tc>
        <w:tc>
          <w:tcPr>
            <w:tcW w:w="1274" w:type="dxa"/>
            <w:tcBorders>
              <w:top w:val="nil"/>
              <w:left w:val="nil"/>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0</w:t>
            </w:r>
          </w:p>
        </w:tc>
        <w:tc>
          <w:tcPr>
            <w:tcW w:w="1036" w:type="dxa"/>
            <w:tcBorders>
              <w:top w:val="nil"/>
              <w:left w:val="nil"/>
              <w:right w:val="nil"/>
            </w:tcBorders>
            <w:shd w:val="clear" w:color="auto" w:fill="auto"/>
            <w:noWrap/>
            <w:vAlign w:val="bottom"/>
            <w:hideMark/>
          </w:tcPr>
          <w:p w:rsidR="007606D6" w:rsidRPr="00883EC9" w:rsidRDefault="007606D6" w:rsidP="007606D6">
            <w:pPr>
              <w:rPr>
                <w:rFonts w:ascii="Times New Roman CE" w:hAnsi="Times New Roman CE" w:cs="Times New Roman CE"/>
              </w:rPr>
            </w:pPr>
            <w:r w:rsidRPr="00883EC9">
              <w:rPr>
                <w:rFonts w:ascii="Times New Roman CE" w:hAnsi="Times New Roman CE" w:cs="Times New Roman CE"/>
              </w:rPr>
              <w:t xml:space="preserve"> </w:t>
            </w:r>
          </w:p>
        </w:tc>
        <w:tc>
          <w:tcPr>
            <w:tcW w:w="948" w:type="dxa"/>
            <w:tcBorders>
              <w:top w:val="nil"/>
              <w:left w:val="nil"/>
              <w:right w:val="nil"/>
            </w:tcBorders>
            <w:shd w:val="clear" w:color="auto" w:fill="auto"/>
            <w:noWrap/>
            <w:vAlign w:val="bottom"/>
            <w:hideMark/>
          </w:tcPr>
          <w:p w:rsidR="007606D6" w:rsidRPr="00883EC9" w:rsidRDefault="007606D6" w:rsidP="007606D6">
            <w:pPr>
              <w:rPr>
                <w:rFonts w:ascii="Times New Roman CE" w:hAnsi="Times New Roman CE" w:cs="Times New Roman CE"/>
              </w:rPr>
            </w:pPr>
            <w:r w:rsidRPr="00883EC9">
              <w:rPr>
                <w:rFonts w:ascii="Times New Roman CE" w:hAnsi="Times New Roman CE" w:cs="Times New Roman CE"/>
              </w:rPr>
              <w:t xml:space="preserve"> </w:t>
            </w:r>
          </w:p>
        </w:tc>
      </w:tr>
      <w:tr w:rsidR="007606D6" w:rsidRPr="00883EC9" w:rsidTr="00766EB8">
        <w:trPr>
          <w:trHeight w:val="82"/>
        </w:trPr>
        <w:tc>
          <w:tcPr>
            <w:tcW w:w="4537" w:type="dxa"/>
            <w:gridSpan w:val="3"/>
            <w:tcBorders>
              <w:top w:val="nil"/>
              <w:right w:val="nil"/>
            </w:tcBorders>
            <w:shd w:val="clear" w:color="auto" w:fill="auto"/>
            <w:noWrap/>
            <w:vAlign w:val="bottom"/>
            <w:hideMark/>
          </w:tcPr>
          <w:p w:rsidR="007606D6" w:rsidRPr="00883EC9" w:rsidRDefault="007606D6" w:rsidP="00E25ACF">
            <w:pPr>
              <w:rPr>
                <w:rFonts w:ascii="Times New Roman CE" w:hAnsi="Times New Roman CE" w:cs="Times New Roman CE"/>
              </w:rPr>
            </w:pPr>
            <w:r w:rsidRPr="00883EC9">
              <w:rPr>
                <w:rFonts w:ascii="Times New Roman CE" w:hAnsi="Times New Roman CE" w:cs="Times New Roman CE"/>
              </w:rPr>
              <w:t xml:space="preserve">            </w:t>
            </w:r>
            <w:proofErr w:type="spellStart"/>
            <w:r w:rsidRPr="00883EC9">
              <w:rPr>
                <w:rFonts w:ascii="Times New Roman CE" w:hAnsi="Times New Roman CE" w:cs="Times New Roman CE"/>
              </w:rPr>
              <w:t>víziközmű</w:t>
            </w:r>
            <w:proofErr w:type="spellEnd"/>
            <w:r w:rsidRPr="00883EC9">
              <w:rPr>
                <w:rFonts w:ascii="Times New Roman CE" w:hAnsi="Times New Roman CE" w:cs="Times New Roman CE"/>
              </w:rPr>
              <w:t xml:space="preserve"> vagyonátadás önkormányzatoknak</w:t>
            </w:r>
          </w:p>
        </w:tc>
        <w:tc>
          <w:tcPr>
            <w:tcW w:w="992" w:type="dxa"/>
            <w:gridSpan w:val="2"/>
            <w:tcBorders>
              <w:top w:val="nil"/>
              <w:left w:val="nil"/>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0</w:t>
            </w:r>
          </w:p>
        </w:tc>
        <w:tc>
          <w:tcPr>
            <w:tcW w:w="1136" w:type="dxa"/>
            <w:gridSpan w:val="3"/>
            <w:tcBorders>
              <w:top w:val="nil"/>
              <w:left w:val="nil"/>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56 269</w:t>
            </w:r>
          </w:p>
        </w:tc>
        <w:tc>
          <w:tcPr>
            <w:tcW w:w="1274" w:type="dxa"/>
            <w:tcBorders>
              <w:top w:val="nil"/>
              <w:left w:val="nil"/>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1 716</w:t>
            </w:r>
          </w:p>
        </w:tc>
        <w:tc>
          <w:tcPr>
            <w:tcW w:w="1036" w:type="dxa"/>
            <w:tcBorders>
              <w:top w:val="nil"/>
              <w:left w:val="nil"/>
              <w:right w:val="nil"/>
            </w:tcBorders>
            <w:shd w:val="clear" w:color="auto" w:fill="auto"/>
            <w:noWrap/>
            <w:vAlign w:val="bottom"/>
            <w:hideMark/>
          </w:tcPr>
          <w:p w:rsidR="007606D6" w:rsidRPr="00883EC9" w:rsidRDefault="007606D6" w:rsidP="007606D6">
            <w:pPr>
              <w:rPr>
                <w:rFonts w:ascii="Times New Roman CE" w:hAnsi="Times New Roman CE" w:cs="Times New Roman CE"/>
              </w:rPr>
            </w:pPr>
            <w:r w:rsidRPr="00883EC9">
              <w:rPr>
                <w:rFonts w:ascii="Times New Roman CE" w:hAnsi="Times New Roman CE" w:cs="Times New Roman CE"/>
              </w:rPr>
              <w:t xml:space="preserve"> </w:t>
            </w:r>
          </w:p>
        </w:tc>
        <w:tc>
          <w:tcPr>
            <w:tcW w:w="948" w:type="dxa"/>
            <w:tcBorders>
              <w:top w:val="nil"/>
              <w:left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3,0%</w:t>
            </w:r>
          </w:p>
        </w:tc>
      </w:tr>
      <w:tr w:rsidR="007606D6" w:rsidRPr="00883EC9" w:rsidTr="00E25ACF">
        <w:trPr>
          <w:trHeight w:val="174"/>
        </w:trPr>
        <w:tc>
          <w:tcPr>
            <w:tcW w:w="4537" w:type="dxa"/>
            <w:gridSpan w:val="3"/>
            <w:tcBorders>
              <w:top w:val="nil"/>
              <w:bottom w:val="single" w:sz="4" w:space="0" w:color="auto"/>
              <w:right w:val="nil"/>
            </w:tcBorders>
            <w:shd w:val="clear" w:color="auto" w:fill="auto"/>
            <w:noWrap/>
            <w:vAlign w:val="bottom"/>
            <w:hideMark/>
          </w:tcPr>
          <w:p w:rsidR="007606D6" w:rsidRPr="00883EC9" w:rsidRDefault="007606D6" w:rsidP="00E25ACF">
            <w:pPr>
              <w:rPr>
                <w:rFonts w:ascii="Times New Roman CE" w:hAnsi="Times New Roman CE" w:cs="Times New Roman CE"/>
              </w:rPr>
            </w:pPr>
            <w:r w:rsidRPr="00883EC9">
              <w:rPr>
                <w:rFonts w:ascii="Times New Roman CE" w:hAnsi="Times New Roman CE" w:cs="Times New Roman CE"/>
              </w:rPr>
              <w:t xml:space="preserve">            önkormányzattól kapott támogatás</w:t>
            </w:r>
          </w:p>
        </w:tc>
        <w:tc>
          <w:tcPr>
            <w:tcW w:w="992" w:type="dxa"/>
            <w:gridSpan w:val="2"/>
            <w:tcBorders>
              <w:top w:val="nil"/>
              <w:left w:val="nil"/>
              <w:bottom w:val="single" w:sz="4"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0</w:t>
            </w:r>
          </w:p>
        </w:tc>
        <w:tc>
          <w:tcPr>
            <w:tcW w:w="1136" w:type="dxa"/>
            <w:gridSpan w:val="3"/>
            <w:tcBorders>
              <w:top w:val="nil"/>
              <w:left w:val="nil"/>
              <w:bottom w:val="single" w:sz="4"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90 000</w:t>
            </w:r>
          </w:p>
        </w:tc>
        <w:tc>
          <w:tcPr>
            <w:tcW w:w="1274" w:type="dxa"/>
            <w:tcBorders>
              <w:top w:val="nil"/>
              <w:left w:val="nil"/>
              <w:bottom w:val="single" w:sz="4"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0</w:t>
            </w:r>
          </w:p>
        </w:tc>
        <w:tc>
          <w:tcPr>
            <w:tcW w:w="1036" w:type="dxa"/>
            <w:tcBorders>
              <w:top w:val="nil"/>
              <w:left w:val="nil"/>
              <w:bottom w:val="single" w:sz="4" w:space="0" w:color="auto"/>
              <w:right w:val="nil"/>
            </w:tcBorders>
            <w:shd w:val="clear" w:color="auto" w:fill="auto"/>
            <w:noWrap/>
            <w:vAlign w:val="bottom"/>
            <w:hideMark/>
          </w:tcPr>
          <w:p w:rsidR="007606D6" w:rsidRPr="00883EC9" w:rsidRDefault="007606D6" w:rsidP="007606D6">
            <w:pPr>
              <w:rPr>
                <w:rFonts w:ascii="Times New Roman CE" w:hAnsi="Times New Roman CE" w:cs="Times New Roman CE"/>
              </w:rPr>
            </w:pPr>
            <w:r w:rsidRPr="00883EC9">
              <w:rPr>
                <w:rFonts w:ascii="Times New Roman CE" w:hAnsi="Times New Roman CE" w:cs="Times New Roman CE"/>
              </w:rPr>
              <w:t xml:space="preserve"> </w:t>
            </w:r>
          </w:p>
        </w:tc>
        <w:tc>
          <w:tcPr>
            <w:tcW w:w="948" w:type="dxa"/>
            <w:tcBorders>
              <w:top w:val="nil"/>
              <w:left w:val="nil"/>
              <w:bottom w:val="single" w:sz="4" w:space="0" w:color="auto"/>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rPr>
            </w:pPr>
            <w:r w:rsidRPr="00883EC9">
              <w:rPr>
                <w:rFonts w:ascii="Times New Roman CE" w:hAnsi="Times New Roman CE" w:cs="Times New Roman CE"/>
              </w:rPr>
              <w:t>0,0%</w:t>
            </w:r>
          </w:p>
        </w:tc>
      </w:tr>
      <w:tr w:rsidR="007606D6" w:rsidRPr="00883EC9" w:rsidTr="00766EB8">
        <w:trPr>
          <w:trHeight w:val="206"/>
        </w:trPr>
        <w:tc>
          <w:tcPr>
            <w:tcW w:w="4537" w:type="dxa"/>
            <w:gridSpan w:val="3"/>
            <w:tcBorders>
              <w:top w:val="single" w:sz="4" w:space="0" w:color="auto"/>
              <w:left w:val="nil"/>
              <w:bottom w:val="single" w:sz="8" w:space="0" w:color="auto"/>
              <w:right w:val="nil"/>
            </w:tcBorders>
            <w:shd w:val="clear" w:color="auto" w:fill="auto"/>
            <w:noWrap/>
            <w:vAlign w:val="bottom"/>
            <w:hideMark/>
          </w:tcPr>
          <w:p w:rsidR="007606D6" w:rsidRPr="00883EC9" w:rsidRDefault="007606D6" w:rsidP="007606D6">
            <w:pPr>
              <w:rPr>
                <w:rFonts w:ascii="Times New Roman CE" w:hAnsi="Times New Roman CE" w:cs="Times New Roman CE"/>
                <w:b/>
                <w:bCs/>
                <w:sz w:val="22"/>
                <w:szCs w:val="22"/>
              </w:rPr>
            </w:pPr>
            <w:r w:rsidRPr="00883EC9">
              <w:rPr>
                <w:rFonts w:ascii="Times New Roman CE" w:hAnsi="Times New Roman CE" w:cs="Times New Roman CE"/>
                <w:b/>
                <w:bCs/>
                <w:sz w:val="22"/>
                <w:szCs w:val="22"/>
              </w:rPr>
              <w:t>Üzemi (üzleti) bevétel</w:t>
            </w:r>
          </w:p>
        </w:tc>
        <w:tc>
          <w:tcPr>
            <w:tcW w:w="992" w:type="dxa"/>
            <w:gridSpan w:val="2"/>
            <w:tcBorders>
              <w:top w:val="single" w:sz="4" w:space="0" w:color="auto"/>
              <w:left w:val="nil"/>
              <w:bottom w:val="single" w:sz="8"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rPr>
            </w:pPr>
            <w:r w:rsidRPr="00883EC9">
              <w:rPr>
                <w:rFonts w:ascii="Times New Roman CE" w:hAnsi="Times New Roman CE" w:cs="Times New Roman CE"/>
                <w:b/>
                <w:bCs/>
              </w:rPr>
              <w:t>3 248 907</w:t>
            </w:r>
          </w:p>
        </w:tc>
        <w:tc>
          <w:tcPr>
            <w:tcW w:w="1136" w:type="dxa"/>
            <w:gridSpan w:val="3"/>
            <w:tcBorders>
              <w:top w:val="single" w:sz="4" w:space="0" w:color="auto"/>
              <w:left w:val="nil"/>
              <w:bottom w:val="single" w:sz="8"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rPr>
            </w:pPr>
            <w:r w:rsidRPr="00883EC9">
              <w:rPr>
                <w:rFonts w:ascii="Times New Roman CE" w:hAnsi="Times New Roman CE" w:cs="Times New Roman CE"/>
                <w:b/>
                <w:bCs/>
              </w:rPr>
              <w:t>7 315 790</w:t>
            </w:r>
          </w:p>
        </w:tc>
        <w:tc>
          <w:tcPr>
            <w:tcW w:w="1274" w:type="dxa"/>
            <w:tcBorders>
              <w:top w:val="single" w:sz="4" w:space="0" w:color="auto"/>
              <w:left w:val="nil"/>
              <w:bottom w:val="single" w:sz="8"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rPr>
            </w:pPr>
            <w:r w:rsidRPr="00883EC9">
              <w:rPr>
                <w:rFonts w:ascii="Times New Roman CE" w:hAnsi="Times New Roman CE" w:cs="Times New Roman CE"/>
                <w:b/>
                <w:bCs/>
              </w:rPr>
              <w:t>3 408 142</w:t>
            </w:r>
          </w:p>
        </w:tc>
        <w:tc>
          <w:tcPr>
            <w:tcW w:w="1036" w:type="dxa"/>
            <w:tcBorders>
              <w:top w:val="single" w:sz="4" w:space="0" w:color="auto"/>
              <w:left w:val="nil"/>
              <w:bottom w:val="single" w:sz="8"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rPr>
            </w:pPr>
            <w:r w:rsidRPr="00883EC9">
              <w:rPr>
                <w:rFonts w:ascii="Times New Roman CE" w:hAnsi="Times New Roman CE" w:cs="Times New Roman CE"/>
                <w:b/>
                <w:bCs/>
              </w:rPr>
              <w:t>104,9%</w:t>
            </w:r>
          </w:p>
        </w:tc>
        <w:tc>
          <w:tcPr>
            <w:tcW w:w="948" w:type="dxa"/>
            <w:tcBorders>
              <w:top w:val="single" w:sz="4" w:space="0" w:color="auto"/>
              <w:left w:val="nil"/>
              <w:bottom w:val="single" w:sz="8"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rPr>
            </w:pPr>
            <w:r w:rsidRPr="00883EC9">
              <w:rPr>
                <w:rFonts w:ascii="Times New Roman CE" w:hAnsi="Times New Roman CE" w:cs="Times New Roman CE"/>
                <w:b/>
                <w:bCs/>
              </w:rPr>
              <w:t>46,6%</w:t>
            </w:r>
          </w:p>
        </w:tc>
      </w:tr>
      <w:tr w:rsidR="007606D6" w:rsidRPr="00883EC9" w:rsidTr="00766EB8">
        <w:trPr>
          <w:trHeight w:val="144"/>
        </w:trPr>
        <w:tc>
          <w:tcPr>
            <w:tcW w:w="4537" w:type="dxa"/>
            <w:gridSpan w:val="3"/>
            <w:tcBorders>
              <w:top w:val="nil"/>
              <w:left w:val="nil"/>
              <w:bottom w:val="single" w:sz="8" w:space="0" w:color="auto"/>
              <w:right w:val="nil"/>
            </w:tcBorders>
            <w:shd w:val="clear" w:color="auto" w:fill="auto"/>
            <w:noWrap/>
            <w:vAlign w:val="bottom"/>
            <w:hideMark/>
          </w:tcPr>
          <w:p w:rsidR="007606D6" w:rsidRPr="00883EC9" w:rsidRDefault="007606D6" w:rsidP="007606D6">
            <w:pPr>
              <w:rPr>
                <w:rFonts w:ascii="Times New Roman CE" w:hAnsi="Times New Roman CE" w:cs="Times New Roman CE"/>
                <w:b/>
                <w:bCs/>
                <w:i/>
                <w:iCs/>
                <w:sz w:val="22"/>
                <w:szCs w:val="22"/>
              </w:rPr>
            </w:pPr>
            <w:r w:rsidRPr="00883EC9">
              <w:rPr>
                <w:rFonts w:ascii="Times New Roman CE" w:hAnsi="Times New Roman CE" w:cs="Times New Roman CE"/>
                <w:b/>
                <w:bCs/>
                <w:i/>
                <w:iCs/>
                <w:sz w:val="22"/>
                <w:szCs w:val="22"/>
              </w:rPr>
              <w:t>Pénzügyi műveletek bevétele</w:t>
            </w:r>
          </w:p>
        </w:tc>
        <w:tc>
          <w:tcPr>
            <w:tcW w:w="992" w:type="dxa"/>
            <w:gridSpan w:val="2"/>
            <w:tcBorders>
              <w:top w:val="nil"/>
              <w:left w:val="nil"/>
              <w:bottom w:val="single" w:sz="8"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i/>
                <w:iCs/>
              </w:rPr>
            </w:pPr>
            <w:r w:rsidRPr="00883EC9">
              <w:rPr>
                <w:rFonts w:ascii="Times New Roman CE" w:hAnsi="Times New Roman CE" w:cs="Times New Roman CE"/>
                <w:b/>
                <w:bCs/>
                <w:i/>
                <w:iCs/>
              </w:rPr>
              <w:t>2 973</w:t>
            </w:r>
          </w:p>
        </w:tc>
        <w:tc>
          <w:tcPr>
            <w:tcW w:w="1136" w:type="dxa"/>
            <w:gridSpan w:val="3"/>
            <w:tcBorders>
              <w:top w:val="nil"/>
              <w:left w:val="nil"/>
              <w:bottom w:val="single" w:sz="8"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i/>
                <w:iCs/>
              </w:rPr>
            </w:pPr>
            <w:r w:rsidRPr="00883EC9">
              <w:rPr>
                <w:rFonts w:ascii="Times New Roman CE" w:hAnsi="Times New Roman CE" w:cs="Times New Roman CE"/>
                <w:b/>
                <w:bCs/>
                <w:i/>
                <w:iCs/>
              </w:rPr>
              <w:t>6 780</w:t>
            </w:r>
          </w:p>
        </w:tc>
        <w:tc>
          <w:tcPr>
            <w:tcW w:w="1274" w:type="dxa"/>
            <w:tcBorders>
              <w:top w:val="nil"/>
              <w:left w:val="nil"/>
              <w:bottom w:val="single" w:sz="8"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i/>
                <w:iCs/>
              </w:rPr>
            </w:pPr>
            <w:r w:rsidRPr="00883EC9">
              <w:rPr>
                <w:rFonts w:ascii="Times New Roman CE" w:hAnsi="Times New Roman CE" w:cs="Times New Roman CE"/>
                <w:b/>
                <w:bCs/>
                <w:i/>
                <w:iCs/>
              </w:rPr>
              <w:t>457</w:t>
            </w:r>
          </w:p>
        </w:tc>
        <w:tc>
          <w:tcPr>
            <w:tcW w:w="1036" w:type="dxa"/>
            <w:tcBorders>
              <w:top w:val="nil"/>
              <w:left w:val="nil"/>
              <w:bottom w:val="single" w:sz="8"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i/>
                <w:iCs/>
              </w:rPr>
            </w:pPr>
            <w:r w:rsidRPr="00883EC9">
              <w:rPr>
                <w:rFonts w:ascii="Times New Roman CE" w:hAnsi="Times New Roman CE" w:cs="Times New Roman CE"/>
                <w:b/>
                <w:bCs/>
                <w:i/>
                <w:iCs/>
              </w:rPr>
              <w:t>15,4%</w:t>
            </w:r>
          </w:p>
        </w:tc>
        <w:tc>
          <w:tcPr>
            <w:tcW w:w="948" w:type="dxa"/>
            <w:tcBorders>
              <w:top w:val="nil"/>
              <w:left w:val="nil"/>
              <w:bottom w:val="single" w:sz="8"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i/>
                <w:iCs/>
              </w:rPr>
            </w:pPr>
            <w:r w:rsidRPr="00883EC9">
              <w:rPr>
                <w:rFonts w:ascii="Times New Roman CE" w:hAnsi="Times New Roman CE" w:cs="Times New Roman CE"/>
                <w:b/>
                <w:bCs/>
                <w:i/>
                <w:iCs/>
              </w:rPr>
              <w:t>6,7%</w:t>
            </w:r>
          </w:p>
        </w:tc>
      </w:tr>
      <w:tr w:rsidR="007606D6" w:rsidRPr="00883EC9" w:rsidTr="00766EB8">
        <w:trPr>
          <w:trHeight w:val="162"/>
        </w:trPr>
        <w:tc>
          <w:tcPr>
            <w:tcW w:w="4537" w:type="dxa"/>
            <w:gridSpan w:val="3"/>
            <w:tcBorders>
              <w:top w:val="nil"/>
              <w:left w:val="nil"/>
              <w:bottom w:val="single" w:sz="8" w:space="0" w:color="auto"/>
              <w:right w:val="nil"/>
            </w:tcBorders>
            <w:shd w:val="clear" w:color="auto" w:fill="auto"/>
            <w:noWrap/>
            <w:vAlign w:val="bottom"/>
            <w:hideMark/>
          </w:tcPr>
          <w:p w:rsidR="007606D6" w:rsidRPr="00883EC9" w:rsidRDefault="007606D6" w:rsidP="007606D6">
            <w:pPr>
              <w:rPr>
                <w:rFonts w:ascii="Times New Roman CE" w:hAnsi="Times New Roman CE" w:cs="Times New Roman CE"/>
                <w:b/>
                <w:bCs/>
                <w:sz w:val="22"/>
                <w:szCs w:val="22"/>
              </w:rPr>
            </w:pPr>
            <w:r w:rsidRPr="00883EC9">
              <w:rPr>
                <w:rFonts w:ascii="Times New Roman CE" w:hAnsi="Times New Roman CE" w:cs="Times New Roman CE"/>
                <w:b/>
                <w:bCs/>
                <w:sz w:val="22"/>
                <w:szCs w:val="22"/>
              </w:rPr>
              <w:t>Szokásos vállalkozási bevétel</w:t>
            </w:r>
          </w:p>
        </w:tc>
        <w:tc>
          <w:tcPr>
            <w:tcW w:w="992" w:type="dxa"/>
            <w:gridSpan w:val="2"/>
            <w:tcBorders>
              <w:top w:val="nil"/>
              <w:left w:val="nil"/>
              <w:bottom w:val="single" w:sz="8"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rPr>
            </w:pPr>
            <w:r w:rsidRPr="00883EC9">
              <w:rPr>
                <w:rFonts w:ascii="Times New Roman CE" w:hAnsi="Times New Roman CE" w:cs="Times New Roman CE"/>
                <w:b/>
                <w:bCs/>
              </w:rPr>
              <w:t>3 251 880</w:t>
            </w:r>
          </w:p>
        </w:tc>
        <w:tc>
          <w:tcPr>
            <w:tcW w:w="1136" w:type="dxa"/>
            <w:gridSpan w:val="3"/>
            <w:tcBorders>
              <w:top w:val="nil"/>
              <w:left w:val="nil"/>
              <w:bottom w:val="single" w:sz="8"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rPr>
            </w:pPr>
            <w:r w:rsidRPr="00883EC9">
              <w:rPr>
                <w:rFonts w:ascii="Times New Roman CE" w:hAnsi="Times New Roman CE" w:cs="Times New Roman CE"/>
                <w:b/>
                <w:bCs/>
              </w:rPr>
              <w:t>7 322 570</w:t>
            </w:r>
          </w:p>
        </w:tc>
        <w:tc>
          <w:tcPr>
            <w:tcW w:w="1274" w:type="dxa"/>
            <w:tcBorders>
              <w:top w:val="nil"/>
              <w:left w:val="nil"/>
              <w:bottom w:val="single" w:sz="8"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rPr>
            </w:pPr>
            <w:r w:rsidRPr="00883EC9">
              <w:rPr>
                <w:rFonts w:ascii="Times New Roman CE" w:hAnsi="Times New Roman CE" w:cs="Times New Roman CE"/>
                <w:b/>
                <w:bCs/>
              </w:rPr>
              <w:t>3 408 599</w:t>
            </w:r>
          </w:p>
        </w:tc>
        <w:tc>
          <w:tcPr>
            <w:tcW w:w="1036" w:type="dxa"/>
            <w:tcBorders>
              <w:top w:val="nil"/>
              <w:left w:val="nil"/>
              <w:bottom w:val="single" w:sz="8"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rPr>
            </w:pPr>
            <w:r w:rsidRPr="00883EC9">
              <w:rPr>
                <w:rFonts w:ascii="Times New Roman CE" w:hAnsi="Times New Roman CE" w:cs="Times New Roman CE"/>
                <w:b/>
                <w:bCs/>
              </w:rPr>
              <w:t>104,8%</w:t>
            </w:r>
          </w:p>
        </w:tc>
        <w:tc>
          <w:tcPr>
            <w:tcW w:w="948" w:type="dxa"/>
            <w:tcBorders>
              <w:top w:val="nil"/>
              <w:left w:val="nil"/>
              <w:bottom w:val="single" w:sz="8"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rPr>
            </w:pPr>
            <w:r w:rsidRPr="00883EC9">
              <w:rPr>
                <w:rFonts w:ascii="Times New Roman CE" w:hAnsi="Times New Roman CE" w:cs="Times New Roman CE"/>
                <w:b/>
                <w:bCs/>
              </w:rPr>
              <w:t>46,5%</w:t>
            </w:r>
          </w:p>
        </w:tc>
      </w:tr>
      <w:tr w:rsidR="007606D6" w:rsidRPr="00883EC9" w:rsidTr="00D2714A">
        <w:trPr>
          <w:trHeight w:val="315"/>
        </w:trPr>
        <w:tc>
          <w:tcPr>
            <w:tcW w:w="4537" w:type="dxa"/>
            <w:gridSpan w:val="3"/>
            <w:tcBorders>
              <w:top w:val="nil"/>
              <w:left w:val="nil"/>
              <w:bottom w:val="single" w:sz="4" w:space="0" w:color="auto"/>
              <w:right w:val="nil"/>
            </w:tcBorders>
            <w:shd w:val="clear" w:color="auto" w:fill="auto"/>
            <w:noWrap/>
            <w:vAlign w:val="bottom"/>
            <w:hideMark/>
          </w:tcPr>
          <w:p w:rsidR="007606D6" w:rsidRPr="00883EC9" w:rsidRDefault="007606D6" w:rsidP="007606D6">
            <w:pPr>
              <w:rPr>
                <w:rFonts w:ascii="Times New Roman CE" w:hAnsi="Times New Roman CE" w:cs="Times New Roman CE"/>
                <w:b/>
                <w:bCs/>
                <w:sz w:val="22"/>
                <w:szCs w:val="22"/>
              </w:rPr>
            </w:pPr>
            <w:r w:rsidRPr="00883EC9">
              <w:rPr>
                <w:rFonts w:ascii="Times New Roman CE" w:hAnsi="Times New Roman CE" w:cs="Times New Roman CE"/>
                <w:b/>
                <w:bCs/>
                <w:sz w:val="22"/>
                <w:szCs w:val="22"/>
              </w:rPr>
              <w:t xml:space="preserve">Bevételek összesen </w:t>
            </w:r>
          </w:p>
        </w:tc>
        <w:tc>
          <w:tcPr>
            <w:tcW w:w="992" w:type="dxa"/>
            <w:gridSpan w:val="2"/>
            <w:tcBorders>
              <w:top w:val="nil"/>
              <w:left w:val="nil"/>
              <w:bottom w:val="single" w:sz="4"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rPr>
            </w:pPr>
            <w:r w:rsidRPr="00883EC9">
              <w:rPr>
                <w:rFonts w:ascii="Times New Roman CE" w:hAnsi="Times New Roman CE" w:cs="Times New Roman CE"/>
                <w:b/>
                <w:bCs/>
              </w:rPr>
              <w:t>3 251 880</w:t>
            </w:r>
          </w:p>
        </w:tc>
        <w:tc>
          <w:tcPr>
            <w:tcW w:w="1136" w:type="dxa"/>
            <w:gridSpan w:val="3"/>
            <w:tcBorders>
              <w:top w:val="nil"/>
              <w:left w:val="nil"/>
              <w:bottom w:val="single" w:sz="4"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rPr>
            </w:pPr>
            <w:r w:rsidRPr="00883EC9">
              <w:rPr>
                <w:rFonts w:ascii="Times New Roman CE" w:hAnsi="Times New Roman CE" w:cs="Times New Roman CE"/>
                <w:b/>
                <w:bCs/>
              </w:rPr>
              <w:t>7 322 570</w:t>
            </w:r>
          </w:p>
        </w:tc>
        <w:tc>
          <w:tcPr>
            <w:tcW w:w="1274" w:type="dxa"/>
            <w:tcBorders>
              <w:top w:val="nil"/>
              <w:left w:val="nil"/>
              <w:bottom w:val="single" w:sz="4"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rPr>
            </w:pPr>
            <w:r w:rsidRPr="00883EC9">
              <w:rPr>
                <w:rFonts w:ascii="Times New Roman CE" w:hAnsi="Times New Roman CE" w:cs="Times New Roman CE"/>
                <w:b/>
                <w:bCs/>
              </w:rPr>
              <w:t>3 408 599</w:t>
            </w:r>
          </w:p>
        </w:tc>
        <w:tc>
          <w:tcPr>
            <w:tcW w:w="1036" w:type="dxa"/>
            <w:tcBorders>
              <w:top w:val="nil"/>
              <w:left w:val="nil"/>
              <w:bottom w:val="single" w:sz="4"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rPr>
            </w:pPr>
            <w:r w:rsidRPr="00883EC9">
              <w:rPr>
                <w:rFonts w:ascii="Times New Roman CE" w:hAnsi="Times New Roman CE" w:cs="Times New Roman CE"/>
                <w:b/>
                <w:bCs/>
              </w:rPr>
              <w:t>104,8%</w:t>
            </w:r>
          </w:p>
        </w:tc>
        <w:tc>
          <w:tcPr>
            <w:tcW w:w="948" w:type="dxa"/>
            <w:tcBorders>
              <w:top w:val="nil"/>
              <w:left w:val="nil"/>
              <w:bottom w:val="single" w:sz="4" w:space="0" w:color="auto"/>
              <w:right w:val="nil"/>
            </w:tcBorders>
            <w:shd w:val="clear" w:color="auto" w:fill="auto"/>
            <w:noWrap/>
            <w:vAlign w:val="center"/>
            <w:hideMark/>
          </w:tcPr>
          <w:p w:rsidR="007606D6" w:rsidRPr="00883EC9" w:rsidRDefault="007606D6" w:rsidP="007606D6">
            <w:pPr>
              <w:jc w:val="right"/>
              <w:rPr>
                <w:rFonts w:ascii="Times New Roman CE" w:hAnsi="Times New Roman CE" w:cs="Times New Roman CE"/>
                <w:b/>
                <w:bCs/>
              </w:rPr>
            </w:pPr>
            <w:r w:rsidRPr="00883EC9">
              <w:rPr>
                <w:rFonts w:ascii="Times New Roman CE" w:hAnsi="Times New Roman CE" w:cs="Times New Roman CE"/>
                <w:b/>
                <w:bCs/>
              </w:rPr>
              <w:t>46,5%</w:t>
            </w:r>
          </w:p>
        </w:tc>
      </w:tr>
      <w:tr w:rsidR="007606D6" w:rsidRPr="00883EC9" w:rsidTr="00566B88">
        <w:trPr>
          <w:gridBefore w:val="1"/>
          <w:gridAfter w:val="4"/>
          <w:wBefore w:w="142" w:type="dxa"/>
          <w:wAfter w:w="3402" w:type="dxa"/>
          <w:trHeight w:val="641"/>
        </w:trPr>
        <w:tc>
          <w:tcPr>
            <w:tcW w:w="3828" w:type="dxa"/>
            <w:tcBorders>
              <w:top w:val="nil"/>
              <w:left w:val="nil"/>
              <w:bottom w:val="single" w:sz="4" w:space="0" w:color="auto"/>
              <w:right w:val="nil"/>
            </w:tcBorders>
            <w:shd w:val="clear" w:color="auto" w:fill="auto"/>
            <w:noWrap/>
            <w:vAlign w:val="bottom"/>
            <w:hideMark/>
          </w:tcPr>
          <w:p w:rsidR="007606D6" w:rsidRPr="00883EC9" w:rsidRDefault="007606D6" w:rsidP="007606D6">
            <w:pPr>
              <w:rPr>
                <w:rFonts w:ascii="Times New Roman CE" w:hAnsi="Times New Roman CE" w:cs="Times New Roman CE"/>
                <w:i/>
                <w:iCs/>
                <w:sz w:val="22"/>
                <w:szCs w:val="22"/>
              </w:rPr>
            </w:pPr>
            <w:r w:rsidRPr="00883EC9">
              <w:rPr>
                <w:rFonts w:ascii="Times New Roman CE" w:hAnsi="Times New Roman CE" w:cs="Times New Roman CE"/>
                <w:i/>
                <w:iCs/>
                <w:sz w:val="22"/>
                <w:szCs w:val="22"/>
              </w:rPr>
              <w:t>Tevékenység</w:t>
            </w:r>
          </w:p>
        </w:tc>
        <w:tc>
          <w:tcPr>
            <w:tcW w:w="2551" w:type="dxa"/>
            <w:gridSpan w:val="5"/>
            <w:tcBorders>
              <w:top w:val="nil"/>
              <w:left w:val="nil"/>
              <w:bottom w:val="single" w:sz="4" w:space="0" w:color="auto"/>
              <w:right w:val="nil"/>
            </w:tcBorders>
            <w:shd w:val="clear" w:color="auto" w:fill="auto"/>
            <w:vAlign w:val="bottom"/>
            <w:hideMark/>
          </w:tcPr>
          <w:p w:rsidR="007606D6" w:rsidRPr="00883EC9" w:rsidRDefault="007606D6" w:rsidP="007606D6">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Korrekció összege (</w:t>
            </w:r>
            <w:proofErr w:type="spellStart"/>
            <w:r w:rsidRPr="00883EC9">
              <w:rPr>
                <w:rFonts w:ascii="Times New Roman CE" w:hAnsi="Times New Roman CE" w:cs="Times New Roman CE"/>
                <w:i/>
                <w:iCs/>
                <w:sz w:val="22"/>
                <w:szCs w:val="22"/>
              </w:rPr>
              <w:t>eFt</w:t>
            </w:r>
            <w:proofErr w:type="spellEnd"/>
            <w:r w:rsidRPr="00883EC9">
              <w:rPr>
                <w:rFonts w:ascii="Times New Roman CE" w:hAnsi="Times New Roman CE" w:cs="Times New Roman CE"/>
                <w:i/>
                <w:iCs/>
                <w:sz w:val="22"/>
                <w:szCs w:val="22"/>
              </w:rPr>
              <w:t>)</w:t>
            </w:r>
          </w:p>
        </w:tc>
      </w:tr>
      <w:tr w:rsidR="007606D6" w:rsidRPr="00883EC9" w:rsidTr="00D2714A">
        <w:trPr>
          <w:gridBefore w:val="1"/>
          <w:gridAfter w:val="5"/>
          <w:wBefore w:w="142" w:type="dxa"/>
          <w:wAfter w:w="3601" w:type="dxa"/>
          <w:trHeight w:val="315"/>
        </w:trPr>
        <w:tc>
          <w:tcPr>
            <w:tcW w:w="5176" w:type="dxa"/>
            <w:gridSpan w:val="3"/>
            <w:tcBorders>
              <w:top w:val="nil"/>
              <w:left w:val="nil"/>
              <w:bottom w:val="nil"/>
              <w:right w:val="nil"/>
            </w:tcBorders>
            <w:shd w:val="clear" w:color="auto" w:fill="auto"/>
            <w:vAlign w:val="center"/>
            <w:hideMark/>
          </w:tcPr>
          <w:p w:rsidR="007606D6" w:rsidRPr="00883EC9" w:rsidRDefault="007606D6" w:rsidP="007606D6">
            <w:pPr>
              <w:rPr>
                <w:rFonts w:ascii="Times New Roman CE" w:hAnsi="Times New Roman CE" w:cs="Times New Roman CE"/>
                <w:sz w:val="22"/>
                <w:szCs w:val="22"/>
              </w:rPr>
            </w:pPr>
            <w:r w:rsidRPr="00883EC9">
              <w:rPr>
                <w:rFonts w:ascii="Times New Roman CE" w:hAnsi="Times New Roman CE" w:cs="Times New Roman CE"/>
                <w:sz w:val="22"/>
                <w:szCs w:val="22"/>
              </w:rPr>
              <w:t>Ivóvíz szolgáltatás*</w:t>
            </w:r>
          </w:p>
        </w:tc>
        <w:tc>
          <w:tcPr>
            <w:tcW w:w="1004" w:type="dxa"/>
            <w:gridSpan w:val="2"/>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sz w:val="22"/>
                <w:szCs w:val="22"/>
              </w:rPr>
            </w:pPr>
            <w:r w:rsidRPr="00883EC9">
              <w:rPr>
                <w:rFonts w:ascii="Times New Roman CE" w:hAnsi="Times New Roman CE" w:cs="Times New Roman CE"/>
                <w:sz w:val="22"/>
                <w:szCs w:val="22"/>
              </w:rPr>
              <w:t>265 360</w:t>
            </w:r>
          </w:p>
        </w:tc>
      </w:tr>
      <w:tr w:rsidR="007606D6" w:rsidRPr="00883EC9" w:rsidTr="00D2714A">
        <w:trPr>
          <w:gridBefore w:val="1"/>
          <w:gridAfter w:val="5"/>
          <w:wBefore w:w="142" w:type="dxa"/>
          <w:wAfter w:w="3601" w:type="dxa"/>
          <w:trHeight w:val="315"/>
        </w:trPr>
        <w:tc>
          <w:tcPr>
            <w:tcW w:w="5176" w:type="dxa"/>
            <w:gridSpan w:val="3"/>
            <w:tcBorders>
              <w:top w:val="nil"/>
              <w:left w:val="nil"/>
              <w:bottom w:val="nil"/>
              <w:right w:val="nil"/>
            </w:tcBorders>
            <w:shd w:val="clear" w:color="auto" w:fill="auto"/>
            <w:vAlign w:val="center"/>
            <w:hideMark/>
          </w:tcPr>
          <w:p w:rsidR="007606D6" w:rsidRPr="00883EC9" w:rsidRDefault="007606D6" w:rsidP="007606D6">
            <w:pPr>
              <w:rPr>
                <w:rFonts w:ascii="Times New Roman CE" w:hAnsi="Times New Roman CE" w:cs="Times New Roman CE"/>
                <w:sz w:val="22"/>
                <w:szCs w:val="22"/>
              </w:rPr>
            </w:pPr>
            <w:r w:rsidRPr="00883EC9">
              <w:rPr>
                <w:rFonts w:ascii="Times New Roman CE" w:hAnsi="Times New Roman CE" w:cs="Times New Roman CE"/>
                <w:sz w:val="22"/>
                <w:szCs w:val="22"/>
              </w:rPr>
              <w:t xml:space="preserve">Szennyvíz elvezetés, </w:t>
            </w:r>
            <w:proofErr w:type="spellStart"/>
            <w:r w:rsidRPr="00883EC9">
              <w:rPr>
                <w:rFonts w:ascii="Times New Roman CE" w:hAnsi="Times New Roman CE" w:cs="Times New Roman CE"/>
                <w:sz w:val="22"/>
                <w:szCs w:val="22"/>
              </w:rPr>
              <w:t>-tisztítás</w:t>
            </w:r>
            <w:proofErr w:type="spellEnd"/>
            <w:r w:rsidRPr="00883EC9">
              <w:rPr>
                <w:rFonts w:ascii="Times New Roman CE" w:hAnsi="Times New Roman CE" w:cs="Times New Roman CE"/>
                <w:sz w:val="22"/>
                <w:szCs w:val="22"/>
              </w:rPr>
              <w:t>*</w:t>
            </w:r>
          </w:p>
        </w:tc>
        <w:tc>
          <w:tcPr>
            <w:tcW w:w="1004" w:type="dxa"/>
            <w:gridSpan w:val="2"/>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sz w:val="22"/>
                <w:szCs w:val="22"/>
              </w:rPr>
            </w:pPr>
            <w:r w:rsidRPr="00883EC9">
              <w:rPr>
                <w:rFonts w:ascii="Times New Roman CE" w:hAnsi="Times New Roman CE" w:cs="Times New Roman CE"/>
                <w:sz w:val="22"/>
                <w:szCs w:val="22"/>
              </w:rPr>
              <w:t>291 886</w:t>
            </w:r>
          </w:p>
        </w:tc>
      </w:tr>
      <w:tr w:rsidR="007606D6" w:rsidRPr="00883EC9" w:rsidTr="00D2714A">
        <w:trPr>
          <w:gridBefore w:val="1"/>
          <w:gridAfter w:val="5"/>
          <w:wBefore w:w="142" w:type="dxa"/>
          <w:wAfter w:w="3601" w:type="dxa"/>
          <w:trHeight w:val="315"/>
        </w:trPr>
        <w:tc>
          <w:tcPr>
            <w:tcW w:w="5176" w:type="dxa"/>
            <w:gridSpan w:val="3"/>
            <w:tcBorders>
              <w:top w:val="nil"/>
              <w:left w:val="nil"/>
              <w:bottom w:val="single" w:sz="4" w:space="0" w:color="auto"/>
              <w:right w:val="nil"/>
            </w:tcBorders>
            <w:shd w:val="clear" w:color="auto" w:fill="auto"/>
            <w:vAlign w:val="center"/>
            <w:hideMark/>
          </w:tcPr>
          <w:p w:rsidR="007606D6" w:rsidRPr="00883EC9" w:rsidRDefault="007606D6" w:rsidP="007606D6">
            <w:pPr>
              <w:rPr>
                <w:rFonts w:ascii="Times New Roman CE" w:hAnsi="Times New Roman CE" w:cs="Times New Roman CE"/>
                <w:sz w:val="22"/>
                <w:szCs w:val="22"/>
              </w:rPr>
            </w:pPr>
            <w:r w:rsidRPr="00883EC9">
              <w:rPr>
                <w:rFonts w:ascii="Times New Roman CE" w:hAnsi="Times New Roman CE" w:cs="Times New Roman CE"/>
                <w:sz w:val="22"/>
                <w:szCs w:val="22"/>
              </w:rPr>
              <w:t>Alaptevékenységen kívüli egyéb tevékenység</w:t>
            </w:r>
          </w:p>
        </w:tc>
        <w:tc>
          <w:tcPr>
            <w:tcW w:w="1004" w:type="dxa"/>
            <w:gridSpan w:val="2"/>
            <w:tcBorders>
              <w:top w:val="nil"/>
              <w:left w:val="nil"/>
              <w:bottom w:val="single" w:sz="4" w:space="0" w:color="auto"/>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sz w:val="22"/>
                <w:szCs w:val="22"/>
              </w:rPr>
            </w:pPr>
            <w:r w:rsidRPr="00883EC9">
              <w:rPr>
                <w:rFonts w:ascii="Times New Roman CE" w:hAnsi="Times New Roman CE" w:cs="Times New Roman CE"/>
                <w:sz w:val="22"/>
                <w:szCs w:val="22"/>
              </w:rPr>
              <w:t>-21 975</w:t>
            </w:r>
          </w:p>
        </w:tc>
      </w:tr>
      <w:tr w:rsidR="007606D6" w:rsidRPr="00883EC9" w:rsidTr="00D2714A">
        <w:trPr>
          <w:gridBefore w:val="1"/>
          <w:gridAfter w:val="5"/>
          <w:wBefore w:w="142" w:type="dxa"/>
          <w:wAfter w:w="3601" w:type="dxa"/>
          <w:trHeight w:val="315"/>
        </w:trPr>
        <w:tc>
          <w:tcPr>
            <w:tcW w:w="5176" w:type="dxa"/>
            <w:gridSpan w:val="3"/>
            <w:tcBorders>
              <w:top w:val="nil"/>
              <w:left w:val="nil"/>
              <w:bottom w:val="nil"/>
              <w:right w:val="nil"/>
            </w:tcBorders>
            <w:shd w:val="clear" w:color="auto" w:fill="auto"/>
            <w:vAlign w:val="center"/>
            <w:hideMark/>
          </w:tcPr>
          <w:p w:rsidR="007606D6" w:rsidRPr="00883EC9" w:rsidRDefault="007606D6" w:rsidP="007606D6">
            <w:pPr>
              <w:jc w:val="right"/>
              <w:rPr>
                <w:rFonts w:ascii="Times New Roman CE" w:hAnsi="Times New Roman CE" w:cs="Times New Roman CE"/>
                <w:sz w:val="22"/>
                <w:szCs w:val="22"/>
              </w:rPr>
            </w:pPr>
          </w:p>
        </w:tc>
        <w:tc>
          <w:tcPr>
            <w:tcW w:w="1004" w:type="dxa"/>
            <w:gridSpan w:val="2"/>
            <w:tcBorders>
              <w:top w:val="nil"/>
              <w:left w:val="nil"/>
              <w:bottom w:val="nil"/>
              <w:right w:val="nil"/>
            </w:tcBorders>
            <w:shd w:val="clear" w:color="auto" w:fill="auto"/>
            <w:noWrap/>
            <w:vAlign w:val="bottom"/>
            <w:hideMark/>
          </w:tcPr>
          <w:p w:rsidR="007606D6" w:rsidRPr="00883EC9" w:rsidRDefault="007606D6" w:rsidP="007606D6">
            <w:pPr>
              <w:jc w:val="right"/>
              <w:rPr>
                <w:rFonts w:ascii="Times New Roman CE" w:hAnsi="Times New Roman CE" w:cs="Times New Roman CE"/>
                <w:sz w:val="22"/>
                <w:szCs w:val="22"/>
              </w:rPr>
            </w:pPr>
            <w:r w:rsidRPr="00883EC9">
              <w:rPr>
                <w:rFonts w:ascii="Times New Roman CE" w:hAnsi="Times New Roman CE" w:cs="Times New Roman CE"/>
                <w:sz w:val="22"/>
                <w:szCs w:val="22"/>
              </w:rPr>
              <w:t>535 271</w:t>
            </w:r>
          </w:p>
        </w:tc>
      </w:tr>
    </w:tbl>
    <w:p w:rsidR="007606D6" w:rsidRPr="00883EC9" w:rsidRDefault="007606D6" w:rsidP="00DB2A64">
      <w:pPr>
        <w:tabs>
          <w:tab w:val="right" w:pos="3969"/>
          <w:tab w:val="right" w:pos="5387"/>
          <w:tab w:val="right" w:pos="6804"/>
          <w:tab w:val="right" w:pos="8080"/>
          <w:tab w:val="right" w:pos="9214"/>
        </w:tabs>
        <w:ind w:right="1700"/>
        <w:jc w:val="both"/>
        <w:rPr>
          <w:b/>
          <w:i/>
          <w:sz w:val="16"/>
          <w:szCs w:val="16"/>
        </w:rPr>
      </w:pPr>
      <w:r w:rsidRPr="00883EC9">
        <w:rPr>
          <w:sz w:val="21"/>
          <w:szCs w:val="21"/>
        </w:rPr>
        <w:t xml:space="preserve">* </w:t>
      </w:r>
      <w:r w:rsidR="00DB2A64" w:rsidRPr="00883EC9">
        <w:rPr>
          <w:sz w:val="21"/>
          <w:szCs w:val="21"/>
        </w:rPr>
        <w:t>2017. június hónapra vonatkozó, július havi fizetési határidejű víz- és csatornadíj számlák</w:t>
      </w:r>
    </w:p>
    <w:p w:rsidR="007606D6" w:rsidRPr="00D2714A" w:rsidRDefault="007606D6">
      <w:pPr>
        <w:tabs>
          <w:tab w:val="left" w:pos="426"/>
          <w:tab w:val="right" w:pos="3969"/>
          <w:tab w:val="right" w:pos="5387"/>
          <w:tab w:val="right" w:pos="6804"/>
          <w:tab w:val="right" w:pos="8080"/>
          <w:tab w:val="right" w:pos="9214"/>
        </w:tabs>
        <w:ind w:right="-144"/>
        <w:jc w:val="both"/>
        <w:rPr>
          <w:b/>
          <w:i/>
          <w:sz w:val="24"/>
          <w:szCs w:val="24"/>
        </w:rPr>
      </w:pPr>
    </w:p>
    <w:p w:rsidR="00DB2A64" w:rsidRPr="00883EC9" w:rsidRDefault="00DB2A64" w:rsidP="00DB2A64">
      <w:pPr>
        <w:jc w:val="both"/>
        <w:rPr>
          <w:sz w:val="24"/>
          <w:szCs w:val="24"/>
        </w:rPr>
      </w:pPr>
      <w:r w:rsidRPr="00883EC9">
        <w:rPr>
          <w:sz w:val="24"/>
          <w:szCs w:val="24"/>
        </w:rPr>
        <w:t>Az ivóvíz- és csatornaszolgáltatás árbevételének időbeli elhatárolására év végén az időszakos elszámolás számviteli szabályai szerint, az időszak reális árbevételének meghatározása miatt kerül sor. Az évközi adatokat a reális értékelés érdekében szintén korrigálni szükséges. A korrekció a júliusban esedékes fizetési határidejű, I. félévre vonatkozó lakossági és nem lakossági számlák számított értékét tartalmazza.</w:t>
      </w:r>
    </w:p>
    <w:p w:rsidR="00DB2A64" w:rsidRPr="00883EC9" w:rsidRDefault="00DB2A64" w:rsidP="00DB2A64">
      <w:pPr>
        <w:jc w:val="both"/>
        <w:rPr>
          <w:sz w:val="24"/>
          <w:szCs w:val="24"/>
        </w:rPr>
      </w:pPr>
      <w:r w:rsidRPr="00883EC9">
        <w:rPr>
          <w:sz w:val="24"/>
          <w:szCs w:val="24"/>
        </w:rPr>
        <w:t xml:space="preserve">A két fő tevékenység együttes korrigált árbevétele 2 926 174 </w:t>
      </w:r>
      <w:proofErr w:type="spellStart"/>
      <w:r w:rsidRPr="00883EC9">
        <w:rPr>
          <w:sz w:val="24"/>
          <w:szCs w:val="24"/>
        </w:rPr>
        <w:t>eFt</w:t>
      </w:r>
      <w:proofErr w:type="spellEnd"/>
      <w:r w:rsidRPr="00883EC9">
        <w:rPr>
          <w:sz w:val="24"/>
          <w:szCs w:val="24"/>
        </w:rPr>
        <w:t xml:space="preserve">. </w:t>
      </w:r>
    </w:p>
    <w:p w:rsidR="00DB2A64" w:rsidRPr="00883EC9" w:rsidRDefault="00DB2A64" w:rsidP="00DB2A64">
      <w:pPr>
        <w:shd w:val="clear" w:color="auto" w:fill="FFFFFF"/>
        <w:jc w:val="both"/>
        <w:rPr>
          <w:sz w:val="16"/>
          <w:szCs w:val="23"/>
        </w:rPr>
      </w:pPr>
    </w:p>
    <w:p w:rsidR="0093718B" w:rsidRDefault="00DB2A64" w:rsidP="00766EB8">
      <w:pPr>
        <w:jc w:val="both"/>
        <w:rPr>
          <w:sz w:val="24"/>
          <w:szCs w:val="23"/>
        </w:rPr>
      </w:pPr>
      <w:r w:rsidRPr="00883EC9">
        <w:rPr>
          <w:i/>
          <w:iCs/>
          <w:sz w:val="24"/>
          <w:szCs w:val="23"/>
        </w:rPr>
        <w:t xml:space="preserve">Az </w:t>
      </w:r>
      <w:r w:rsidRPr="00883EC9">
        <w:rPr>
          <w:b/>
          <w:i/>
          <w:iCs/>
          <w:sz w:val="24"/>
          <w:szCs w:val="23"/>
        </w:rPr>
        <w:t>ivóvíz szolgáltatás korrigált árbevétele</w:t>
      </w:r>
      <w:r w:rsidRPr="00883EC9">
        <w:rPr>
          <w:sz w:val="24"/>
          <w:szCs w:val="23"/>
        </w:rPr>
        <w:t xml:space="preserve"> az éves tervhez képest 49 %, </w:t>
      </w:r>
      <w:r w:rsidR="00566B88">
        <w:rPr>
          <w:sz w:val="24"/>
          <w:szCs w:val="23"/>
        </w:rPr>
        <w:t>a s</w:t>
      </w:r>
      <w:r w:rsidR="00566B88" w:rsidRPr="00883EC9">
        <w:rPr>
          <w:b/>
          <w:i/>
          <w:iCs/>
          <w:sz w:val="24"/>
        </w:rPr>
        <w:t>zennyvízelvezetés és –tisztítás korrigált árbevétele</w:t>
      </w:r>
      <w:r w:rsidR="00566B88" w:rsidRPr="00883EC9">
        <w:rPr>
          <w:sz w:val="24"/>
        </w:rPr>
        <w:t xml:space="preserve"> 49,1 %-os mértékű</w:t>
      </w:r>
      <w:r w:rsidR="00566B88">
        <w:rPr>
          <w:sz w:val="24"/>
        </w:rPr>
        <w:t>,</w:t>
      </w:r>
      <w:r w:rsidR="00566B88" w:rsidRPr="00883EC9">
        <w:rPr>
          <w:sz w:val="24"/>
        </w:rPr>
        <w:t xml:space="preserve"> </w:t>
      </w:r>
      <w:r w:rsidRPr="00883EC9">
        <w:rPr>
          <w:sz w:val="24"/>
          <w:szCs w:val="23"/>
        </w:rPr>
        <w:t>a mennyiségi értékesítési terv idő</w:t>
      </w:r>
      <w:r w:rsidR="00566B88">
        <w:rPr>
          <w:sz w:val="24"/>
          <w:szCs w:val="23"/>
        </w:rPr>
        <w:t>arányos teljesítéséhez hasonlóak</w:t>
      </w:r>
      <w:r w:rsidRPr="00883EC9">
        <w:rPr>
          <w:sz w:val="24"/>
          <w:szCs w:val="23"/>
        </w:rPr>
        <w:t xml:space="preserve">. Az összes </w:t>
      </w:r>
      <w:r w:rsidR="00566B88">
        <w:rPr>
          <w:sz w:val="24"/>
          <w:szCs w:val="23"/>
        </w:rPr>
        <w:t>felhasználás</w:t>
      </w:r>
      <w:r w:rsidRPr="00883EC9">
        <w:rPr>
          <w:sz w:val="24"/>
          <w:szCs w:val="23"/>
        </w:rPr>
        <w:t xml:space="preserve"> több mint felét kitevő, 6 havonta leolvasott lakossági felhasználóhelyek leolvasása április-május hónapokban történik, a nyári hónapok </w:t>
      </w:r>
      <w:r w:rsidR="00566B88">
        <w:rPr>
          <w:sz w:val="24"/>
          <w:szCs w:val="23"/>
        </w:rPr>
        <w:t>felhasználása</w:t>
      </w:r>
      <w:r w:rsidRPr="00883EC9">
        <w:rPr>
          <w:sz w:val="24"/>
          <w:szCs w:val="23"/>
        </w:rPr>
        <w:t xml:space="preserve"> a II. féléves számlákban jelenik meg, amelyek – az elmúlt évek mennyiségi adata alapján - átlagosan 5%-kal magasabbak az I. félévnél. </w:t>
      </w:r>
    </w:p>
    <w:p w:rsidR="00766EB8" w:rsidRPr="00766EB8" w:rsidRDefault="00DB2A64" w:rsidP="00DB2A64">
      <w:pPr>
        <w:jc w:val="both"/>
        <w:rPr>
          <w:iCs/>
          <w:sz w:val="24"/>
        </w:rPr>
      </w:pPr>
      <w:r w:rsidRPr="00766EB8">
        <w:rPr>
          <w:iCs/>
          <w:sz w:val="24"/>
        </w:rPr>
        <w:t>A két elsődleges tevékenység árbevétele az értékesítés nettó árbevételéből 86,9 %-ot tesz ki.</w:t>
      </w:r>
    </w:p>
    <w:p w:rsidR="00766EB8" w:rsidRDefault="00766EB8">
      <w:pPr>
        <w:rPr>
          <w:i/>
          <w:iCs/>
          <w:sz w:val="24"/>
        </w:rPr>
      </w:pPr>
      <w:r>
        <w:rPr>
          <w:i/>
          <w:iCs/>
          <w:sz w:val="24"/>
        </w:rPr>
        <w:br w:type="page"/>
      </w:r>
    </w:p>
    <w:p w:rsidR="00DB2A64" w:rsidRPr="00883EC9" w:rsidRDefault="00DB2A64" w:rsidP="00DB2A64">
      <w:pPr>
        <w:jc w:val="both"/>
        <w:rPr>
          <w:i/>
          <w:iCs/>
          <w:sz w:val="24"/>
        </w:rPr>
      </w:pPr>
    </w:p>
    <w:p w:rsidR="00DB2A64" w:rsidRPr="00883EC9" w:rsidRDefault="00DB2A64" w:rsidP="00DB2A64">
      <w:pPr>
        <w:pStyle w:val="xl86"/>
        <w:spacing w:before="0" w:beforeAutospacing="0" w:after="0" w:afterAutospacing="0"/>
        <w:rPr>
          <w:rFonts w:eastAsia="Times New Roman"/>
          <w:szCs w:val="20"/>
        </w:rPr>
      </w:pPr>
    </w:p>
    <w:p w:rsidR="00DB2A64" w:rsidRPr="00883EC9" w:rsidRDefault="00DB2A64" w:rsidP="00766EB8">
      <w:pPr>
        <w:pStyle w:val="Szvegtrzs3"/>
        <w:tabs>
          <w:tab w:val="right" w:pos="6804"/>
          <w:tab w:val="right" w:pos="9214"/>
        </w:tabs>
        <w:ind w:right="141"/>
      </w:pPr>
      <w:r w:rsidRPr="00883EC9">
        <w:rPr>
          <w:b/>
          <w:bCs/>
          <w:i/>
        </w:rPr>
        <w:t>Ipari víz</w:t>
      </w:r>
      <w:r w:rsidRPr="00883EC9">
        <w:rPr>
          <w:i/>
        </w:rPr>
        <w:t xml:space="preserve"> </w:t>
      </w:r>
      <w:r w:rsidRPr="00883EC9">
        <w:t xml:space="preserve">árbevétel terv teljesítése 24 % (1,6 </w:t>
      </w:r>
      <w:proofErr w:type="spellStart"/>
      <w:r w:rsidRPr="00883EC9">
        <w:t>mFt</w:t>
      </w:r>
      <w:proofErr w:type="spellEnd"/>
      <w:r w:rsidRPr="00883EC9">
        <w:t xml:space="preserve">). Az elmaradás oka, hogy a júniusban leolvasott mennyiségek a következő időszakban kerülnek számlázásra (1,4 </w:t>
      </w:r>
      <w:proofErr w:type="spellStart"/>
      <w:r w:rsidRPr="00883EC9">
        <w:t>mFt</w:t>
      </w:r>
      <w:proofErr w:type="spellEnd"/>
      <w:r w:rsidRPr="00883EC9">
        <w:t>).</w:t>
      </w:r>
    </w:p>
    <w:p w:rsidR="00DB2A64" w:rsidRPr="00883EC9" w:rsidRDefault="00DB2A64" w:rsidP="00766EB8">
      <w:pPr>
        <w:pStyle w:val="Szvegtrzs"/>
        <w:ind w:right="141"/>
        <w:rPr>
          <w:sz w:val="16"/>
        </w:rPr>
      </w:pPr>
    </w:p>
    <w:p w:rsidR="00DB2A64" w:rsidRPr="00883EC9" w:rsidRDefault="00DB2A64" w:rsidP="00766EB8">
      <w:pPr>
        <w:tabs>
          <w:tab w:val="left" w:pos="426"/>
          <w:tab w:val="right" w:pos="3969"/>
          <w:tab w:val="right" w:pos="5387"/>
          <w:tab w:val="right" w:pos="6804"/>
          <w:tab w:val="right" w:pos="8080"/>
          <w:tab w:val="right" w:pos="9214"/>
        </w:tabs>
        <w:ind w:right="141"/>
        <w:jc w:val="both"/>
        <w:rPr>
          <w:sz w:val="24"/>
          <w:szCs w:val="23"/>
        </w:rPr>
      </w:pPr>
      <w:r w:rsidRPr="00883EC9">
        <w:rPr>
          <w:b/>
          <w:i/>
          <w:sz w:val="24"/>
          <w:szCs w:val="23"/>
        </w:rPr>
        <w:t>Fürdőszolgáltatás és kiegészítő tevékenységei árbevétele</w:t>
      </w:r>
      <w:r w:rsidRPr="00883EC9">
        <w:rPr>
          <w:i/>
          <w:sz w:val="24"/>
          <w:szCs w:val="23"/>
        </w:rPr>
        <w:t xml:space="preserve"> </w:t>
      </w:r>
      <w:r w:rsidRPr="00883EC9">
        <w:rPr>
          <w:sz w:val="24"/>
          <w:szCs w:val="23"/>
        </w:rPr>
        <w:t xml:space="preserve">40 629 </w:t>
      </w:r>
      <w:proofErr w:type="spellStart"/>
      <w:r w:rsidRPr="00883EC9">
        <w:rPr>
          <w:sz w:val="24"/>
          <w:szCs w:val="23"/>
        </w:rPr>
        <w:t>eFt</w:t>
      </w:r>
      <w:proofErr w:type="spellEnd"/>
      <w:r w:rsidRPr="00883EC9">
        <w:rPr>
          <w:sz w:val="24"/>
          <w:szCs w:val="23"/>
        </w:rPr>
        <w:t xml:space="preserve">, teljesítés 35,3 %. </w:t>
      </w:r>
    </w:p>
    <w:p w:rsidR="00DB2A64" w:rsidRPr="00883EC9" w:rsidRDefault="00DB2A64" w:rsidP="00766EB8">
      <w:pPr>
        <w:pStyle w:val="Szvegtrzs"/>
        <w:ind w:right="141"/>
        <w:rPr>
          <w:szCs w:val="23"/>
        </w:rPr>
      </w:pPr>
      <w:r w:rsidRPr="00883EC9">
        <w:rPr>
          <w:szCs w:val="23"/>
        </w:rPr>
        <w:t>2016. évben az uszoda beruházási munkák miatt június 19-én bezárt. A zárás időpontjáig a fürdővendégek száma 75 ezer fő volt. 2017. I. félévének belépésszáma ezzel szemben 86 ezer fő, amely 14,7 %-os növekedést jelent a fürdőlátogatók számának tekintetében. Az iskolai úszásoktatás területén az elmúlt évben folyamatos átalakulás volt tapasztalható. Az átrendeződéseknek köszönhetően az önkormányzati iskolai belépések száma 4 504</w:t>
      </w:r>
      <w:r w:rsidR="005E4AD3" w:rsidRPr="00883EC9">
        <w:rPr>
          <w:szCs w:val="23"/>
        </w:rPr>
        <w:t xml:space="preserve"> belépéssel</w:t>
      </w:r>
      <w:r w:rsidRPr="00883EC9">
        <w:rPr>
          <w:szCs w:val="23"/>
        </w:rPr>
        <w:t xml:space="preserve"> nőtt a bázis időszakhoz képest (index 130,6 %). Az iskolai belépések között - az önkormányzat által finanszírozottakon túl – a vizsgált időszakban az Élelmiszeripari SZKI, a városi </w:t>
      </w:r>
      <w:proofErr w:type="spellStart"/>
      <w:r w:rsidRPr="00883EC9">
        <w:rPr>
          <w:szCs w:val="23"/>
        </w:rPr>
        <w:t>gyógyúszás</w:t>
      </w:r>
      <w:proofErr w:type="spellEnd"/>
      <w:r w:rsidRPr="00883EC9">
        <w:rPr>
          <w:szCs w:val="23"/>
        </w:rPr>
        <w:t>, valamint az Aranyhíd Iskola középiskolai úszásoktatás belépéseit tartjuk nyilván, melyeket a Szombathelyi Tankerületi Központ (korábbi KLIK</w:t>
      </w:r>
      <w:r w:rsidR="005E4AD3" w:rsidRPr="00883EC9">
        <w:rPr>
          <w:szCs w:val="23"/>
        </w:rPr>
        <w:t>)</w:t>
      </w:r>
      <w:r w:rsidRPr="00883EC9">
        <w:rPr>
          <w:szCs w:val="23"/>
        </w:rPr>
        <w:t xml:space="preserve"> finanszíroz.</w:t>
      </w:r>
    </w:p>
    <w:p w:rsidR="00DB2A64" w:rsidRPr="00883EC9" w:rsidRDefault="00DB2A64" w:rsidP="00766EB8">
      <w:pPr>
        <w:pStyle w:val="Szvegtrzs"/>
        <w:ind w:right="141"/>
        <w:rPr>
          <w:szCs w:val="23"/>
        </w:rPr>
      </w:pPr>
      <w:r w:rsidRPr="00883EC9">
        <w:rPr>
          <w:szCs w:val="23"/>
        </w:rPr>
        <w:t xml:space="preserve">Az egyesületi belépések száma 2017. I. félévben csökkenést mutat (2016. év 19 361 belépés, 2017. 19 029 belépés, index 98,3%). </w:t>
      </w:r>
    </w:p>
    <w:p w:rsidR="00DB2A64" w:rsidRPr="00883EC9" w:rsidRDefault="00DB2A64" w:rsidP="00766EB8">
      <w:pPr>
        <w:pStyle w:val="Szvegtrzs"/>
        <w:ind w:right="141"/>
        <w:rPr>
          <w:szCs w:val="23"/>
        </w:rPr>
      </w:pPr>
      <w:r w:rsidRPr="00883EC9">
        <w:rPr>
          <w:szCs w:val="23"/>
        </w:rPr>
        <w:t xml:space="preserve">A VÍZMŰ SC belépései 2015. szeptemberétől utólagos elszámolás helyett a pénztárban megvásárolható sportbérlettel történnek. 2017. I. félévében 1341 db bérletet vásároltak, ami 13140 db belépésnek felel meg. </w:t>
      </w:r>
    </w:p>
    <w:p w:rsidR="00DB2A64" w:rsidRPr="0067550C" w:rsidRDefault="00DB2A64" w:rsidP="00766EB8">
      <w:pPr>
        <w:pStyle w:val="Szvegtrzs"/>
        <w:ind w:right="141"/>
        <w:rPr>
          <w:szCs w:val="23"/>
        </w:rPr>
      </w:pPr>
      <w:r w:rsidRPr="00883EC9">
        <w:rPr>
          <w:szCs w:val="23"/>
        </w:rPr>
        <w:t>Az első 6 hónapban 4 100 felnőtt belépő eladás történt 2016. I. félév 3 969 db eladásához képest (index 103,3 %). A diák-nyugdíjas jegyből 2017. I. félévben 2 737 db-ot értékesítettünk a tavalyi    2 546 darabbal szemben (index 107,5 %). Az értékesített gyerekjegyek száma a vizsgált időszakban 3 248 db, amely a 2016. I. félévi 3 050 darabhoz képest az eladások számának növekedését mutatja (index 106,5 %). A korábban gazdasági társaságok részére bevezetett mennyiségi kedvezményt biztosító bérlet</w:t>
      </w:r>
      <w:r w:rsidR="00766EB8">
        <w:rPr>
          <w:szCs w:val="23"/>
        </w:rPr>
        <w:t>ből</w:t>
      </w:r>
      <w:r w:rsidRPr="00883EC9">
        <w:rPr>
          <w:szCs w:val="23"/>
        </w:rPr>
        <w:t xml:space="preserve"> 2016.</w:t>
      </w:r>
      <w:r w:rsidR="005E4AD3" w:rsidRPr="00883EC9">
        <w:rPr>
          <w:szCs w:val="23"/>
        </w:rPr>
        <w:t xml:space="preserve"> </w:t>
      </w:r>
      <w:r w:rsidRPr="00883EC9">
        <w:rPr>
          <w:szCs w:val="23"/>
        </w:rPr>
        <w:t>I. félévben 40 db, 2017. I. félévben pedig</w:t>
      </w:r>
      <w:r w:rsidR="005E4AD3" w:rsidRPr="00883EC9">
        <w:rPr>
          <w:szCs w:val="23"/>
        </w:rPr>
        <w:t xml:space="preserve"> </w:t>
      </w:r>
      <w:r w:rsidRPr="00883EC9">
        <w:rPr>
          <w:szCs w:val="23"/>
        </w:rPr>
        <w:t xml:space="preserve">71 db felnőtt 30 alkalmas bérletet értékesítettünk. Az úszójegyes forgalmunk az első hat hónapban 2 039 db, az előző évben </w:t>
      </w:r>
      <w:r w:rsidRPr="0067550C">
        <w:rPr>
          <w:szCs w:val="23"/>
        </w:rPr>
        <w:t>értékesített 1 478 db napijeggyel szemben (index 138 %).</w:t>
      </w:r>
    </w:p>
    <w:p w:rsidR="0067550C" w:rsidRPr="00883EC9" w:rsidRDefault="0067550C" w:rsidP="00766EB8">
      <w:pPr>
        <w:pStyle w:val="Szvegtrzs"/>
        <w:ind w:right="141"/>
        <w:rPr>
          <w:szCs w:val="23"/>
        </w:rPr>
      </w:pPr>
      <w:r w:rsidRPr="0067550C">
        <w:rPr>
          <w:szCs w:val="23"/>
        </w:rPr>
        <w:t>Az eszközhasznosítás árbevétele 2017. I. félévben 4 251 e Ft.</w:t>
      </w:r>
    </w:p>
    <w:p w:rsidR="00DB2A64" w:rsidRPr="0093718B" w:rsidRDefault="00DB2A64" w:rsidP="00766EB8">
      <w:pPr>
        <w:ind w:right="141"/>
        <w:jc w:val="both"/>
        <w:rPr>
          <w:sz w:val="18"/>
          <w:szCs w:val="18"/>
        </w:rPr>
      </w:pPr>
    </w:p>
    <w:p w:rsidR="00DB2A64" w:rsidRPr="00883EC9" w:rsidRDefault="00DB2A64" w:rsidP="00766EB8">
      <w:pPr>
        <w:pStyle w:val="Szvegtrzs"/>
        <w:ind w:right="141"/>
        <w:rPr>
          <w:i/>
          <w:iCs/>
          <w:szCs w:val="23"/>
        </w:rPr>
      </w:pPr>
      <w:r w:rsidRPr="00883EC9">
        <w:rPr>
          <w:b/>
          <w:i/>
          <w:iCs/>
          <w:szCs w:val="23"/>
        </w:rPr>
        <w:t>A megrendelésre végzett építőipari tevékenység árbevétele</w:t>
      </w:r>
      <w:r w:rsidRPr="00883EC9">
        <w:rPr>
          <w:i/>
          <w:iCs/>
          <w:szCs w:val="23"/>
        </w:rPr>
        <w:t xml:space="preserve"> </w:t>
      </w:r>
      <w:r w:rsidRPr="00883EC9">
        <w:rPr>
          <w:iCs/>
          <w:szCs w:val="23"/>
        </w:rPr>
        <w:t xml:space="preserve">296 400 </w:t>
      </w:r>
      <w:proofErr w:type="spellStart"/>
      <w:r w:rsidRPr="00883EC9">
        <w:rPr>
          <w:iCs/>
          <w:szCs w:val="23"/>
        </w:rPr>
        <w:t>eFt</w:t>
      </w:r>
      <w:proofErr w:type="spellEnd"/>
      <w:r w:rsidRPr="00883EC9">
        <w:rPr>
          <w:iCs/>
          <w:szCs w:val="23"/>
        </w:rPr>
        <w:t xml:space="preserve">, </w:t>
      </w:r>
      <w:r w:rsidRPr="00883EC9">
        <w:rPr>
          <w:bCs/>
          <w:szCs w:val="23"/>
        </w:rPr>
        <w:t>a teljesítés 35,8 %.</w:t>
      </w:r>
    </w:p>
    <w:p w:rsidR="00DB2A64" w:rsidRPr="00883EC9" w:rsidRDefault="00DB2A64" w:rsidP="00766EB8">
      <w:pPr>
        <w:tabs>
          <w:tab w:val="right" w:pos="8789"/>
        </w:tabs>
        <w:ind w:right="141"/>
        <w:jc w:val="both"/>
        <w:rPr>
          <w:sz w:val="24"/>
          <w:szCs w:val="23"/>
        </w:rPr>
      </w:pPr>
      <w:r w:rsidRPr="00883EC9">
        <w:rPr>
          <w:sz w:val="24"/>
          <w:szCs w:val="23"/>
        </w:rPr>
        <w:t xml:space="preserve">A víziközmű-szolgáltatásról szóló törvény alapján a bérleti-üzemeltetési szerződés keretében üzemeltetett </w:t>
      </w:r>
      <w:proofErr w:type="spellStart"/>
      <w:r w:rsidRPr="00883EC9">
        <w:rPr>
          <w:sz w:val="24"/>
          <w:szCs w:val="23"/>
        </w:rPr>
        <w:t>víziközművek</w:t>
      </w:r>
      <w:proofErr w:type="spellEnd"/>
      <w:r w:rsidRPr="00883EC9">
        <w:rPr>
          <w:sz w:val="24"/>
          <w:szCs w:val="23"/>
        </w:rPr>
        <w:t xml:space="preserve"> </w:t>
      </w:r>
      <w:r w:rsidR="00766EB8">
        <w:rPr>
          <w:sz w:val="24"/>
          <w:szCs w:val="23"/>
        </w:rPr>
        <w:t>rekonstrukcióját (cseréje, pótlás)</w:t>
      </w:r>
      <w:r w:rsidRPr="00883EC9">
        <w:rPr>
          <w:sz w:val="24"/>
          <w:szCs w:val="23"/>
        </w:rPr>
        <w:t xml:space="preserve"> a víziközmű-szolgáltató kizárólag a víziközmű-üzemeltetési jogviszonytól elkülönülten, önálló vállalkozási szerződés alapján végezheti.</w:t>
      </w:r>
    </w:p>
    <w:p w:rsidR="00DB2A64" w:rsidRPr="00883EC9" w:rsidRDefault="00DB2A64" w:rsidP="00766EB8">
      <w:pPr>
        <w:tabs>
          <w:tab w:val="right" w:pos="8789"/>
        </w:tabs>
        <w:ind w:right="141"/>
        <w:jc w:val="both"/>
        <w:rPr>
          <w:sz w:val="24"/>
          <w:szCs w:val="23"/>
        </w:rPr>
      </w:pPr>
      <w:r w:rsidRPr="00883EC9">
        <w:rPr>
          <w:sz w:val="24"/>
          <w:szCs w:val="23"/>
        </w:rPr>
        <w:t xml:space="preserve">Az </w:t>
      </w:r>
      <w:r w:rsidRPr="00883EC9">
        <w:rPr>
          <w:i/>
          <w:sz w:val="24"/>
          <w:szCs w:val="23"/>
        </w:rPr>
        <w:t xml:space="preserve">önkormányzati </w:t>
      </w:r>
      <w:proofErr w:type="spellStart"/>
      <w:r w:rsidRPr="00883EC9">
        <w:rPr>
          <w:i/>
          <w:sz w:val="24"/>
          <w:szCs w:val="23"/>
        </w:rPr>
        <w:t>víziközművek</w:t>
      </w:r>
      <w:proofErr w:type="spellEnd"/>
      <w:r w:rsidRPr="00883EC9">
        <w:rPr>
          <w:i/>
          <w:sz w:val="24"/>
          <w:szCs w:val="23"/>
        </w:rPr>
        <w:t xml:space="preserve"> építési-szerelési munkáinak</w:t>
      </w:r>
      <w:r w:rsidRPr="00883EC9">
        <w:rPr>
          <w:sz w:val="24"/>
          <w:szCs w:val="23"/>
        </w:rPr>
        <w:t xml:space="preserve"> bevétele 123 417 </w:t>
      </w:r>
      <w:proofErr w:type="spellStart"/>
      <w:r w:rsidRPr="00883EC9">
        <w:rPr>
          <w:sz w:val="24"/>
          <w:szCs w:val="23"/>
        </w:rPr>
        <w:t>eFt</w:t>
      </w:r>
      <w:proofErr w:type="spellEnd"/>
      <w:r w:rsidRPr="00883EC9">
        <w:rPr>
          <w:sz w:val="24"/>
          <w:szCs w:val="23"/>
        </w:rPr>
        <w:t xml:space="preserve">. </w:t>
      </w:r>
      <w:r w:rsidR="00766EB8">
        <w:rPr>
          <w:sz w:val="24"/>
          <w:szCs w:val="23"/>
        </w:rPr>
        <w:t>E</w:t>
      </w:r>
      <w:r w:rsidR="00766EB8" w:rsidRPr="00883EC9">
        <w:rPr>
          <w:sz w:val="24"/>
          <w:szCs w:val="23"/>
        </w:rPr>
        <w:t xml:space="preserve">lrendelt munkák </w:t>
      </w:r>
      <w:r w:rsidR="00766EB8">
        <w:rPr>
          <w:sz w:val="24"/>
          <w:szCs w:val="23"/>
        </w:rPr>
        <w:t xml:space="preserve">értéke 465 512 </w:t>
      </w:r>
      <w:proofErr w:type="spellStart"/>
      <w:r w:rsidR="00766EB8">
        <w:rPr>
          <w:sz w:val="24"/>
          <w:szCs w:val="23"/>
        </w:rPr>
        <w:t>eFt</w:t>
      </w:r>
      <w:proofErr w:type="spellEnd"/>
      <w:r w:rsidRPr="00883EC9">
        <w:rPr>
          <w:sz w:val="24"/>
          <w:szCs w:val="23"/>
        </w:rPr>
        <w:t xml:space="preserve">, ezek számlázása a </w:t>
      </w:r>
      <w:r w:rsidR="00766EB8">
        <w:rPr>
          <w:sz w:val="24"/>
          <w:szCs w:val="23"/>
        </w:rPr>
        <w:t>későbbiekben történik</w:t>
      </w:r>
      <w:r w:rsidRPr="00883EC9">
        <w:rPr>
          <w:sz w:val="24"/>
          <w:szCs w:val="23"/>
        </w:rPr>
        <w:t>.</w:t>
      </w:r>
    </w:p>
    <w:p w:rsidR="00DB2A64" w:rsidRPr="00883EC9" w:rsidRDefault="00DB2A64" w:rsidP="00766EB8">
      <w:pPr>
        <w:tabs>
          <w:tab w:val="right" w:pos="8505"/>
        </w:tabs>
        <w:ind w:right="141"/>
        <w:jc w:val="both"/>
        <w:rPr>
          <w:sz w:val="24"/>
          <w:szCs w:val="23"/>
        </w:rPr>
      </w:pPr>
      <w:r w:rsidRPr="00883EC9">
        <w:rPr>
          <w:i/>
          <w:iCs/>
          <w:sz w:val="24"/>
          <w:szCs w:val="23"/>
        </w:rPr>
        <w:t>Egyéb megrendelésekre végzett építés árbevétele</w:t>
      </w:r>
      <w:r w:rsidRPr="00883EC9">
        <w:rPr>
          <w:sz w:val="24"/>
          <w:szCs w:val="23"/>
        </w:rPr>
        <w:t xml:space="preserve"> 172 983 </w:t>
      </w:r>
      <w:proofErr w:type="spellStart"/>
      <w:r w:rsidRPr="00883EC9">
        <w:rPr>
          <w:sz w:val="24"/>
          <w:szCs w:val="23"/>
        </w:rPr>
        <w:t>eFt</w:t>
      </w:r>
      <w:proofErr w:type="spellEnd"/>
      <w:r w:rsidRPr="00883EC9">
        <w:rPr>
          <w:sz w:val="24"/>
          <w:szCs w:val="23"/>
        </w:rPr>
        <w:t xml:space="preserve">, amely összeg a víz- és csatorna-bekötésekkel összefüggő munkák árbevételét és az egyéb megrendelésre </w:t>
      </w:r>
      <w:r w:rsidR="00766EB8" w:rsidRPr="00766EB8">
        <w:rPr>
          <w:iCs/>
          <w:sz w:val="24"/>
          <w:szCs w:val="23"/>
        </w:rPr>
        <w:t xml:space="preserve">(nem a </w:t>
      </w:r>
      <w:proofErr w:type="spellStart"/>
      <w:r w:rsidR="00766EB8" w:rsidRPr="00766EB8">
        <w:rPr>
          <w:iCs/>
          <w:sz w:val="24"/>
          <w:szCs w:val="23"/>
        </w:rPr>
        <w:t>víziközmű</w:t>
      </w:r>
      <w:proofErr w:type="spellEnd"/>
      <w:r w:rsidR="00766EB8" w:rsidRPr="00766EB8">
        <w:rPr>
          <w:iCs/>
          <w:sz w:val="24"/>
          <w:szCs w:val="23"/>
        </w:rPr>
        <w:t xml:space="preserve"> eszközök használati díja terhére) </w:t>
      </w:r>
      <w:r w:rsidRPr="00883EC9">
        <w:rPr>
          <w:sz w:val="24"/>
          <w:szCs w:val="23"/>
        </w:rPr>
        <w:t>végzett építőipari munkák árbevételét tartalmazza.</w:t>
      </w:r>
    </w:p>
    <w:p w:rsidR="00DB2A64" w:rsidRPr="00E37A5F" w:rsidRDefault="00DB2A64" w:rsidP="00766EB8">
      <w:pPr>
        <w:tabs>
          <w:tab w:val="right" w:pos="8505"/>
        </w:tabs>
        <w:ind w:right="141"/>
        <w:jc w:val="both"/>
      </w:pPr>
    </w:p>
    <w:p w:rsidR="00DB2A64" w:rsidRPr="00CA44EB" w:rsidRDefault="00DB2A64" w:rsidP="00454DCD">
      <w:pPr>
        <w:ind w:right="142"/>
        <w:jc w:val="both"/>
        <w:rPr>
          <w:iCs/>
          <w:sz w:val="24"/>
          <w:szCs w:val="23"/>
        </w:rPr>
      </w:pPr>
      <w:r w:rsidRPr="00CA44EB">
        <w:rPr>
          <w:b/>
          <w:i/>
          <w:iCs/>
          <w:sz w:val="24"/>
          <w:szCs w:val="23"/>
        </w:rPr>
        <w:t>Alaptevékenységhez kapcsolódó egyéb szolgáltatások árbevétele</w:t>
      </w:r>
      <w:r w:rsidRPr="00CA44EB">
        <w:rPr>
          <w:i/>
          <w:iCs/>
          <w:sz w:val="24"/>
          <w:szCs w:val="23"/>
        </w:rPr>
        <w:t xml:space="preserve"> </w:t>
      </w:r>
      <w:r w:rsidRPr="00CA44EB">
        <w:rPr>
          <w:iCs/>
          <w:sz w:val="24"/>
          <w:szCs w:val="23"/>
        </w:rPr>
        <w:t xml:space="preserve">51 234 </w:t>
      </w:r>
      <w:proofErr w:type="spellStart"/>
      <w:r w:rsidRPr="00CA44EB">
        <w:rPr>
          <w:iCs/>
          <w:sz w:val="24"/>
          <w:szCs w:val="23"/>
        </w:rPr>
        <w:t>eFt</w:t>
      </w:r>
      <w:proofErr w:type="spellEnd"/>
      <w:r w:rsidRPr="00CA44EB">
        <w:rPr>
          <w:iCs/>
          <w:sz w:val="24"/>
          <w:szCs w:val="23"/>
        </w:rPr>
        <w:t>, teljesítése 58,9%.</w:t>
      </w:r>
    </w:p>
    <w:p w:rsidR="00454DCD" w:rsidRPr="00454DCD" w:rsidRDefault="00DB2A64" w:rsidP="00454DCD">
      <w:pPr>
        <w:pStyle w:val="Szvegtrzs3"/>
        <w:ind w:right="142"/>
        <w:rPr>
          <w:color w:val="000000"/>
          <w14:shadow w14:blurRad="50800" w14:dist="38100" w14:dir="2700000" w14:sx="100000" w14:sy="100000" w14:kx="0" w14:ky="0" w14:algn="tl">
            <w14:srgbClr w14:val="000000">
              <w14:alpha w14:val="60000"/>
            </w14:srgbClr>
          </w14:shadow>
        </w:rPr>
      </w:pPr>
      <w:r w:rsidRPr="00CA44EB">
        <w:rPr>
          <w:szCs w:val="23"/>
        </w:rPr>
        <w:t xml:space="preserve">A megrendelésre végzett laboratóriumi vizsgálatok teljesítése 54 %, 17 276 </w:t>
      </w:r>
      <w:proofErr w:type="spellStart"/>
      <w:r w:rsidRPr="00CA44EB">
        <w:rPr>
          <w:szCs w:val="23"/>
        </w:rPr>
        <w:t>eFt</w:t>
      </w:r>
      <w:proofErr w:type="spellEnd"/>
      <w:r w:rsidRPr="00CA44EB">
        <w:rPr>
          <w:szCs w:val="23"/>
        </w:rPr>
        <w:t>.  201</w:t>
      </w:r>
      <w:r w:rsidR="00CA44EB" w:rsidRPr="00CA44EB">
        <w:rPr>
          <w:szCs w:val="23"/>
        </w:rPr>
        <w:t>7</w:t>
      </w:r>
      <w:r w:rsidRPr="00CA44EB">
        <w:rPr>
          <w:szCs w:val="23"/>
        </w:rPr>
        <w:t xml:space="preserve">. I. félévben nőtt az egyéni megkeresések száma és </w:t>
      </w:r>
      <w:r w:rsidRPr="00CA44EB">
        <w:rPr>
          <w:color w:val="000000"/>
          <w14:shadow w14:blurRad="50800" w14:dist="38100" w14:dir="2700000" w14:sx="100000" w14:sy="100000" w14:kx="0" w14:ky="0" w14:algn="tl">
            <w14:srgbClr w14:val="000000">
              <w14:alpha w14:val="60000"/>
            </w14:srgbClr>
          </w14:shadow>
        </w:rPr>
        <w:t xml:space="preserve">a bevétel növekedéséhez hozzájárult a </w:t>
      </w:r>
      <w:proofErr w:type="spellStart"/>
      <w:r w:rsidRPr="00CA44EB">
        <w:rPr>
          <w:color w:val="000000"/>
          <w14:shadow w14:blurRad="50800" w14:dist="38100" w14:dir="2700000" w14:sx="100000" w14:sy="100000" w14:kx="0" w14:ky="0" w14:algn="tl">
            <w14:srgbClr w14:val="000000">
              <w14:alpha w14:val="60000"/>
            </w14:srgbClr>
          </w14:shadow>
        </w:rPr>
        <w:t>Legionella</w:t>
      </w:r>
      <w:proofErr w:type="spellEnd"/>
      <w:r w:rsidRPr="00CA44EB">
        <w:rPr>
          <w:color w:val="000000"/>
          <w14:shadow w14:blurRad="50800" w14:dist="38100" w14:dir="2700000" w14:sx="100000" w14:sy="100000" w14:kx="0" w14:ky="0" w14:algn="tl">
            <w14:srgbClr w14:val="000000">
              <w14:alpha w14:val="60000"/>
            </w14:srgbClr>
          </w14:shadow>
        </w:rPr>
        <w:t xml:space="preserve"> vizsgálatok számának növekedése.</w:t>
      </w:r>
      <w:r w:rsidRPr="00454DCD">
        <w:rPr>
          <w:color w:val="000000"/>
          <w14:shadow w14:blurRad="50800" w14:dist="38100" w14:dir="2700000" w14:sx="100000" w14:sy="100000" w14:kx="0" w14:ky="0" w14:algn="tl">
            <w14:srgbClr w14:val="000000">
              <w14:alpha w14:val="60000"/>
            </w14:srgbClr>
          </w14:shadow>
        </w:rPr>
        <w:t xml:space="preserve"> </w:t>
      </w:r>
    </w:p>
    <w:p w:rsidR="00DB2A64" w:rsidRPr="00883EC9" w:rsidRDefault="00DB2A64" w:rsidP="00454DCD">
      <w:pPr>
        <w:pStyle w:val="Szvegtrzs3"/>
        <w:ind w:right="142"/>
        <w:rPr>
          <w:szCs w:val="23"/>
        </w:rPr>
      </w:pPr>
      <w:r w:rsidRPr="00883EC9">
        <w:rPr>
          <w:szCs w:val="23"/>
        </w:rPr>
        <w:t xml:space="preserve">A </w:t>
      </w:r>
      <w:r w:rsidRPr="00CB6AB5">
        <w:rPr>
          <w:i/>
          <w:szCs w:val="23"/>
        </w:rPr>
        <w:t>megrendelésre végzett csatornamosatás, dugulás elhárítás</w:t>
      </w:r>
      <w:r w:rsidRPr="00883EC9">
        <w:rPr>
          <w:szCs w:val="23"/>
        </w:rPr>
        <w:t xml:space="preserve"> bevétele 3 044 </w:t>
      </w:r>
      <w:proofErr w:type="spellStart"/>
      <w:r w:rsidRPr="00883EC9">
        <w:rPr>
          <w:szCs w:val="23"/>
        </w:rPr>
        <w:t>eFt</w:t>
      </w:r>
      <w:proofErr w:type="spellEnd"/>
      <w:r w:rsidRPr="00883EC9">
        <w:rPr>
          <w:szCs w:val="23"/>
        </w:rPr>
        <w:t>, amely jelentősen meghalad</w:t>
      </w:r>
      <w:r w:rsidR="00454DCD">
        <w:rPr>
          <w:szCs w:val="23"/>
        </w:rPr>
        <w:t>j</w:t>
      </w:r>
      <w:r w:rsidRPr="00883EC9">
        <w:rPr>
          <w:szCs w:val="23"/>
        </w:rPr>
        <w:t>a a tervezett értéket. Az árbevétel kedvező alakulásának oka, hogy nőtt a csatornarekonstrukciós munkákhoz kapcsolódó megbízások száma.</w:t>
      </w:r>
    </w:p>
    <w:p w:rsidR="00DB2A64" w:rsidRPr="00883EC9" w:rsidRDefault="00DB2A64" w:rsidP="00454DCD">
      <w:pPr>
        <w:pStyle w:val="Szvegtrzs"/>
        <w:tabs>
          <w:tab w:val="center" w:pos="9356"/>
        </w:tabs>
        <w:ind w:right="142"/>
        <w:rPr>
          <w:szCs w:val="23"/>
        </w:rPr>
      </w:pPr>
      <w:r w:rsidRPr="00883EC9">
        <w:rPr>
          <w:szCs w:val="23"/>
        </w:rPr>
        <w:t xml:space="preserve">A </w:t>
      </w:r>
      <w:r w:rsidRPr="00CB6AB5">
        <w:rPr>
          <w:i/>
          <w:szCs w:val="23"/>
        </w:rPr>
        <w:t>megrendelésre végzett csatorna kamerázás</w:t>
      </w:r>
      <w:r w:rsidRPr="00883EC9">
        <w:rPr>
          <w:szCs w:val="23"/>
        </w:rPr>
        <w:t xml:space="preserve"> árbevétele 1 189 </w:t>
      </w:r>
      <w:proofErr w:type="spellStart"/>
      <w:r w:rsidRPr="00883EC9">
        <w:rPr>
          <w:szCs w:val="23"/>
        </w:rPr>
        <w:t>eFt</w:t>
      </w:r>
      <w:proofErr w:type="spellEnd"/>
      <w:r w:rsidRPr="00883EC9">
        <w:rPr>
          <w:szCs w:val="23"/>
        </w:rPr>
        <w:t>, teljesítés 79,3 %. A vizsgált időszakban több nagyobb volumenű munkát végeztünk (</w:t>
      </w:r>
      <w:r w:rsidR="00454DCD">
        <w:rPr>
          <w:szCs w:val="23"/>
        </w:rPr>
        <w:t xml:space="preserve">pl. </w:t>
      </w:r>
      <w:r w:rsidRPr="00883EC9">
        <w:rPr>
          <w:szCs w:val="23"/>
        </w:rPr>
        <w:t xml:space="preserve">Haladás </w:t>
      </w:r>
      <w:r w:rsidR="00454DCD">
        <w:rPr>
          <w:szCs w:val="23"/>
        </w:rPr>
        <w:t>s</w:t>
      </w:r>
      <w:r w:rsidRPr="00883EC9">
        <w:rPr>
          <w:szCs w:val="23"/>
        </w:rPr>
        <w:t>tadion)</w:t>
      </w:r>
    </w:p>
    <w:p w:rsidR="00E37A5F" w:rsidRDefault="00DB2A64" w:rsidP="00454DCD">
      <w:pPr>
        <w:tabs>
          <w:tab w:val="center" w:pos="9356"/>
        </w:tabs>
        <w:ind w:right="142"/>
        <w:jc w:val="both"/>
        <w:rPr>
          <w:sz w:val="24"/>
          <w:szCs w:val="23"/>
        </w:rPr>
      </w:pPr>
      <w:r w:rsidRPr="00883EC9">
        <w:rPr>
          <w:sz w:val="24"/>
          <w:szCs w:val="23"/>
        </w:rPr>
        <w:t xml:space="preserve">A </w:t>
      </w:r>
      <w:r w:rsidRPr="00CB6AB5">
        <w:rPr>
          <w:i/>
          <w:sz w:val="24"/>
          <w:szCs w:val="23"/>
        </w:rPr>
        <w:t>szippantott szennyvizek fogadás</w:t>
      </w:r>
      <w:r w:rsidRPr="00883EC9">
        <w:rPr>
          <w:sz w:val="24"/>
          <w:szCs w:val="23"/>
        </w:rPr>
        <w:t xml:space="preserve">ának árbevétele </w:t>
      </w:r>
      <w:r w:rsidR="00454DCD">
        <w:rPr>
          <w:sz w:val="24"/>
          <w:szCs w:val="23"/>
        </w:rPr>
        <w:t xml:space="preserve">15 646 </w:t>
      </w:r>
      <w:proofErr w:type="spellStart"/>
      <w:r w:rsidR="00454DCD">
        <w:rPr>
          <w:sz w:val="24"/>
          <w:szCs w:val="23"/>
        </w:rPr>
        <w:t>eFt</w:t>
      </w:r>
      <w:proofErr w:type="spellEnd"/>
      <w:r w:rsidR="00454DCD">
        <w:rPr>
          <w:sz w:val="24"/>
          <w:szCs w:val="23"/>
        </w:rPr>
        <w:t>, 48,3%-on teljesült.</w:t>
      </w:r>
    </w:p>
    <w:p w:rsidR="00E37A5F" w:rsidRDefault="00E37A5F">
      <w:pPr>
        <w:rPr>
          <w:sz w:val="24"/>
          <w:szCs w:val="23"/>
        </w:rPr>
      </w:pPr>
      <w:r>
        <w:rPr>
          <w:sz w:val="24"/>
          <w:szCs w:val="23"/>
        </w:rPr>
        <w:br w:type="page"/>
      </w:r>
    </w:p>
    <w:p w:rsidR="00454DCD" w:rsidRDefault="00454DCD" w:rsidP="00454DCD">
      <w:pPr>
        <w:tabs>
          <w:tab w:val="center" w:pos="9356"/>
        </w:tabs>
        <w:ind w:right="142"/>
        <w:jc w:val="both"/>
        <w:rPr>
          <w:sz w:val="24"/>
          <w:szCs w:val="23"/>
        </w:rPr>
      </w:pPr>
    </w:p>
    <w:p w:rsidR="00CB6AB5" w:rsidRDefault="00CB6AB5" w:rsidP="00454DCD">
      <w:pPr>
        <w:tabs>
          <w:tab w:val="center" w:pos="9356"/>
        </w:tabs>
        <w:ind w:right="142"/>
        <w:jc w:val="both"/>
        <w:rPr>
          <w:sz w:val="24"/>
          <w:szCs w:val="24"/>
        </w:rPr>
      </w:pPr>
    </w:p>
    <w:p w:rsidR="00DB2A64" w:rsidRPr="00883EC9" w:rsidRDefault="00DB2A64" w:rsidP="00454DCD">
      <w:pPr>
        <w:tabs>
          <w:tab w:val="center" w:pos="9356"/>
        </w:tabs>
        <w:ind w:right="142"/>
        <w:jc w:val="both"/>
        <w:rPr>
          <w:sz w:val="24"/>
          <w:szCs w:val="24"/>
        </w:rPr>
      </w:pPr>
      <w:r w:rsidRPr="00883EC9">
        <w:rPr>
          <w:sz w:val="24"/>
          <w:szCs w:val="24"/>
        </w:rPr>
        <w:t xml:space="preserve">A </w:t>
      </w:r>
      <w:r w:rsidRPr="00B77D2B">
        <w:rPr>
          <w:i/>
          <w:sz w:val="24"/>
          <w:szCs w:val="24"/>
        </w:rPr>
        <w:t>megrendelésre végzett egyéb szennyvíz szolgáltatás</w:t>
      </w:r>
      <w:r w:rsidRPr="00883EC9">
        <w:rPr>
          <w:sz w:val="24"/>
          <w:szCs w:val="24"/>
        </w:rPr>
        <w:t xml:space="preserve"> árbevétele 12 514 </w:t>
      </w:r>
      <w:proofErr w:type="spellStart"/>
      <w:r w:rsidRPr="00883EC9">
        <w:rPr>
          <w:sz w:val="24"/>
          <w:szCs w:val="24"/>
        </w:rPr>
        <w:t>eFt</w:t>
      </w:r>
      <w:proofErr w:type="spellEnd"/>
      <w:r w:rsidRPr="00883EC9">
        <w:rPr>
          <w:sz w:val="24"/>
          <w:szCs w:val="24"/>
        </w:rPr>
        <w:t>, teljesítés 93,7%</w:t>
      </w:r>
      <w:r w:rsidR="005E4AD3" w:rsidRPr="00883EC9">
        <w:rPr>
          <w:sz w:val="24"/>
          <w:szCs w:val="24"/>
        </w:rPr>
        <w:t xml:space="preserve">. A MEKH által 3 őrségi településen </w:t>
      </w:r>
      <w:r w:rsidR="00CB6AB5">
        <w:rPr>
          <w:sz w:val="24"/>
          <w:szCs w:val="24"/>
        </w:rPr>
        <w:t xml:space="preserve">(Szalafő, Ispánk, Magyarszombatfa) </w:t>
      </w:r>
      <w:r w:rsidR="005E4AD3" w:rsidRPr="00883EC9">
        <w:rPr>
          <w:sz w:val="24"/>
          <w:szCs w:val="24"/>
        </w:rPr>
        <w:t xml:space="preserve">a nem </w:t>
      </w:r>
      <w:proofErr w:type="spellStart"/>
      <w:r w:rsidR="005E4AD3" w:rsidRPr="00883EC9">
        <w:rPr>
          <w:sz w:val="24"/>
          <w:szCs w:val="24"/>
        </w:rPr>
        <w:t>víziközműnek</w:t>
      </w:r>
      <w:proofErr w:type="spellEnd"/>
      <w:r w:rsidR="005E4AD3" w:rsidRPr="00883EC9">
        <w:rPr>
          <w:sz w:val="24"/>
          <w:szCs w:val="24"/>
        </w:rPr>
        <w:t xml:space="preserve"> minősített szennyvíztelepekről </w:t>
      </w:r>
      <w:r w:rsidRPr="00883EC9">
        <w:rPr>
          <w:sz w:val="24"/>
          <w:szCs w:val="24"/>
        </w:rPr>
        <w:t>2017. januárban elszállított és tisztításra fogadott szennyvíz vállalkozási szerződés keretében történő szállításának és kezelésének árbevétele.</w:t>
      </w:r>
    </w:p>
    <w:p w:rsidR="00DB2A64" w:rsidRPr="00883EC9" w:rsidRDefault="00DB2A64" w:rsidP="00766EB8">
      <w:pPr>
        <w:pStyle w:val="xl86"/>
        <w:tabs>
          <w:tab w:val="center" w:pos="9356"/>
        </w:tabs>
        <w:spacing w:before="0" w:beforeAutospacing="0" w:after="0" w:afterAutospacing="0"/>
        <w:ind w:right="141"/>
        <w:rPr>
          <w:rFonts w:eastAsia="Times New Roman"/>
          <w:sz w:val="24"/>
          <w:szCs w:val="24"/>
        </w:rPr>
      </w:pPr>
      <w:r w:rsidRPr="00883EC9">
        <w:rPr>
          <w:rFonts w:eastAsia="Times New Roman"/>
          <w:sz w:val="24"/>
          <w:szCs w:val="24"/>
        </w:rPr>
        <w:t xml:space="preserve">  </w:t>
      </w:r>
    </w:p>
    <w:p w:rsidR="00DB2A64" w:rsidRPr="00883EC9" w:rsidRDefault="00DB2A64" w:rsidP="00766EB8">
      <w:pPr>
        <w:tabs>
          <w:tab w:val="center" w:pos="9356"/>
        </w:tabs>
        <w:ind w:right="141"/>
        <w:jc w:val="both"/>
        <w:rPr>
          <w:iCs/>
          <w:sz w:val="24"/>
          <w:szCs w:val="23"/>
        </w:rPr>
      </w:pPr>
      <w:r w:rsidRPr="00883EC9">
        <w:rPr>
          <w:b/>
          <w:i/>
          <w:iCs/>
          <w:sz w:val="24"/>
          <w:szCs w:val="23"/>
        </w:rPr>
        <w:t>Alaptevékenységen kívüli egyéb tevékenységekből származó bevétel</w:t>
      </w:r>
      <w:r w:rsidRPr="00883EC9">
        <w:rPr>
          <w:i/>
          <w:iCs/>
          <w:sz w:val="24"/>
          <w:szCs w:val="23"/>
        </w:rPr>
        <w:t xml:space="preserve"> </w:t>
      </w:r>
      <w:r w:rsidRPr="00883EC9">
        <w:rPr>
          <w:iCs/>
          <w:sz w:val="24"/>
          <w:szCs w:val="23"/>
        </w:rPr>
        <w:t xml:space="preserve"> 49 331 </w:t>
      </w:r>
      <w:proofErr w:type="spellStart"/>
      <w:r w:rsidRPr="00883EC9">
        <w:rPr>
          <w:iCs/>
          <w:sz w:val="24"/>
          <w:szCs w:val="23"/>
        </w:rPr>
        <w:t>eFt</w:t>
      </w:r>
      <w:proofErr w:type="spellEnd"/>
      <w:r w:rsidRPr="00883EC9">
        <w:rPr>
          <w:iCs/>
          <w:sz w:val="24"/>
          <w:szCs w:val="23"/>
        </w:rPr>
        <w:t>, teljesítés 61,4%.</w:t>
      </w:r>
    </w:p>
    <w:p w:rsidR="00DB2A64" w:rsidRPr="00883EC9" w:rsidRDefault="00DB2A64" w:rsidP="00766EB8">
      <w:pPr>
        <w:tabs>
          <w:tab w:val="center" w:pos="9356"/>
        </w:tabs>
        <w:ind w:right="141"/>
        <w:jc w:val="both"/>
        <w:rPr>
          <w:iCs/>
          <w:sz w:val="24"/>
          <w:szCs w:val="23"/>
        </w:rPr>
      </w:pPr>
      <w:r w:rsidRPr="00883EC9">
        <w:rPr>
          <w:iCs/>
          <w:sz w:val="24"/>
          <w:szCs w:val="23"/>
        </w:rPr>
        <w:t xml:space="preserve">Legjelentősebb tétele a </w:t>
      </w:r>
      <w:proofErr w:type="spellStart"/>
      <w:r w:rsidRPr="00883EC9">
        <w:rPr>
          <w:iCs/>
          <w:sz w:val="24"/>
          <w:szCs w:val="23"/>
        </w:rPr>
        <w:t>bérbeadott</w:t>
      </w:r>
      <w:proofErr w:type="spellEnd"/>
      <w:r w:rsidRPr="00883EC9">
        <w:rPr>
          <w:iCs/>
          <w:sz w:val="24"/>
          <w:szCs w:val="23"/>
        </w:rPr>
        <w:t xml:space="preserve"> eszközök bevétele. A korrigált árbevétel nagysága 44 651 </w:t>
      </w:r>
      <w:proofErr w:type="spellStart"/>
      <w:r w:rsidRPr="00883EC9">
        <w:rPr>
          <w:iCs/>
          <w:sz w:val="24"/>
          <w:szCs w:val="23"/>
        </w:rPr>
        <w:t>eFt</w:t>
      </w:r>
      <w:proofErr w:type="spellEnd"/>
      <w:r w:rsidRPr="00883EC9">
        <w:rPr>
          <w:iCs/>
          <w:sz w:val="24"/>
          <w:szCs w:val="23"/>
        </w:rPr>
        <w:t xml:space="preserve">, teljesítés 60,8%. </w:t>
      </w:r>
      <w:r w:rsidRPr="00883EC9">
        <w:rPr>
          <w:bCs/>
          <w:sz w:val="24"/>
          <w:szCs w:val="23"/>
        </w:rPr>
        <w:t xml:space="preserve">A </w:t>
      </w:r>
      <w:proofErr w:type="spellStart"/>
      <w:r w:rsidRPr="00883EC9">
        <w:rPr>
          <w:bCs/>
          <w:sz w:val="24"/>
          <w:szCs w:val="23"/>
        </w:rPr>
        <w:t>bérbeadott</w:t>
      </w:r>
      <w:proofErr w:type="spellEnd"/>
      <w:r w:rsidRPr="00883EC9">
        <w:rPr>
          <w:bCs/>
          <w:sz w:val="24"/>
          <w:szCs w:val="23"/>
        </w:rPr>
        <w:t xml:space="preserve"> eszközök bevétele internet- és telefonszolgáltatókkal kötött megállapodások alapján víztornyok illetve URH tornyok bérbeadásából származó </w:t>
      </w:r>
      <w:r w:rsidRPr="00883EC9">
        <w:rPr>
          <w:iCs/>
          <w:sz w:val="24"/>
          <w:szCs w:val="23"/>
        </w:rPr>
        <w:t>bevétel</w:t>
      </w:r>
      <w:r w:rsidRPr="00883EC9">
        <w:rPr>
          <w:bCs/>
          <w:sz w:val="24"/>
          <w:szCs w:val="23"/>
        </w:rPr>
        <w:t xml:space="preserve">, illetve épület bérbeadásból származó bevétel. </w:t>
      </w:r>
    </w:p>
    <w:p w:rsidR="00DB2A64" w:rsidRPr="0093718B" w:rsidRDefault="00DB2A64" w:rsidP="00766EB8">
      <w:pPr>
        <w:pStyle w:val="xl86"/>
        <w:tabs>
          <w:tab w:val="right" w:pos="8505"/>
          <w:tab w:val="center" w:pos="9356"/>
        </w:tabs>
        <w:spacing w:before="0" w:beforeAutospacing="0" w:after="0" w:afterAutospacing="0"/>
        <w:ind w:right="141"/>
        <w:rPr>
          <w:rFonts w:eastAsia="Times New Roman"/>
          <w:bCs/>
          <w:sz w:val="24"/>
          <w:szCs w:val="24"/>
        </w:rPr>
      </w:pPr>
    </w:p>
    <w:p w:rsidR="00DB2A64" w:rsidRPr="00883EC9" w:rsidRDefault="00DB2A64" w:rsidP="00766EB8">
      <w:pPr>
        <w:tabs>
          <w:tab w:val="right" w:pos="8505"/>
          <w:tab w:val="center" w:pos="9356"/>
        </w:tabs>
        <w:ind w:right="141"/>
        <w:jc w:val="both"/>
        <w:rPr>
          <w:sz w:val="24"/>
        </w:rPr>
      </w:pPr>
      <w:r w:rsidRPr="00883EC9">
        <w:rPr>
          <w:b/>
          <w:bCs/>
          <w:i/>
          <w:iCs/>
          <w:sz w:val="24"/>
          <w:szCs w:val="23"/>
        </w:rPr>
        <w:t>Exportértékesítés árbevétele</w:t>
      </w:r>
      <w:r w:rsidRPr="00883EC9">
        <w:rPr>
          <w:bCs/>
          <w:sz w:val="24"/>
          <w:szCs w:val="23"/>
        </w:rPr>
        <w:t xml:space="preserve"> 4 057 </w:t>
      </w:r>
      <w:proofErr w:type="spellStart"/>
      <w:r w:rsidRPr="00883EC9">
        <w:rPr>
          <w:bCs/>
          <w:sz w:val="24"/>
          <w:szCs w:val="23"/>
        </w:rPr>
        <w:t>eFt</w:t>
      </w:r>
      <w:proofErr w:type="spellEnd"/>
      <w:r w:rsidRPr="00883EC9">
        <w:rPr>
          <w:bCs/>
          <w:sz w:val="24"/>
          <w:szCs w:val="23"/>
        </w:rPr>
        <w:t xml:space="preserve">, </w:t>
      </w:r>
      <w:r w:rsidRPr="00883EC9">
        <w:rPr>
          <w:sz w:val="24"/>
        </w:rPr>
        <w:t xml:space="preserve">a Magyarországról származó szennyvízből a </w:t>
      </w:r>
      <w:proofErr w:type="spellStart"/>
      <w:r w:rsidRPr="00883EC9">
        <w:rPr>
          <w:sz w:val="24"/>
        </w:rPr>
        <w:t>jennersdorfi</w:t>
      </w:r>
      <w:proofErr w:type="spellEnd"/>
      <w:r w:rsidRPr="00883EC9">
        <w:rPr>
          <w:sz w:val="24"/>
        </w:rPr>
        <w:t xml:space="preserve"> szennyvíztisztítás során keletkező szennyvíziszap visszaszállításának fuvarköltségét tartalmazza, amelyet az osztrák fél megtérít.</w:t>
      </w:r>
    </w:p>
    <w:p w:rsidR="00DB2A64" w:rsidRPr="0093718B" w:rsidRDefault="00DB2A64" w:rsidP="00766EB8">
      <w:pPr>
        <w:tabs>
          <w:tab w:val="right" w:pos="8505"/>
          <w:tab w:val="center" w:pos="9356"/>
        </w:tabs>
        <w:ind w:right="141"/>
        <w:jc w:val="both"/>
        <w:rPr>
          <w:bCs/>
          <w:sz w:val="24"/>
          <w:szCs w:val="24"/>
        </w:rPr>
      </w:pPr>
    </w:p>
    <w:p w:rsidR="00DB2A64" w:rsidRPr="00883EC9" w:rsidRDefault="00DB2A64" w:rsidP="00766EB8">
      <w:pPr>
        <w:tabs>
          <w:tab w:val="center" w:pos="9356"/>
        </w:tabs>
        <w:ind w:right="141"/>
        <w:jc w:val="both"/>
        <w:rPr>
          <w:iCs/>
          <w:sz w:val="24"/>
          <w:szCs w:val="24"/>
        </w:rPr>
      </w:pPr>
      <w:r w:rsidRPr="00883EC9">
        <w:rPr>
          <w:b/>
          <w:i/>
          <w:iCs/>
          <w:sz w:val="24"/>
          <w:szCs w:val="24"/>
        </w:rPr>
        <w:t>Egyéb bevételek</w:t>
      </w:r>
      <w:r w:rsidRPr="00883EC9">
        <w:rPr>
          <w:i/>
          <w:iCs/>
          <w:sz w:val="24"/>
          <w:szCs w:val="24"/>
        </w:rPr>
        <w:t xml:space="preserve"> </w:t>
      </w:r>
      <w:r w:rsidRPr="00883EC9">
        <w:rPr>
          <w:iCs/>
          <w:sz w:val="24"/>
          <w:szCs w:val="24"/>
        </w:rPr>
        <w:t xml:space="preserve">38 688 </w:t>
      </w:r>
      <w:proofErr w:type="spellStart"/>
      <w:r w:rsidRPr="00883EC9">
        <w:rPr>
          <w:iCs/>
          <w:sz w:val="24"/>
          <w:szCs w:val="24"/>
        </w:rPr>
        <w:t>eFt</w:t>
      </w:r>
      <w:proofErr w:type="spellEnd"/>
      <w:r w:rsidRPr="00883EC9">
        <w:rPr>
          <w:iCs/>
          <w:sz w:val="24"/>
          <w:szCs w:val="24"/>
        </w:rPr>
        <w:t>, teljesítés 17,6 %.</w:t>
      </w:r>
    </w:p>
    <w:p w:rsidR="00DB2A64" w:rsidRPr="00883EC9" w:rsidRDefault="00DB2A64" w:rsidP="00766EB8">
      <w:pPr>
        <w:tabs>
          <w:tab w:val="center" w:pos="9356"/>
        </w:tabs>
        <w:ind w:right="141"/>
        <w:jc w:val="both"/>
        <w:rPr>
          <w:iCs/>
          <w:sz w:val="24"/>
          <w:szCs w:val="24"/>
          <w14:shadow w14:blurRad="50800" w14:dist="38100" w14:dir="2700000" w14:sx="100000" w14:sy="100000" w14:kx="0" w14:ky="0" w14:algn="tl">
            <w14:srgbClr w14:val="000000">
              <w14:alpha w14:val="60000"/>
            </w14:srgbClr>
          </w14:shadow>
        </w:rPr>
      </w:pPr>
      <w:r w:rsidRPr="00883EC9">
        <w:rPr>
          <w:iCs/>
          <w:sz w:val="24"/>
          <w:szCs w:val="24"/>
        </w:rPr>
        <w:t xml:space="preserve">2016. évtől a számviteli törvény változása miatt az egyéb bevételek között, külön soron kerülnek feltüntetésre a korábban rendkívüli bevétel soron szereplő tételek is, amelyek értéke 2017. I. félévben 1 716 </w:t>
      </w:r>
      <w:proofErr w:type="spellStart"/>
      <w:r w:rsidRPr="00883EC9">
        <w:rPr>
          <w:iCs/>
          <w:sz w:val="24"/>
          <w:szCs w:val="24"/>
        </w:rPr>
        <w:t>eFt</w:t>
      </w:r>
      <w:proofErr w:type="spellEnd"/>
      <w:r w:rsidRPr="00883EC9">
        <w:rPr>
          <w:iCs/>
          <w:sz w:val="24"/>
          <w:szCs w:val="24"/>
        </w:rPr>
        <w:t>.</w:t>
      </w:r>
    </w:p>
    <w:p w:rsidR="00DB2A64" w:rsidRPr="00883EC9" w:rsidRDefault="00DB2A64" w:rsidP="00766EB8">
      <w:pPr>
        <w:tabs>
          <w:tab w:val="center" w:pos="9356"/>
        </w:tabs>
        <w:ind w:right="141"/>
        <w:jc w:val="both"/>
        <w:rPr>
          <w:sz w:val="24"/>
          <w:szCs w:val="24"/>
        </w:rPr>
      </w:pPr>
      <w:r w:rsidRPr="00883EC9">
        <w:rPr>
          <w:sz w:val="24"/>
          <w:szCs w:val="24"/>
        </w:rPr>
        <w:t xml:space="preserve">Tárgyi eszköz értékesítés árbevétele 2 463 </w:t>
      </w:r>
      <w:proofErr w:type="spellStart"/>
      <w:r w:rsidRPr="00883EC9">
        <w:rPr>
          <w:sz w:val="24"/>
          <w:szCs w:val="24"/>
        </w:rPr>
        <w:t>eFt</w:t>
      </w:r>
      <w:proofErr w:type="spellEnd"/>
      <w:r w:rsidRPr="00883EC9">
        <w:rPr>
          <w:sz w:val="24"/>
          <w:szCs w:val="24"/>
        </w:rPr>
        <w:t xml:space="preserve">. </w:t>
      </w:r>
    </w:p>
    <w:p w:rsidR="00DB2A64" w:rsidRPr="00883EC9" w:rsidRDefault="00DB2A64" w:rsidP="00766EB8">
      <w:pPr>
        <w:tabs>
          <w:tab w:val="center" w:pos="9356"/>
        </w:tabs>
        <w:ind w:right="141"/>
        <w:jc w:val="both"/>
        <w:rPr>
          <w:sz w:val="24"/>
          <w:szCs w:val="24"/>
        </w:rPr>
      </w:pPr>
      <w:r w:rsidRPr="00883EC9">
        <w:rPr>
          <w:sz w:val="24"/>
          <w:szCs w:val="24"/>
        </w:rPr>
        <w:t xml:space="preserve">A számviteli törvény előírásainak megfelelően az egyéb bevételek között kerül elszámolásra a fejlesztési célú átvett pénzeszközökből megvalósított beruházások amortizációjával megegyező bevétel 15 325 </w:t>
      </w:r>
      <w:proofErr w:type="spellStart"/>
      <w:r w:rsidRPr="00883EC9">
        <w:rPr>
          <w:sz w:val="24"/>
          <w:szCs w:val="24"/>
        </w:rPr>
        <w:t>eFt</w:t>
      </w:r>
      <w:proofErr w:type="spellEnd"/>
      <w:r w:rsidRPr="00883EC9">
        <w:rPr>
          <w:sz w:val="24"/>
          <w:szCs w:val="24"/>
        </w:rPr>
        <w:t xml:space="preserve"> értékben.</w:t>
      </w:r>
    </w:p>
    <w:p w:rsidR="00DB2A64" w:rsidRPr="00883EC9" w:rsidRDefault="00DB2A64" w:rsidP="00766EB8">
      <w:pPr>
        <w:tabs>
          <w:tab w:val="center" w:pos="9356"/>
        </w:tabs>
        <w:ind w:right="141"/>
        <w:jc w:val="both"/>
        <w:rPr>
          <w:sz w:val="24"/>
          <w:szCs w:val="24"/>
        </w:rPr>
      </w:pPr>
      <w:r w:rsidRPr="00883EC9">
        <w:rPr>
          <w:sz w:val="24"/>
          <w:szCs w:val="24"/>
        </w:rPr>
        <w:t xml:space="preserve">A kapott bírság, kamat összege 3 670 </w:t>
      </w:r>
      <w:proofErr w:type="spellStart"/>
      <w:r w:rsidRPr="00883EC9">
        <w:rPr>
          <w:sz w:val="24"/>
          <w:szCs w:val="24"/>
        </w:rPr>
        <w:t>eFt</w:t>
      </w:r>
      <w:proofErr w:type="spellEnd"/>
      <w:r w:rsidRPr="00883EC9">
        <w:rPr>
          <w:sz w:val="24"/>
          <w:szCs w:val="24"/>
        </w:rPr>
        <w:t>.</w:t>
      </w:r>
    </w:p>
    <w:p w:rsidR="00DB2A64" w:rsidRPr="00883EC9" w:rsidRDefault="00DB2A64" w:rsidP="00766EB8">
      <w:pPr>
        <w:tabs>
          <w:tab w:val="center" w:pos="9356"/>
        </w:tabs>
        <w:ind w:right="141"/>
        <w:jc w:val="both"/>
        <w:rPr>
          <w:sz w:val="24"/>
          <w:szCs w:val="24"/>
        </w:rPr>
      </w:pPr>
      <w:r w:rsidRPr="00883EC9">
        <w:rPr>
          <w:sz w:val="24"/>
          <w:szCs w:val="24"/>
        </w:rPr>
        <w:t xml:space="preserve">Az egyéb bevételek között került megtervezésre a Szombathely MJV Önkormányzatától az uszoda veszteség finanszírozására várható 90 </w:t>
      </w:r>
      <w:proofErr w:type="spellStart"/>
      <w:r w:rsidRPr="00883EC9">
        <w:rPr>
          <w:sz w:val="24"/>
          <w:szCs w:val="24"/>
        </w:rPr>
        <w:t>mFt</w:t>
      </w:r>
      <w:proofErr w:type="spellEnd"/>
      <w:r w:rsidRPr="00883EC9">
        <w:rPr>
          <w:sz w:val="24"/>
          <w:szCs w:val="24"/>
        </w:rPr>
        <w:t xml:space="preserve"> </w:t>
      </w:r>
      <w:r w:rsidRPr="00883EC9">
        <w:rPr>
          <w:i/>
          <w:sz w:val="24"/>
          <w:szCs w:val="24"/>
        </w:rPr>
        <w:t>támogatás</w:t>
      </w:r>
      <w:r w:rsidRPr="00883EC9">
        <w:rPr>
          <w:sz w:val="24"/>
          <w:szCs w:val="24"/>
        </w:rPr>
        <w:t>, melynek pénzügyi megvalósulása az év végén várható.</w:t>
      </w:r>
    </w:p>
    <w:p w:rsidR="00CA44EB" w:rsidRDefault="00DB2A64" w:rsidP="00766EB8">
      <w:pPr>
        <w:tabs>
          <w:tab w:val="center" w:pos="9356"/>
        </w:tabs>
        <w:ind w:right="141"/>
        <w:jc w:val="both"/>
        <w:rPr>
          <w:sz w:val="24"/>
          <w:szCs w:val="24"/>
        </w:rPr>
      </w:pPr>
      <w:r w:rsidRPr="00883EC9">
        <w:rPr>
          <w:sz w:val="24"/>
          <w:szCs w:val="24"/>
        </w:rPr>
        <w:t xml:space="preserve">Költségvetéstől kapott támogatás, juttatás soron tervezett bevétel </w:t>
      </w:r>
      <w:r w:rsidR="00CA44EB">
        <w:rPr>
          <w:sz w:val="24"/>
          <w:szCs w:val="24"/>
        </w:rPr>
        <w:t>az</w:t>
      </w:r>
      <w:r w:rsidR="00CA44EB" w:rsidRPr="00883EC9">
        <w:rPr>
          <w:sz w:val="24"/>
          <w:szCs w:val="24"/>
        </w:rPr>
        <w:t xml:space="preserve"> </w:t>
      </w:r>
      <w:r w:rsidR="00CA44EB">
        <w:rPr>
          <w:sz w:val="24"/>
          <w:szCs w:val="24"/>
        </w:rPr>
        <w:t>ivó</w:t>
      </w:r>
      <w:r w:rsidR="00CA44EB" w:rsidRPr="00883EC9">
        <w:rPr>
          <w:sz w:val="24"/>
          <w:szCs w:val="24"/>
        </w:rPr>
        <w:t xml:space="preserve">víz- és csatornaszolgáltatás állami költségvetési forrásból történő támogatására </w:t>
      </w:r>
      <w:r w:rsidR="00CA44EB">
        <w:rPr>
          <w:sz w:val="24"/>
          <w:szCs w:val="24"/>
        </w:rPr>
        <w:t xml:space="preserve">kiírt pályázaton elnyerhető összeg, a döntést követően </w:t>
      </w:r>
      <w:r w:rsidRPr="00883EC9">
        <w:rPr>
          <w:sz w:val="24"/>
          <w:szCs w:val="24"/>
        </w:rPr>
        <w:t xml:space="preserve">2017. II. félévben realizálódik. </w:t>
      </w:r>
    </w:p>
    <w:p w:rsidR="00CA44EB" w:rsidRDefault="00CA44EB" w:rsidP="00766EB8">
      <w:pPr>
        <w:tabs>
          <w:tab w:val="center" w:pos="9356"/>
        </w:tabs>
        <w:ind w:right="141"/>
        <w:jc w:val="both"/>
        <w:rPr>
          <w:sz w:val="24"/>
          <w:szCs w:val="24"/>
        </w:rPr>
      </w:pPr>
    </w:p>
    <w:p w:rsidR="00DB2A64" w:rsidRPr="00883EC9" w:rsidRDefault="00DB2A64" w:rsidP="00766EB8">
      <w:pPr>
        <w:tabs>
          <w:tab w:val="center" w:pos="9356"/>
        </w:tabs>
        <w:ind w:right="141"/>
        <w:jc w:val="both"/>
        <w:rPr>
          <w:sz w:val="24"/>
          <w:szCs w:val="24"/>
        </w:rPr>
      </w:pPr>
      <w:r w:rsidRPr="00883EC9">
        <w:rPr>
          <w:b/>
          <w:i/>
          <w:iCs/>
          <w:sz w:val="24"/>
          <w:szCs w:val="24"/>
        </w:rPr>
        <w:t>Pénzügyi bevételek</w:t>
      </w:r>
      <w:r w:rsidRPr="00883EC9">
        <w:rPr>
          <w:iCs/>
          <w:sz w:val="24"/>
          <w:szCs w:val="24"/>
        </w:rPr>
        <w:t xml:space="preserve"> 457 </w:t>
      </w:r>
      <w:proofErr w:type="spellStart"/>
      <w:r w:rsidRPr="00883EC9">
        <w:rPr>
          <w:iCs/>
          <w:sz w:val="24"/>
          <w:szCs w:val="24"/>
        </w:rPr>
        <w:t>eFt</w:t>
      </w:r>
      <w:proofErr w:type="spellEnd"/>
      <w:r w:rsidRPr="00883EC9">
        <w:rPr>
          <w:iCs/>
          <w:sz w:val="24"/>
          <w:szCs w:val="24"/>
        </w:rPr>
        <w:t xml:space="preserve">, teljesítés 6,7 %. </w:t>
      </w:r>
      <w:r w:rsidRPr="00883EC9">
        <w:rPr>
          <w:sz w:val="24"/>
          <w:szCs w:val="24"/>
        </w:rPr>
        <w:t xml:space="preserve">2017. I. félévben a pénzügyi bevételek értéke a szabad pénzeszközök kamataiból származó bevételt (210 </w:t>
      </w:r>
      <w:proofErr w:type="spellStart"/>
      <w:r w:rsidRPr="00883EC9">
        <w:rPr>
          <w:sz w:val="24"/>
          <w:szCs w:val="24"/>
        </w:rPr>
        <w:t>eFt</w:t>
      </w:r>
      <w:proofErr w:type="spellEnd"/>
      <w:r w:rsidRPr="00883EC9">
        <w:rPr>
          <w:sz w:val="24"/>
          <w:szCs w:val="24"/>
        </w:rPr>
        <w:t xml:space="preserve">) és a devizában érkezett számla kiegyenlítésekor keletkezett árfolyam nyereséget (247 </w:t>
      </w:r>
      <w:proofErr w:type="spellStart"/>
      <w:r w:rsidRPr="00883EC9">
        <w:rPr>
          <w:sz w:val="24"/>
          <w:szCs w:val="24"/>
        </w:rPr>
        <w:t>eFt</w:t>
      </w:r>
      <w:proofErr w:type="spellEnd"/>
      <w:r w:rsidRPr="00883EC9">
        <w:rPr>
          <w:sz w:val="24"/>
          <w:szCs w:val="24"/>
        </w:rPr>
        <w:t>) tartalmazza.</w:t>
      </w:r>
    </w:p>
    <w:p w:rsidR="00DB2A64" w:rsidRPr="00883EC9" w:rsidRDefault="00DB2A64" w:rsidP="00766EB8">
      <w:pPr>
        <w:ind w:right="141"/>
        <w:jc w:val="both"/>
        <w:rPr>
          <w:sz w:val="24"/>
          <w:szCs w:val="24"/>
        </w:rPr>
      </w:pPr>
    </w:p>
    <w:p w:rsidR="00DB2A64" w:rsidRPr="00883EC9" w:rsidRDefault="00DB2A64" w:rsidP="00766EB8">
      <w:pPr>
        <w:ind w:right="141"/>
        <w:jc w:val="both"/>
        <w:rPr>
          <w:sz w:val="24"/>
          <w:szCs w:val="24"/>
        </w:rPr>
      </w:pPr>
      <w:r w:rsidRPr="00883EC9">
        <w:rPr>
          <w:b/>
          <w:bCs/>
          <w:sz w:val="24"/>
          <w:szCs w:val="24"/>
        </w:rPr>
        <w:t>Az I. félév korrigált összes bevétele 3 408 599 e Ft, a tervezett összeg 46,5 %-a.</w:t>
      </w:r>
      <w:r w:rsidRPr="00883EC9">
        <w:rPr>
          <w:sz w:val="24"/>
          <w:szCs w:val="24"/>
        </w:rPr>
        <w:t xml:space="preserve"> </w:t>
      </w:r>
    </w:p>
    <w:p w:rsidR="006E52D9" w:rsidRPr="00883EC9" w:rsidRDefault="006E52D9" w:rsidP="006E52D9">
      <w:pPr>
        <w:jc w:val="both"/>
        <w:rPr>
          <w:sz w:val="24"/>
          <w:szCs w:val="23"/>
        </w:rPr>
      </w:pPr>
      <w:r w:rsidRPr="00883EC9">
        <w:rPr>
          <w:sz w:val="24"/>
          <w:szCs w:val="23"/>
        </w:rPr>
        <w:br w:type="page"/>
      </w:r>
    </w:p>
    <w:p w:rsidR="006E52D9" w:rsidRPr="00883EC9" w:rsidRDefault="006E52D9" w:rsidP="006E52D9">
      <w:pPr>
        <w:tabs>
          <w:tab w:val="center" w:pos="9356"/>
        </w:tabs>
        <w:jc w:val="both"/>
        <w:rPr>
          <w:i/>
          <w:sz w:val="12"/>
          <w:szCs w:val="12"/>
          <w14:shadow w14:blurRad="50800" w14:dist="38100" w14:dir="2700000" w14:sx="100000" w14:sy="100000" w14:kx="0" w14:ky="0" w14:algn="tl">
            <w14:srgbClr w14:val="000000">
              <w14:alpha w14:val="60000"/>
            </w14:srgbClr>
          </w14:shadow>
        </w:rPr>
      </w:pPr>
    </w:p>
    <w:p w:rsidR="00E8097E" w:rsidRPr="00124846" w:rsidRDefault="00E8097E">
      <w:pPr>
        <w:pStyle w:val="Cmsor1"/>
        <w:ind w:left="0"/>
        <w:rPr>
          <w:b/>
          <w:bCs/>
          <w:i/>
          <w:iCs/>
          <w:sz w:val="28"/>
          <w:szCs w:val="28"/>
        </w:rPr>
      </w:pPr>
      <w:bookmarkStart w:id="9" w:name="_Toc489278846"/>
      <w:r w:rsidRPr="00124846">
        <w:rPr>
          <w:b/>
          <w:bCs/>
          <w:i/>
          <w:iCs/>
          <w:sz w:val="28"/>
          <w:szCs w:val="28"/>
        </w:rPr>
        <w:t>Költségek, ráfordítások alakulása</w:t>
      </w:r>
      <w:bookmarkEnd w:id="6"/>
      <w:bookmarkEnd w:id="7"/>
      <w:bookmarkEnd w:id="9"/>
    </w:p>
    <w:p w:rsidR="005D13B4" w:rsidRPr="00883EC9" w:rsidRDefault="005D13B4" w:rsidP="006E2DB4">
      <w:pPr>
        <w:ind w:right="-142"/>
        <w:jc w:val="right"/>
        <w:rPr>
          <w:bCs/>
          <w:sz w:val="23"/>
        </w:rPr>
      </w:pPr>
      <w:bookmarkStart w:id="10" w:name="_Toc330999128"/>
      <w:proofErr w:type="spellStart"/>
      <w:r w:rsidRPr="00883EC9">
        <w:rPr>
          <w:bCs/>
          <w:sz w:val="23"/>
        </w:rPr>
        <w:t>eFt</w:t>
      </w:r>
      <w:proofErr w:type="spellEnd"/>
    </w:p>
    <w:tbl>
      <w:tblPr>
        <w:tblW w:w="9781" w:type="dxa"/>
        <w:tblCellMar>
          <w:left w:w="70" w:type="dxa"/>
          <w:right w:w="70" w:type="dxa"/>
        </w:tblCellMar>
        <w:tblLook w:val="04A0" w:firstRow="1" w:lastRow="0" w:firstColumn="1" w:lastColumn="0" w:noHBand="0" w:noVBand="1"/>
      </w:tblPr>
      <w:tblGrid>
        <w:gridCol w:w="4111"/>
        <w:gridCol w:w="1134"/>
        <w:gridCol w:w="1216"/>
        <w:gridCol w:w="1194"/>
        <w:gridCol w:w="1134"/>
        <w:gridCol w:w="1002"/>
      </w:tblGrid>
      <w:tr w:rsidR="005D13B4" w:rsidRPr="00883EC9" w:rsidTr="006E2DB4">
        <w:trPr>
          <w:trHeight w:val="885"/>
        </w:trPr>
        <w:tc>
          <w:tcPr>
            <w:tcW w:w="4111" w:type="dxa"/>
            <w:tcBorders>
              <w:top w:val="single" w:sz="4" w:space="0" w:color="auto"/>
              <w:left w:val="nil"/>
              <w:bottom w:val="single" w:sz="4" w:space="0" w:color="auto"/>
              <w:right w:val="nil"/>
            </w:tcBorders>
            <w:shd w:val="clear" w:color="auto" w:fill="auto"/>
            <w:noWrap/>
            <w:vAlign w:val="center"/>
            <w:hideMark/>
          </w:tcPr>
          <w:p w:rsidR="005D13B4" w:rsidRPr="00883EC9" w:rsidRDefault="005D13B4" w:rsidP="005D13B4">
            <w:pPr>
              <w:rPr>
                <w:rFonts w:ascii="Times New Roman CE" w:hAnsi="Times New Roman CE" w:cs="Times New Roman CE"/>
                <w:i/>
                <w:iCs/>
                <w:sz w:val="22"/>
                <w:szCs w:val="22"/>
              </w:rPr>
            </w:pPr>
            <w:r w:rsidRPr="00883EC9">
              <w:rPr>
                <w:rFonts w:ascii="Times New Roman CE" w:hAnsi="Times New Roman CE" w:cs="Times New Roman CE"/>
                <w:i/>
                <w:iCs/>
                <w:sz w:val="22"/>
                <w:szCs w:val="22"/>
              </w:rPr>
              <w:t>Megnevezés</w:t>
            </w:r>
          </w:p>
        </w:tc>
        <w:tc>
          <w:tcPr>
            <w:tcW w:w="1134" w:type="dxa"/>
            <w:tcBorders>
              <w:top w:val="single" w:sz="4" w:space="0" w:color="auto"/>
              <w:left w:val="nil"/>
              <w:bottom w:val="single" w:sz="4" w:space="0" w:color="auto"/>
              <w:right w:val="nil"/>
            </w:tcBorders>
            <w:shd w:val="clear" w:color="auto" w:fill="auto"/>
            <w:vAlign w:val="center"/>
            <w:hideMark/>
          </w:tcPr>
          <w:p w:rsidR="005D13B4" w:rsidRPr="00883EC9" w:rsidRDefault="005D13B4" w:rsidP="005D13B4">
            <w:pPr>
              <w:jc w:val="center"/>
              <w:rPr>
                <w:rFonts w:ascii="Times New Roman CE" w:hAnsi="Times New Roman CE" w:cs="Times New Roman CE"/>
                <w:i/>
                <w:iCs/>
                <w:sz w:val="22"/>
                <w:szCs w:val="22"/>
              </w:rPr>
            </w:pPr>
            <w:r w:rsidRPr="00883EC9">
              <w:rPr>
                <w:rFonts w:ascii="Times New Roman CE" w:hAnsi="Times New Roman CE" w:cs="Times New Roman CE"/>
                <w:i/>
                <w:iCs/>
                <w:sz w:val="22"/>
                <w:szCs w:val="22"/>
              </w:rPr>
              <w:t>2016. I. félév</w:t>
            </w:r>
            <w:r w:rsidRPr="00883EC9">
              <w:rPr>
                <w:rFonts w:ascii="Times New Roman CE" w:hAnsi="Times New Roman CE" w:cs="Times New Roman CE"/>
                <w:i/>
                <w:iCs/>
                <w:sz w:val="22"/>
                <w:szCs w:val="22"/>
              </w:rPr>
              <w:br/>
            </w:r>
            <w:proofErr w:type="spellStart"/>
            <w:r w:rsidRPr="00883EC9">
              <w:rPr>
                <w:rFonts w:ascii="Times New Roman CE" w:hAnsi="Times New Roman CE" w:cs="Times New Roman CE"/>
                <w:i/>
                <w:iCs/>
                <w:sz w:val="22"/>
                <w:szCs w:val="22"/>
              </w:rPr>
              <w:t>korr</w:t>
            </w:r>
            <w:proofErr w:type="spellEnd"/>
            <w:r w:rsidRPr="00883EC9">
              <w:rPr>
                <w:rFonts w:ascii="Times New Roman CE" w:hAnsi="Times New Roman CE" w:cs="Times New Roman CE"/>
                <w:i/>
                <w:iCs/>
                <w:sz w:val="22"/>
                <w:szCs w:val="22"/>
              </w:rPr>
              <w:t>. tény</w:t>
            </w:r>
          </w:p>
        </w:tc>
        <w:tc>
          <w:tcPr>
            <w:tcW w:w="1216" w:type="dxa"/>
            <w:tcBorders>
              <w:top w:val="single" w:sz="4" w:space="0" w:color="auto"/>
              <w:left w:val="nil"/>
              <w:bottom w:val="single" w:sz="4" w:space="0" w:color="auto"/>
              <w:right w:val="nil"/>
            </w:tcBorders>
            <w:shd w:val="clear" w:color="auto" w:fill="auto"/>
            <w:vAlign w:val="center"/>
            <w:hideMark/>
          </w:tcPr>
          <w:p w:rsidR="005D13B4" w:rsidRPr="00883EC9" w:rsidRDefault="005D13B4" w:rsidP="005D13B4">
            <w:pPr>
              <w:jc w:val="center"/>
              <w:rPr>
                <w:rFonts w:ascii="Times New Roman CE" w:hAnsi="Times New Roman CE" w:cs="Times New Roman CE"/>
                <w:i/>
                <w:iCs/>
                <w:sz w:val="22"/>
                <w:szCs w:val="22"/>
              </w:rPr>
            </w:pPr>
            <w:r w:rsidRPr="00883EC9">
              <w:rPr>
                <w:rFonts w:ascii="Times New Roman CE" w:hAnsi="Times New Roman CE" w:cs="Times New Roman CE"/>
                <w:i/>
                <w:iCs/>
                <w:sz w:val="22"/>
                <w:szCs w:val="22"/>
              </w:rPr>
              <w:t>2017. évi</w:t>
            </w:r>
            <w:r w:rsidRPr="00883EC9">
              <w:rPr>
                <w:rFonts w:ascii="Times New Roman CE" w:hAnsi="Times New Roman CE" w:cs="Times New Roman CE"/>
                <w:i/>
                <w:iCs/>
                <w:sz w:val="22"/>
                <w:szCs w:val="22"/>
              </w:rPr>
              <w:br/>
              <w:t>1. sz. mód.</w:t>
            </w:r>
            <w:r w:rsidRPr="00883EC9">
              <w:rPr>
                <w:rFonts w:ascii="Times New Roman CE" w:hAnsi="Times New Roman CE" w:cs="Times New Roman CE"/>
                <w:i/>
                <w:iCs/>
                <w:sz w:val="22"/>
                <w:szCs w:val="22"/>
              </w:rPr>
              <w:br/>
              <w:t>terv</w:t>
            </w:r>
          </w:p>
        </w:tc>
        <w:tc>
          <w:tcPr>
            <w:tcW w:w="1194" w:type="dxa"/>
            <w:tcBorders>
              <w:top w:val="single" w:sz="4" w:space="0" w:color="auto"/>
              <w:left w:val="nil"/>
              <w:bottom w:val="single" w:sz="4" w:space="0" w:color="auto"/>
              <w:right w:val="nil"/>
            </w:tcBorders>
            <w:shd w:val="clear" w:color="auto" w:fill="auto"/>
            <w:vAlign w:val="center"/>
            <w:hideMark/>
          </w:tcPr>
          <w:p w:rsidR="005D13B4" w:rsidRPr="00883EC9" w:rsidRDefault="005D13B4" w:rsidP="005D13B4">
            <w:pPr>
              <w:jc w:val="center"/>
              <w:rPr>
                <w:rFonts w:ascii="Times New Roman CE" w:hAnsi="Times New Roman CE" w:cs="Times New Roman CE"/>
                <w:i/>
                <w:iCs/>
                <w:sz w:val="22"/>
                <w:szCs w:val="22"/>
              </w:rPr>
            </w:pPr>
            <w:r w:rsidRPr="00883EC9">
              <w:rPr>
                <w:rFonts w:ascii="Times New Roman CE" w:hAnsi="Times New Roman CE" w:cs="Times New Roman CE"/>
                <w:i/>
                <w:iCs/>
                <w:sz w:val="22"/>
                <w:szCs w:val="22"/>
              </w:rPr>
              <w:t>2017. I. félév</w:t>
            </w:r>
            <w:r w:rsidRPr="00883EC9">
              <w:rPr>
                <w:rFonts w:ascii="Times New Roman CE" w:hAnsi="Times New Roman CE" w:cs="Times New Roman CE"/>
                <w:i/>
                <w:iCs/>
                <w:sz w:val="22"/>
                <w:szCs w:val="22"/>
              </w:rPr>
              <w:br/>
            </w:r>
            <w:proofErr w:type="spellStart"/>
            <w:r w:rsidRPr="00883EC9">
              <w:rPr>
                <w:rFonts w:ascii="Times New Roman CE" w:hAnsi="Times New Roman CE" w:cs="Times New Roman CE"/>
                <w:i/>
                <w:iCs/>
                <w:sz w:val="22"/>
                <w:szCs w:val="22"/>
              </w:rPr>
              <w:t>korr</w:t>
            </w:r>
            <w:proofErr w:type="spellEnd"/>
            <w:r w:rsidRPr="00883EC9">
              <w:rPr>
                <w:rFonts w:ascii="Times New Roman CE" w:hAnsi="Times New Roman CE" w:cs="Times New Roman CE"/>
                <w:i/>
                <w:iCs/>
                <w:sz w:val="22"/>
                <w:szCs w:val="22"/>
              </w:rPr>
              <w:t>. tény</w:t>
            </w:r>
          </w:p>
        </w:tc>
        <w:tc>
          <w:tcPr>
            <w:tcW w:w="1134" w:type="dxa"/>
            <w:tcBorders>
              <w:top w:val="single" w:sz="4" w:space="0" w:color="auto"/>
              <w:left w:val="nil"/>
              <w:bottom w:val="single" w:sz="4" w:space="0" w:color="auto"/>
              <w:right w:val="nil"/>
            </w:tcBorders>
            <w:shd w:val="clear" w:color="auto" w:fill="auto"/>
            <w:vAlign w:val="center"/>
            <w:hideMark/>
          </w:tcPr>
          <w:p w:rsidR="005D13B4" w:rsidRPr="00883EC9" w:rsidRDefault="005D13B4" w:rsidP="006E2DB4">
            <w:pPr>
              <w:jc w:val="center"/>
              <w:rPr>
                <w:rFonts w:ascii="Times New Roman CE" w:hAnsi="Times New Roman CE" w:cs="Times New Roman CE"/>
                <w:i/>
                <w:iCs/>
                <w:sz w:val="22"/>
                <w:szCs w:val="22"/>
              </w:rPr>
            </w:pPr>
            <w:proofErr w:type="spellStart"/>
            <w:r w:rsidRPr="00883EC9">
              <w:rPr>
                <w:rFonts w:ascii="Times New Roman CE" w:hAnsi="Times New Roman CE" w:cs="Times New Roman CE"/>
                <w:i/>
                <w:iCs/>
                <w:sz w:val="22"/>
                <w:szCs w:val="22"/>
              </w:rPr>
              <w:t>korr</w:t>
            </w:r>
            <w:r w:rsidR="006E2DB4" w:rsidRPr="00883EC9">
              <w:rPr>
                <w:rFonts w:ascii="Times New Roman CE" w:hAnsi="Times New Roman CE" w:cs="Times New Roman CE"/>
                <w:i/>
                <w:iCs/>
                <w:sz w:val="22"/>
                <w:szCs w:val="22"/>
              </w:rPr>
              <w:t>.</w:t>
            </w:r>
            <w:r w:rsidRPr="00883EC9">
              <w:rPr>
                <w:rFonts w:ascii="Times New Roman CE" w:hAnsi="Times New Roman CE" w:cs="Times New Roman CE"/>
                <w:i/>
                <w:iCs/>
                <w:sz w:val="22"/>
                <w:szCs w:val="22"/>
              </w:rPr>
              <w:t>tény</w:t>
            </w:r>
            <w:proofErr w:type="spellEnd"/>
            <w:r w:rsidRPr="00883EC9">
              <w:rPr>
                <w:rFonts w:ascii="Times New Roman CE" w:hAnsi="Times New Roman CE" w:cs="Times New Roman CE"/>
                <w:i/>
                <w:iCs/>
                <w:sz w:val="22"/>
                <w:szCs w:val="22"/>
              </w:rPr>
              <w:t>/</w:t>
            </w:r>
            <w:r w:rsidRPr="00883EC9">
              <w:rPr>
                <w:rFonts w:ascii="Times New Roman CE" w:hAnsi="Times New Roman CE" w:cs="Times New Roman CE"/>
                <w:i/>
                <w:iCs/>
                <w:sz w:val="22"/>
                <w:szCs w:val="22"/>
              </w:rPr>
              <w:br/>
              <w:t xml:space="preserve">bázis    </w:t>
            </w:r>
          </w:p>
        </w:tc>
        <w:tc>
          <w:tcPr>
            <w:tcW w:w="992" w:type="dxa"/>
            <w:tcBorders>
              <w:top w:val="single" w:sz="4" w:space="0" w:color="auto"/>
              <w:left w:val="nil"/>
              <w:bottom w:val="single" w:sz="4" w:space="0" w:color="auto"/>
              <w:right w:val="nil"/>
            </w:tcBorders>
            <w:shd w:val="clear" w:color="auto" w:fill="auto"/>
            <w:vAlign w:val="center"/>
            <w:hideMark/>
          </w:tcPr>
          <w:p w:rsidR="005D13B4" w:rsidRPr="00883EC9" w:rsidRDefault="005D13B4" w:rsidP="006E2DB4">
            <w:pPr>
              <w:jc w:val="center"/>
              <w:rPr>
                <w:rFonts w:ascii="Times New Roman CE" w:hAnsi="Times New Roman CE" w:cs="Times New Roman CE"/>
                <w:i/>
                <w:iCs/>
                <w:sz w:val="22"/>
                <w:szCs w:val="22"/>
              </w:rPr>
            </w:pPr>
            <w:proofErr w:type="spellStart"/>
            <w:r w:rsidRPr="00883EC9">
              <w:rPr>
                <w:rFonts w:ascii="Times New Roman CE" w:hAnsi="Times New Roman CE" w:cs="Times New Roman CE"/>
                <w:i/>
                <w:iCs/>
                <w:sz w:val="22"/>
                <w:szCs w:val="22"/>
              </w:rPr>
              <w:t>korr</w:t>
            </w:r>
            <w:r w:rsidR="006E2DB4" w:rsidRPr="00883EC9">
              <w:rPr>
                <w:rFonts w:ascii="Times New Roman CE" w:hAnsi="Times New Roman CE" w:cs="Times New Roman CE"/>
                <w:i/>
                <w:iCs/>
                <w:sz w:val="22"/>
                <w:szCs w:val="22"/>
              </w:rPr>
              <w:t>.</w:t>
            </w:r>
            <w:r w:rsidRPr="00883EC9">
              <w:rPr>
                <w:rFonts w:ascii="Times New Roman CE" w:hAnsi="Times New Roman CE" w:cs="Times New Roman CE"/>
                <w:i/>
                <w:iCs/>
                <w:sz w:val="22"/>
                <w:szCs w:val="22"/>
              </w:rPr>
              <w:t>tény</w:t>
            </w:r>
            <w:proofErr w:type="spellEnd"/>
            <w:r w:rsidRPr="00883EC9">
              <w:rPr>
                <w:rFonts w:ascii="Times New Roman CE" w:hAnsi="Times New Roman CE" w:cs="Times New Roman CE"/>
                <w:i/>
                <w:iCs/>
                <w:sz w:val="22"/>
                <w:szCs w:val="22"/>
              </w:rPr>
              <w:t>/</w:t>
            </w:r>
            <w:r w:rsidRPr="00883EC9">
              <w:rPr>
                <w:rFonts w:ascii="Times New Roman CE" w:hAnsi="Times New Roman CE" w:cs="Times New Roman CE"/>
                <w:i/>
                <w:iCs/>
                <w:sz w:val="22"/>
                <w:szCs w:val="22"/>
              </w:rPr>
              <w:br/>
              <w:t xml:space="preserve">terv    </w:t>
            </w:r>
          </w:p>
        </w:tc>
      </w:tr>
      <w:tr w:rsidR="005D13B4" w:rsidRPr="00883EC9" w:rsidTr="006E2DB4">
        <w:trPr>
          <w:trHeight w:val="300"/>
        </w:trPr>
        <w:tc>
          <w:tcPr>
            <w:tcW w:w="4111" w:type="dxa"/>
            <w:tcBorders>
              <w:top w:val="nil"/>
              <w:left w:val="nil"/>
              <w:bottom w:val="nil"/>
              <w:right w:val="nil"/>
            </w:tcBorders>
            <w:shd w:val="clear" w:color="auto" w:fill="auto"/>
            <w:noWrap/>
            <w:vAlign w:val="center"/>
            <w:hideMark/>
          </w:tcPr>
          <w:p w:rsidR="005D13B4" w:rsidRPr="00883EC9" w:rsidRDefault="005D13B4" w:rsidP="005D13B4">
            <w:pPr>
              <w:rPr>
                <w:rFonts w:ascii="Times New Roman CE" w:hAnsi="Times New Roman CE" w:cs="Times New Roman CE"/>
                <w:sz w:val="22"/>
                <w:szCs w:val="22"/>
              </w:rPr>
            </w:pPr>
            <w:r w:rsidRPr="00883EC9">
              <w:rPr>
                <w:rFonts w:ascii="Times New Roman CE" w:hAnsi="Times New Roman CE" w:cs="Times New Roman CE"/>
                <w:sz w:val="22"/>
                <w:szCs w:val="22"/>
              </w:rPr>
              <w:t>Anyagköltség</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314 340</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663 397</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308 018</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98,0%</w:t>
            </w:r>
          </w:p>
        </w:tc>
        <w:tc>
          <w:tcPr>
            <w:tcW w:w="992"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46,4%</w:t>
            </w:r>
          </w:p>
        </w:tc>
      </w:tr>
      <w:tr w:rsidR="005D13B4" w:rsidRPr="00883EC9" w:rsidTr="006E2DB4">
        <w:trPr>
          <w:trHeight w:val="174"/>
        </w:trPr>
        <w:tc>
          <w:tcPr>
            <w:tcW w:w="4111" w:type="dxa"/>
            <w:tcBorders>
              <w:top w:val="nil"/>
              <w:left w:val="nil"/>
              <w:bottom w:val="nil"/>
              <w:right w:val="nil"/>
            </w:tcBorders>
            <w:shd w:val="clear" w:color="auto" w:fill="auto"/>
            <w:noWrap/>
            <w:vAlign w:val="center"/>
            <w:hideMark/>
          </w:tcPr>
          <w:p w:rsidR="005D13B4" w:rsidRPr="00883EC9" w:rsidRDefault="005D13B4" w:rsidP="005D13B4">
            <w:pPr>
              <w:rPr>
                <w:rFonts w:ascii="Times New Roman CE" w:hAnsi="Times New Roman CE" w:cs="Times New Roman CE"/>
                <w:sz w:val="22"/>
                <w:szCs w:val="22"/>
              </w:rPr>
            </w:pPr>
            <w:r w:rsidRPr="00883EC9">
              <w:rPr>
                <w:rFonts w:ascii="Times New Roman CE" w:hAnsi="Times New Roman CE" w:cs="Times New Roman CE"/>
                <w:sz w:val="22"/>
                <w:szCs w:val="22"/>
              </w:rPr>
              <w:t>Energiaköltség</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362 037</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706 823</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346 871</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95,8%</w:t>
            </w:r>
          </w:p>
        </w:tc>
        <w:tc>
          <w:tcPr>
            <w:tcW w:w="992"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49,1%</w:t>
            </w:r>
          </w:p>
        </w:tc>
      </w:tr>
      <w:tr w:rsidR="005D13B4" w:rsidRPr="00883EC9" w:rsidTr="006E2DB4">
        <w:trPr>
          <w:trHeight w:val="80"/>
        </w:trPr>
        <w:tc>
          <w:tcPr>
            <w:tcW w:w="4111" w:type="dxa"/>
            <w:tcBorders>
              <w:top w:val="nil"/>
              <w:left w:val="nil"/>
              <w:bottom w:val="nil"/>
              <w:right w:val="nil"/>
            </w:tcBorders>
            <w:shd w:val="clear" w:color="auto" w:fill="auto"/>
            <w:noWrap/>
            <w:vAlign w:val="center"/>
            <w:hideMark/>
          </w:tcPr>
          <w:p w:rsidR="005D13B4" w:rsidRPr="00883EC9" w:rsidRDefault="005D13B4" w:rsidP="005D13B4">
            <w:pPr>
              <w:rPr>
                <w:rFonts w:ascii="Times New Roman CE" w:hAnsi="Times New Roman CE" w:cs="Times New Roman CE"/>
                <w:sz w:val="22"/>
                <w:szCs w:val="22"/>
              </w:rPr>
            </w:pPr>
            <w:r w:rsidRPr="00883EC9">
              <w:rPr>
                <w:rFonts w:ascii="Times New Roman CE" w:hAnsi="Times New Roman CE" w:cs="Times New Roman CE"/>
                <w:sz w:val="22"/>
                <w:szCs w:val="22"/>
              </w:rPr>
              <w:t xml:space="preserve">     villamos energia</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267 815</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519 469</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250 530</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93,5%</w:t>
            </w:r>
          </w:p>
        </w:tc>
        <w:tc>
          <w:tcPr>
            <w:tcW w:w="992"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48,2%</w:t>
            </w:r>
          </w:p>
        </w:tc>
      </w:tr>
      <w:tr w:rsidR="005D13B4" w:rsidRPr="00883EC9" w:rsidTr="006E2DB4">
        <w:trPr>
          <w:trHeight w:val="82"/>
        </w:trPr>
        <w:tc>
          <w:tcPr>
            <w:tcW w:w="4111" w:type="dxa"/>
            <w:tcBorders>
              <w:top w:val="nil"/>
              <w:left w:val="nil"/>
              <w:bottom w:val="nil"/>
              <w:right w:val="nil"/>
            </w:tcBorders>
            <w:shd w:val="clear" w:color="auto" w:fill="auto"/>
            <w:noWrap/>
            <w:vAlign w:val="center"/>
            <w:hideMark/>
          </w:tcPr>
          <w:p w:rsidR="005D13B4" w:rsidRPr="00883EC9" w:rsidRDefault="005D13B4" w:rsidP="005D13B4">
            <w:pPr>
              <w:rPr>
                <w:rFonts w:ascii="Times New Roman CE" w:hAnsi="Times New Roman CE" w:cs="Times New Roman CE"/>
                <w:sz w:val="22"/>
                <w:szCs w:val="22"/>
              </w:rPr>
            </w:pPr>
            <w:r w:rsidRPr="00883EC9">
              <w:rPr>
                <w:rFonts w:ascii="Times New Roman CE" w:hAnsi="Times New Roman CE" w:cs="Times New Roman CE"/>
                <w:sz w:val="22"/>
                <w:szCs w:val="22"/>
              </w:rPr>
              <w:t xml:space="preserve">     földgáz</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43 689</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82 269</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39 781</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91,1%</w:t>
            </w:r>
          </w:p>
        </w:tc>
        <w:tc>
          <w:tcPr>
            <w:tcW w:w="992"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48,4%</w:t>
            </w:r>
          </w:p>
        </w:tc>
      </w:tr>
      <w:tr w:rsidR="005D13B4" w:rsidRPr="00883EC9" w:rsidTr="006E2DB4">
        <w:trPr>
          <w:trHeight w:val="113"/>
        </w:trPr>
        <w:tc>
          <w:tcPr>
            <w:tcW w:w="4111" w:type="dxa"/>
            <w:tcBorders>
              <w:top w:val="nil"/>
              <w:left w:val="nil"/>
              <w:bottom w:val="nil"/>
              <w:right w:val="nil"/>
            </w:tcBorders>
            <w:shd w:val="clear" w:color="auto" w:fill="auto"/>
            <w:noWrap/>
            <w:vAlign w:val="center"/>
            <w:hideMark/>
          </w:tcPr>
          <w:p w:rsidR="005D13B4" w:rsidRPr="00883EC9" w:rsidRDefault="005D13B4" w:rsidP="005D13B4">
            <w:pPr>
              <w:rPr>
                <w:rFonts w:ascii="Times New Roman CE" w:hAnsi="Times New Roman CE" w:cs="Times New Roman CE"/>
                <w:sz w:val="22"/>
                <w:szCs w:val="22"/>
              </w:rPr>
            </w:pPr>
            <w:r w:rsidRPr="00883EC9">
              <w:rPr>
                <w:rFonts w:ascii="Times New Roman CE" w:hAnsi="Times New Roman CE" w:cs="Times New Roman CE"/>
                <w:sz w:val="22"/>
                <w:szCs w:val="22"/>
              </w:rPr>
              <w:t xml:space="preserve">     üzemanyag</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49 088</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101 335</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55 521</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113,1%</w:t>
            </w:r>
          </w:p>
        </w:tc>
        <w:tc>
          <w:tcPr>
            <w:tcW w:w="992"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54,8%</w:t>
            </w:r>
          </w:p>
        </w:tc>
      </w:tr>
      <w:tr w:rsidR="005D13B4" w:rsidRPr="00883EC9" w:rsidTr="006E2DB4">
        <w:trPr>
          <w:trHeight w:val="146"/>
        </w:trPr>
        <w:tc>
          <w:tcPr>
            <w:tcW w:w="4111" w:type="dxa"/>
            <w:tcBorders>
              <w:top w:val="nil"/>
              <w:left w:val="nil"/>
              <w:bottom w:val="nil"/>
              <w:right w:val="nil"/>
            </w:tcBorders>
            <w:shd w:val="clear" w:color="auto" w:fill="auto"/>
            <w:noWrap/>
            <w:vAlign w:val="center"/>
            <w:hideMark/>
          </w:tcPr>
          <w:p w:rsidR="005D13B4" w:rsidRPr="00883EC9" w:rsidRDefault="005D13B4" w:rsidP="005D13B4">
            <w:pPr>
              <w:rPr>
                <w:rFonts w:ascii="Times New Roman CE" w:hAnsi="Times New Roman CE" w:cs="Times New Roman CE"/>
                <w:sz w:val="22"/>
                <w:szCs w:val="22"/>
              </w:rPr>
            </w:pPr>
            <w:r w:rsidRPr="00883EC9">
              <w:rPr>
                <w:rFonts w:ascii="Times New Roman CE" w:hAnsi="Times New Roman CE" w:cs="Times New Roman CE"/>
                <w:sz w:val="22"/>
                <w:szCs w:val="22"/>
              </w:rPr>
              <w:t xml:space="preserve">     egyéb energia</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1 445</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3 750</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1 039</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71,9%</w:t>
            </w:r>
          </w:p>
        </w:tc>
        <w:tc>
          <w:tcPr>
            <w:tcW w:w="992"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27,7%</w:t>
            </w:r>
          </w:p>
        </w:tc>
      </w:tr>
      <w:tr w:rsidR="005D13B4" w:rsidRPr="00883EC9" w:rsidTr="006E2DB4">
        <w:trPr>
          <w:trHeight w:val="300"/>
        </w:trPr>
        <w:tc>
          <w:tcPr>
            <w:tcW w:w="4111" w:type="dxa"/>
            <w:tcBorders>
              <w:top w:val="nil"/>
              <w:left w:val="nil"/>
              <w:bottom w:val="nil"/>
              <w:right w:val="nil"/>
            </w:tcBorders>
            <w:shd w:val="clear" w:color="auto" w:fill="auto"/>
            <w:noWrap/>
            <w:vAlign w:val="center"/>
            <w:hideMark/>
          </w:tcPr>
          <w:p w:rsidR="005D13B4" w:rsidRPr="00883EC9" w:rsidRDefault="005D13B4" w:rsidP="005D13B4">
            <w:pPr>
              <w:rPr>
                <w:rFonts w:ascii="Times New Roman CE" w:hAnsi="Times New Roman CE" w:cs="Times New Roman CE"/>
                <w:sz w:val="22"/>
                <w:szCs w:val="22"/>
              </w:rPr>
            </w:pPr>
            <w:r w:rsidRPr="00883EC9">
              <w:rPr>
                <w:rFonts w:ascii="Times New Roman CE" w:hAnsi="Times New Roman CE" w:cs="Times New Roman CE"/>
                <w:sz w:val="22"/>
                <w:szCs w:val="22"/>
              </w:rPr>
              <w:t>Igénybevett szolgáltatások</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755 965</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1 835 079</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823 040</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108,9%</w:t>
            </w:r>
          </w:p>
        </w:tc>
        <w:tc>
          <w:tcPr>
            <w:tcW w:w="992"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44,9%</w:t>
            </w:r>
          </w:p>
        </w:tc>
      </w:tr>
      <w:tr w:rsidR="005D13B4" w:rsidRPr="00883EC9" w:rsidTr="006E2DB4">
        <w:trPr>
          <w:trHeight w:val="80"/>
        </w:trPr>
        <w:tc>
          <w:tcPr>
            <w:tcW w:w="4111" w:type="dxa"/>
            <w:tcBorders>
              <w:top w:val="nil"/>
              <w:left w:val="nil"/>
              <w:bottom w:val="nil"/>
              <w:right w:val="nil"/>
            </w:tcBorders>
            <w:shd w:val="clear" w:color="auto" w:fill="auto"/>
            <w:noWrap/>
            <w:vAlign w:val="center"/>
            <w:hideMark/>
          </w:tcPr>
          <w:p w:rsidR="005D13B4" w:rsidRPr="00883EC9" w:rsidRDefault="005D13B4" w:rsidP="005D13B4">
            <w:pPr>
              <w:rPr>
                <w:rFonts w:ascii="Times New Roman CE" w:hAnsi="Times New Roman CE" w:cs="Times New Roman CE"/>
                <w:sz w:val="22"/>
                <w:szCs w:val="22"/>
              </w:rPr>
            </w:pPr>
            <w:r w:rsidRPr="00883EC9">
              <w:rPr>
                <w:rFonts w:ascii="Times New Roman CE" w:hAnsi="Times New Roman CE" w:cs="Times New Roman CE"/>
                <w:sz w:val="22"/>
                <w:szCs w:val="22"/>
              </w:rPr>
              <w:t xml:space="preserve">     üzemeltetett eszközök használati díja</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402 374</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834 632</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402 258</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100,0%</w:t>
            </w:r>
          </w:p>
        </w:tc>
        <w:tc>
          <w:tcPr>
            <w:tcW w:w="992"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48,2%</w:t>
            </w:r>
          </w:p>
        </w:tc>
      </w:tr>
      <w:tr w:rsidR="005D13B4" w:rsidRPr="00883EC9" w:rsidTr="006E2DB4">
        <w:trPr>
          <w:trHeight w:val="80"/>
        </w:trPr>
        <w:tc>
          <w:tcPr>
            <w:tcW w:w="4111" w:type="dxa"/>
            <w:tcBorders>
              <w:top w:val="nil"/>
              <w:left w:val="nil"/>
              <w:bottom w:val="nil"/>
              <w:right w:val="nil"/>
            </w:tcBorders>
            <w:shd w:val="clear" w:color="auto" w:fill="auto"/>
            <w:noWrap/>
            <w:vAlign w:val="center"/>
            <w:hideMark/>
          </w:tcPr>
          <w:p w:rsidR="005D13B4" w:rsidRPr="00883EC9" w:rsidRDefault="005D13B4" w:rsidP="005D13B4">
            <w:pPr>
              <w:rPr>
                <w:rFonts w:ascii="Times New Roman CE" w:hAnsi="Times New Roman CE" w:cs="Times New Roman CE"/>
                <w:sz w:val="22"/>
                <w:szCs w:val="22"/>
              </w:rPr>
            </w:pPr>
            <w:r w:rsidRPr="00883EC9">
              <w:rPr>
                <w:rFonts w:ascii="Times New Roman CE" w:hAnsi="Times New Roman CE" w:cs="Times New Roman CE"/>
                <w:sz w:val="22"/>
                <w:szCs w:val="22"/>
              </w:rPr>
              <w:t xml:space="preserve">     idegen fenntartás</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48 814</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155 000</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54 345</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111,3%</w:t>
            </w:r>
          </w:p>
        </w:tc>
        <w:tc>
          <w:tcPr>
            <w:tcW w:w="992"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35,1%</w:t>
            </w:r>
          </w:p>
        </w:tc>
      </w:tr>
      <w:tr w:rsidR="005D13B4" w:rsidRPr="00883EC9" w:rsidTr="006E2DB4">
        <w:trPr>
          <w:trHeight w:val="80"/>
        </w:trPr>
        <w:tc>
          <w:tcPr>
            <w:tcW w:w="4111" w:type="dxa"/>
            <w:tcBorders>
              <w:top w:val="nil"/>
              <w:left w:val="nil"/>
              <w:bottom w:val="nil"/>
              <w:right w:val="nil"/>
            </w:tcBorders>
            <w:shd w:val="clear" w:color="auto" w:fill="auto"/>
            <w:noWrap/>
            <w:vAlign w:val="center"/>
            <w:hideMark/>
          </w:tcPr>
          <w:p w:rsidR="005D13B4" w:rsidRPr="00883EC9" w:rsidRDefault="005D13B4" w:rsidP="005D13B4">
            <w:pPr>
              <w:rPr>
                <w:rFonts w:ascii="Times New Roman CE" w:hAnsi="Times New Roman CE" w:cs="Times New Roman CE"/>
                <w:sz w:val="22"/>
                <w:szCs w:val="22"/>
              </w:rPr>
            </w:pPr>
            <w:r w:rsidRPr="00883EC9">
              <w:rPr>
                <w:rFonts w:ascii="Times New Roman CE" w:hAnsi="Times New Roman CE" w:cs="Times New Roman CE"/>
                <w:sz w:val="22"/>
                <w:szCs w:val="22"/>
              </w:rPr>
              <w:t xml:space="preserve">     Szentgotthárd bérmunka díja</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71 417</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132 000</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63 284</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88,6%</w:t>
            </w:r>
          </w:p>
        </w:tc>
        <w:tc>
          <w:tcPr>
            <w:tcW w:w="992"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47,9%</w:t>
            </w:r>
          </w:p>
        </w:tc>
      </w:tr>
      <w:tr w:rsidR="005D13B4" w:rsidRPr="00883EC9" w:rsidTr="006E2DB4">
        <w:trPr>
          <w:trHeight w:val="108"/>
        </w:trPr>
        <w:tc>
          <w:tcPr>
            <w:tcW w:w="4111" w:type="dxa"/>
            <w:tcBorders>
              <w:top w:val="nil"/>
              <w:left w:val="nil"/>
              <w:bottom w:val="nil"/>
              <w:right w:val="nil"/>
            </w:tcBorders>
            <w:shd w:val="clear" w:color="auto" w:fill="auto"/>
            <w:noWrap/>
            <w:vAlign w:val="center"/>
            <w:hideMark/>
          </w:tcPr>
          <w:p w:rsidR="005D13B4" w:rsidRPr="00883EC9" w:rsidRDefault="005D13B4" w:rsidP="005D13B4">
            <w:pPr>
              <w:rPr>
                <w:rFonts w:ascii="Times New Roman CE" w:hAnsi="Times New Roman CE" w:cs="Times New Roman CE"/>
                <w:sz w:val="22"/>
                <w:szCs w:val="22"/>
              </w:rPr>
            </w:pPr>
            <w:r w:rsidRPr="00883EC9">
              <w:rPr>
                <w:rFonts w:ascii="Times New Roman CE" w:hAnsi="Times New Roman CE" w:cs="Times New Roman CE"/>
                <w:sz w:val="22"/>
                <w:szCs w:val="22"/>
              </w:rPr>
              <w:t xml:space="preserve">     </w:t>
            </w:r>
            <w:proofErr w:type="spellStart"/>
            <w:r w:rsidRPr="00883EC9">
              <w:rPr>
                <w:rFonts w:ascii="Times New Roman CE" w:hAnsi="Times New Roman CE" w:cs="Times New Roman CE"/>
                <w:sz w:val="22"/>
                <w:szCs w:val="22"/>
              </w:rPr>
              <w:t>szennyvíziszapelhelyezés</w:t>
            </w:r>
            <w:proofErr w:type="spellEnd"/>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30 697</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75 200</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33 307</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108,5%</w:t>
            </w:r>
          </w:p>
        </w:tc>
        <w:tc>
          <w:tcPr>
            <w:tcW w:w="992"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44,3%</w:t>
            </w:r>
          </w:p>
        </w:tc>
      </w:tr>
      <w:tr w:rsidR="005D13B4" w:rsidRPr="00883EC9" w:rsidTr="006E2DB4">
        <w:trPr>
          <w:trHeight w:val="140"/>
        </w:trPr>
        <w:tc>
          <w:tcPr>
            <w:tcW w:w="4111" w:type="dxa"/>
            <w:tcBorders>
              <w:top w:val="nil"/>
              <w:left w:val="nil"/>
              <w:bottom w:val="nil"/>
              <w:right w:val="nil"/>
            </w:tcBorders>
            <w:shd w:val="clear" w:color="auto" w:fill="auto"/>
            <w:noWrap/>
            <w:vAlign w:val="center"/>
            <w:hideMark/>
          </w:tcPr>
          <w:p w:rsidR="005D13B4" w:rsidRPr="00883EC9" w:rsidRDefault="005D13B4" w:rsidP="005D13B4">
            <w:pPr>
              <w:rPr>
                <w:rFonts w:ascii="Times New Roman CE" w:hAnsi="Times New Roman CE" w:cs="Times New Roman CE"/>
                <w:sz w:val="22"/>
                <w:szCs w:val="22"/>
              </w:rPr>
            </w:pPr>
            <w:r w:rsidRPr="00883EC9">
              <w:rPr>
                <w:rFonts w:ascii="Times New Roman CE" w:hAnsi="Times New Roman CE" w:cs="Times New Roman CE"/>
                <w:sz w:val="22"/>
                <w:szCs w:val="22"/>
              </w:rPr>
              <w:t xml:space="preserve">     távközlési, postai szolgáltatás</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40 776</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82 396</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40 627</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99,6%</w:t>
            </w:r>
          </w:p>
        </w:tc>
        <w:tc>
          <w:tcPr>
            <w:tcW w:w="992"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49,3%</w:t>
            </w:r>
          </w:p>
        </w:tc>
      </w:tr>
      <w:tr w:rsidR="005D13B4" w:rsidRPr="00883EC9" w:rsidTr="006E2DB4">
        <w:trPr>
          <w:trHeight w:val="80"/>
        </w:trPr>
        <w:tc>
          <w:tcPr>
            <w:tcW w:w="4111" w:type="dxa"/>
            <w:tcBorders>
              <w:top w:val="nil"/>
              <w:left w:val="nil"/>
              <w:bottom w:val="nil"/>
              <w:right w:val="nil"/>
            </w:tcBorders>
            <w:shd w:val="clear" w:color="auto" w:fill="auto"/>
            <w:noWrap/>
            <w:vAlign w:val="center"/>
            <w:hideMark/>
          </w:tcPr>
          <w:p w:rsidR="005D13B4" w:rsidRPr="00883EC9" w:rsidRDefault="005D13B4" w:rsidP="005D13B4">
            <w:pPr>
              <w:rPr>
                <w:rFonts w:ascii="Times New Roman CE" w:hAnsi="Times New Roman CE" w:cs="Times New Roman CE"/>
                <w:sz w:val="22"/>
                <w:szCs w:val="22"/>
              </w:rPr>
            </w:pPr>
            <w:r w:rsidRPr="00883EC9">
              <w:rPr>
                <w:rFonts w:ascii="Times New Roman CE" w:hAnsi="Times New Roman CE" w:cs="Times New Roman CE"/>
                <w:sz w:val="22"/>
                <w:szCs w:val="22"/>
              </w:rPr>
              <w:t xml:space="preserve">     minőség-ellenőrzés</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5 738</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15 500</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3 036</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52,9%</w:t>
            </w:r>
          </w:p>
        </w:tc>
        <w:tc>
          <w:tcPr>
            <w:tcW w:w="992"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19,6%</w:t>
            </w:r>
          </w:p>
        </w:tc>
      </w:tr>
      <w:tr w:rsidR="005D13B4" w:rsidRPr="00883EC9" w:rsidTr="006E2DB4">
        <w:trPr>
          <w:trHeight w:val="80"/>
        </w:trPr>
        <w:tc>
          <w:tcPr>
            <w:tcW w:w="4111" w:type="dxa"/>
            <w:tcBorders>
              <w:top w:val="nil"/>
              <w:left w:val="nil"/>
              <w:bottom w:val="nil"/>
              <w:right w:val="nil"/>
            </w:tcBorders>
            <w:shd w:val="clear" w:color="auto" w:fill="auto"/>
            <w:noWrap/>
            <w:vAlign w:val="center"/>
            <w:hideMark/>
          </w:tcPr>
          <w:p w:rsidR="005D13B4" w:rsidRPr="00883EC9" w:rsidRDefault="005D13B4" w:rsidP="005D13B4">
            <w:pPr>
              <w:rPr>
                <w:rFonts w:ascii="Times New Roman CE" w:hAnsi="Times New Roman CE" w:cs="Times New Roman CE"/>
                <w:sz w:val="22"/>
                <w:szCs w:val="22"/>
              </w:rPr>
            </w:pPr>
            <w:r w:rsidRPr="00883EC9">
              <w:rPr>
                <w:rFonts w:ascii="Times New Roman CE" w:hAnsi="Times New Roman CE" w:cs="Times New Roman CE"/>
                <w:sz w:val="22"/>
                <w:szCs w:val="22"/>
              </w:rPr>
              <w:t xml:space="preserve">     egyéb igénybevett szolgáltatás</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156 149</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540 351</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226 183</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144,9%</w:t>
            </w:r>
          </w:p>
        </w:tc>
        <w:tc>
          <w:tcPr>
            <w:tcW w:w="992"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41,9%</w:t>
            </w:r>
          </w:p>
        </w:tc>
      </w:tr>
      <w:tr w:rsidR="005D13B4" w:rsidRPr="00883EC9" w:rsidTr="006E2DB4">
        <w:trPr>
          <w:trHeight w:val="300"/>
        </w:trPr>
        <w:tc>
          <w:tcPr>
            <w:tcW w:w="4111" w:type="dxa"/>
            <w:tcBorders>
              <w:top w:val="nil"/>
              <w:left w:val="nil"/>
              <w:bottom w:val="nil"/>
              <w:right w:val="nil"/>
            </w:tcBorders>
            <w:shd w:val="clear" w:color="auto" w:fill="auto"/>
            <w:noWrap/>
            <w:vAlign w:val="center"/>
            <w:hideMark/>
          </w:tcPr>
          <w:p w:rsidR="005D13B4" w:rsidRPr="00883EC9" w:rsidRDefault="005D13B4" w:rsidP="005D13B4">
            <w:pPr>
              <w:rPr>
                <w:rFonts w:ascii="Times New Roman CE" w:hAnsi="Times New Roman CE" w:cs="Times New Roman CE"/>
                <w:sz w:val="22"/>
                <w:szCs w:val="22"/>
              </w:rPr>
            </w:pPr>
            <w:r w:rsidRPr="00883EC9">
              <w:rPr>
                <w:rFonts w:ascii="Times New Roman CE" w:hAnsi="Times New Roman CE" w:cs="Times New Roman CE"/>
                <w:sz w:val="22"/>
                <w:szCs w:val="22"/>
              </w:rPr>
              <w:t>Egyéb szolgáltatások</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132 462</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256 203</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124 731</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94,2%</w:t>
            </w:r>
          </w:p>
        </w:tc>
        <w:tc>
          <w:tcPr>
            <w:tcW w:w="992"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48,7%</w:t>
            </w:r>
          </w:p>
        </w:tc>
      </w:tr>
      <w:tr w:rsidR="005D13B4" w:rsidRPr="00883EC9" w:rsidTr="006E2DB4">
        <w:trPr>
          <w:trHeight w:val="80"/>
        </w:trPr>
        <w:tc>
          <w:tcPr>
            <w:tcW w:w="4111" w:type="dxa"/>
            <w:tcBorders>
              <w:top w:val="nil"/>
              <w:left w:val="nil"/>
              <w:bottom w:val="nil"/>
              <w:right w:val="nil"/>
            </w:tcBorders>
            <w:shd w:val="clear" w:color="auto" w:fill="auto"/>
            <w:noWrap/>
            <w:vAlign w:val="center"/>
            <w:hideMark/>
          </w:tcPr>
          <w:p w:rsidR="005D13B4" w:rsidRPr="00883EC9" w:rsidRDefault="005D13B4" w:rsidP="005D13B4">
            <w:pPr>
              <w:rPr>
                <w:rFonts w:ascii="Times New Roman CE" w:hAnsi="Times New Roman CE" w:cs="Times New Roman CE"/>
                <w:sz w:val="22"/>
                <w:szCs w:val="22"/>
              </w:rPr>
            </w:pPr>
            <w:r w:rsidRPr="00883EC9">
              <w:rPr>
                <w:rFonts w:ascii="Times New Roman CE" w:hAnsi="Times New Roman CE" w:cs="Times New Roman CE"/>
                <w:sz w:val="22"/>
                <w:szCs w:val="22"/>
              </w:rPr>
              <w:t>Eladott áruk, közvetített szolgáltatások</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78</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1 500</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1 959</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2511,5%</w:t>
            </w:r>
          </w:p>
        </w:tc>
        <w:tc>
          <w:tcPr>
            <w:tcW w:w="992"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130,6%</w:t>
            </w:r>
          </w:p>
        </w:tc>
      </w:tr>
      <w:tr w:rsidR="005D13B4" w:rsidRPr="00883EC9" w:rsidTr="006E2DB4">
        <w:trPr>
          <w:trHeight w:val="300"/>
        </w:trPr>
        <w:tc>
          <w:tcPr>
            <w:tcW w:w="4111" w:type="dxa"/>
            <w:tcBorders>
              <w:top w:val="single" w:sz="4" w:space="0" w:color="auto"/>
              <w:left w:val="nil"/>
              <w:bottom w:val="single" w:sz="4" w:space="0" w:color="auto"/>
              <w:right w:val="nil"/>
            </w:tcBorders>
            <w:shd w:val="clear" w:color="auto" w:fill="auto"/>
            <w:vAlign w:val="center"/>
            <w:hideMark/>
          </w:tcPr>
          <w:p w:rsidR="005D13B4" w:rsidRPr="00883EC9" w:rsidRDefault="005D13B4" w:rsidP="005D13B4">
            <w:pPr>
              <w:rPr>
                <w:rFonts w:ascii="Times New Roman CE" w:hAnsi="Times New Roman CE" w:cs="Times New Roman CE"/>
                <w:i/>
                <w:iCs/>
                <w:sz w:val="22"/>
                <w:szCs w:val="22"/>
              </w:rPr>
            </w:pPr>
            <w:r w:rsidRPr="00883EC9">
              <w:rPr>
                <w:rFonts w:ascii="Times New Roman CE" w:hAnsi="Times New Roman CE" w:cs="Times New Roman CE"/>
                <w:i/>
                <w:iCs/>
                <w:sz w:val="22"/>
                <w:szCs w:val="22"/>
              </w:rPr>
              <w:t>Anyagjellegű ráfordítás összesen</w:t>
            </w:r>
          </w:p>
        </w:tc>
        <w:tc>
          <w:tcPr>
            <w:tcW w:w="1134" w:type="dxa"/>
            <w:tcBorders>
              <w:top w:val="single" w:sz="4" w:space="0" w:color="auto"/>
              <w:left w:val="nil"/>
              <w:bottom w:val="single" w:sz="4" w:space="0" w:color="auto"/>
              <w:right w:val="nil"/>
            </w:tcBorders>
            <w:shd w:val="clear" w:color="auto" w:fill="auto"/>
            <w:vAlign w:val="center"/>
            <w:hideMark/>
          </w:tcPr>
          <w:p w:rsidR="005D13B4" w:rsidRPr="00883EC9" w:rsidRDefault="005D13B4" w:rsidP="005D13B4">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1 564 882</w:t>
            </w:r>
          </w:p>
        </w:tc>
        <w:tc>
          <w:tcPr>
            <w:tcW w:w="1216" w:type="dxa"/>
            <w:tcBorders>
              <w:top w:val="single" w:sz="4" w:space="0" w:color="auto"/>
              <w:left w:val="nil"/>
              <w:bottom w:val="single" w:sz="4" w:space="0" w:color="auto"/>
              <w:right w:val="nil"/>
            </w:tcBorders>
            <w:shd w:val="clear" w:color="auto" w:fill="auto"/>
            <w:vAlign w:val="center"/>
            <w:hideMark/>
          </w:tcPr>
          <w:p w:rsidR="005D13B4" w:rsidRPr="00883EC9" w:rsidRDefault="005D13B4" w:rsidP="005D13B4">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3 463 002</w:t>
            </w:r>
          </w:p>
        </w:tc>
        <w:tc>
          <w:tcPr>
            <w:tcW w:w="1194" w:type="dxa"/>
            <w:tcBorders>
              <w:top w:val="single" w:sz="4" w:space="0" w:color="auto"/>
              <w:left w:val="nil"/>
              <w:bottom w:val="single" w:sz="4" w:space="0" w:color="auto"/>
              <w:right w:val="nil"/>
            </w:tcBorders>
            <w:shd w:val="clear" w:color="auto" w:fill="auto"/>
            <w:vAlign w:val="center"/>
            <w:hideMark/>
          </w:tcPr>
          <w:p w:rsidR="005D13B4" w:rsidRPr="00883EC9" w:rsidRDefault="005D13B4" w:rsidP="005D13B4">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1 604 619</w:t>
            </w:r>
          </w:p>
        </w:tc>
        <w:tc>
          <w:tcPr>
            <w:tcW w:w="1134" w:type="dxa"/>
            <w:tcBorders>
              <w:top w:val="single" w:sz="4" w:space="0" w:color="auto"/>
              <w:left w:val="nil"/>
              <w:bottom w:val="single" w:sz="4" w:space="0" w:color="auto"/>
              <w:right w:val="nil"/>
            </w:tcBorders>
            <w:shd w:val="clear" w:color="auto" w:fill="auto"/>
            <w:vAlign w:val="center"/>
            <w:hideMark/>
          </w:tcPr>
          <w:p w:rsidR="005D13B4" w:rsidRPr="00883EC9" w:rsidRDefault="005D13B4" w:rsidP="005D13B4">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102,5%</w:t>
            </w:r>
          </w:p>
        </w:tc>
        <w:tc>
          <w:tcPr>
            <w:tcW w:w="992" w:type="dxa"/>
            <w:tcBorders>
              <w:top w:val="single" w:sz="4" w:space="0" w:color="auto"/>
              <w:left w:val="nil"/>
              <w:bottom w:val="single" w:sz="4" w:space="0" w:color="auto"/>
              <w:right w:val="nil"/>
            </w:tcBorders>
            <w:shd w:val="clear" w:color="auto" w:fill="auto"/>
            <w:vAlign w:val="center"/>
            <w:hideMark/>
          </w:tcPr>
          <w:p w:rsidR="005D13B4" w:rsidRPr="00883EC9" w:rsidRDefault="005D13B4" w:rsidP="005D13B4">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46,3%</w:t>
            </w:r>
          </w:p>
        </w:tc>
      </w:tr>
      <w:tr w:rsidR="005D13B4" w:rsidRPr="00883EC9" w:rsidTr="006E2DB4">
        <w:trPr>
          <w:trHeight w:val="209"/>
        </w:trPr>
        <w:tc>
          <w:tcPr>
            <w:tcW w:w="4111" w:type="dxa"/>
            <w:tcBorders>
              <w:top w:val="nil"/>
              <w:left w:val="nil"/>
              <w:bottom w:val="nil"/>
              <w:right w:val="nil"/>
            </w:tcBorders>
            <w:shd w:val="clear" w:color="auto" w:fill="auto"/>
            <w:noWrap/>
            <w:vAlign w:val="center"/>
            <w:hideMark/>
          </w:tcPr>
          <w:p w:rsidR="005D13B4" w:rsidRPr="00883EC9" w:rsidRDefault="005D13B4" w:rsidP="005D13B4">
            <w:pPr>
              <w:rPr>
                <w:rFonts w:ascii="Times New Roman CE" w:hAnsi="Times New Roman CE" w:cs="Times New Roman CE"/>
                <w:sz w:val="22"/>
                <w:szCs w:val="22"/>
              </w:rPr>
            </w:pPr>
            <w:r w:rsidRPr="00883EC9">
              <w:rPr>
                <w:rFonts w:ascii="Times New Roman CE" w:hAnsi="Times New Roman CE" w:cs="Times New Roman CE"/>
                <w:sz w:val="22"/>
                <w:szCs w:val="22"/>
              </w:rPr>
              <w:t>Bérköltség</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939 508</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2 013 967</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981 730</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104,5%</w:t>
            </w:r>
          </w:p>
        </w:tc>
        <w:tc>
          <w:tcPr>
            <w:tcW w:w="992"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48,7%</w:t>
            </w:r>
          </w:p>
        </w:tc>
      </w:tr>
      <w:tr w:rsidR="005D13B4" w:rsidRPr="00883EC9" w:rsidTr="006E2DB4">
        <w:trPr>
          <w:trHeight w:val="96"/>
        </w:trPr>
        <w:tc>
          <w:tcPr>
            <w:tcW w:w="4111" w:type="dxa"/>
            <w:tcBorders>
              <w:top w:val="nil"/>
              <w:left w:val="nil"/>
              <w:bottom w:val="nil"/>
              <w:right w:val="nil"/>
            </w:tcBorders>
            <w:shd w:val="clear" w:color="auto" w:fill="auto"/>
            <w:noWrap/>
            <w:vAlign w:val="center"/>
            <w:hideMark/>
          </w:tcPr>
          <w:p w:rsidR="005D13B4" w:rsidRPr="00883EC9" w:rsidRDefault="005D13B4" w:rsidP="005D13B4">
            <w:pPr>
              <w:rPr>
                <w:rFonts w:ascii="Times New Roman CE" w:hAnsi="Times New Roman CE" w:cs="Times New Roman CE"/>
                <w:sz w:val="22"/>
                <w:szCs w:val="22"/>
              </w:rPr>
            </w:pPr>
            <w:r w:rsidRPr="00883EC9">
              <w:rPr>
                <w:rFonts w:ascii="Times New Roman CE" w:hAnsi="Times New Roman CE" w:cs="Times New Roman CE"/>
                <w:sz w:val="22"/>
                <w:szCs w:val="22"/>
              </w:rPr>
              <w:t>Személyi jellegű egyéb kifizetések</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103 194</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209 772</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104 886</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101,6%</w:t>
            </w:r>
          </w:p>
        </w:tc>
        <w:tc>
          <w:tcPr>
            <w:tcW w:w="992"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50,0%</w:t>
            </w:r>
          </w:p>
        </w:tc>
      </w:tr>
      <w:tr w:rsidR="005D13B4" w:rsidRPr="00883EC9" w:rsidTr="006E2DB4">
        <w:trPr>
          <w:trHeight w:val="142"/>
        </w:trPr>
        <w:tc>
          <w:tcPr>
            <w:tcW w:w="4111" w:type="dxa"/>
            <w:tcBorders>
              <w:top w:val="nil"/>
              <w:left w:val="nil"/>
              <w:bottom w:val="nil"/>
              <w:right w:val="nil"/>
            </w:tcBorders>
            <w:shd w:val="clear" w:color="auto" w:fill="auto"/>
            <w:noWrap/>
            <w:vAlign w:val="center"/>
            <w:hideMark/>
          </w:tcPr>
          <w:p w:rsidR="005D13B4" w:rsidRPr="00883EC9" w:rsidRDefault="005D13B4" w:rsidP="005D13B4">
            <w:pPr>
              <w:rPr>
                <w:rFonts w:ascii="Times New Roman CE" w:hAnsi="Times New Roman CE" w:cs="Times New Roman CE"/>
                <w:sz w:val="22"/>
                <w:szCs w:val="22"/>
              </w:rPr>
            </w:pPr>
            <w:r w:rsidRPr="00883EC9">
              <w:rPr>
                <w:rFonts w:ascii="Times New Roman CE" w:hAnsi="Times New Roman CE" w:cs="Times New Roman CE"/>
                <w:sz w:val="22"/>
                <w:szCs w:val="22"/>
              </w:rPr>
              <w:t>Bérjárulékok</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272 138</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490 823</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240 649</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88,4%</w:t>
            </w:r>
          </w:p>
        </w:tc>
        <w:tc>
          <w:tcPr>
            <w:tcW w:w="992"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49,0%</w:t>
            </w:r>
          </w:p>
        </w:tc>
      </w:tr>
      <w:tr w:rsidR="005D13B4" w:rsidRPr="00883EC9" w:rsidTr="006E2DB4">
        <w:trPr>
          <w:trHeight w:val="300"/>
        </w:trPr>
        <w:tc>
          <w:tcPr>
            <w:tcW w:w="4111" w:type="dxa"/>
            <w:tcBorders>
              <w:top w:val="single" w:sz="4" w:space="0" w:color="auto"/>
              <w:left w:val="nil"/>
              <w:bottom w:val="single" w:sz="4" w:space="0" w:color="auto"/>
              <w:right w:val="nil"/>
            </w:tcBorders>
            <w:shd w:val="clear" w:color="auto" w:fill="auto"/>
            <w:vAlign w:val="center"/>
            <w:hideMark/>
          </w:tcPr>
          <w:p w:rsidR="005D13B4" w:rsidRPr="00883EC9" w:rsidRDefault="005D13B4" w:rsidP="005D13B4">
            <w:pPr>
              <w:rPr>
                <w:rFonts w:ascii="Times New Roman CE" w:hAnsi="Times New Roman CE" w:cs="Times New Roman CE"/>
                <w:i/>
                <w:iCs/>
                <w:sz w:val="22"/>
                <w:szCs w:val="22"/>
              </w:rPr>
            </w:pPr>
            <w:r w:rsidRPr="00883EC9">
              <w:rPr>
                <w:rFonts w:ascii="Times New Roman CE" w:hAnsi="Times New Roman CE" w:cs="Times New Roman CE"/>
                <w:i/>
                <w:iCs/>
                <w:sz w:val="22"/>
                <w:szCs w:val="22"/>
              </w:rPr>
              <w:t>Személyi ráfordítás összesen</w:t>
            </w:r>
          </w:p>
        </w:tc>
        <w:tc>
          <w:tcPr>
            <w:tcW w:w="1134" w:type="dxa"/>
            <w:tcBorders>
              <w:top w:val="single" w:sz="4" w:space="0" w:color="auto"/>
              <w:left w:val="nil"/>
              <w:bottom w:val="single" w:sz="4" w:space="0" w:color="auto"/>
              <w:right w:val="nil"/>
            </w:tcBorders>
            <w:shd w:val="clear" w:color="auto" w:fill="auto"/>
            <w:vAlign w:val="center"/>
            <w:hideMark/>
          </w:tcPr>
          <w:p w:rsidR="005D13B4" w:rsidRPr="00883EC9" w:rsidRDefault="005D13B4" w:rsidP="005D13B4">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1 314 840</w:t>
            </w:r>
          </w:p>
        </w:tc>
        <w:tc>
          <w:tcPr>
            <w:tcW w:w="1216" w:type="dxa"/>
            <w:tcBorders>
              <w:top w:val="single" w:sz="4" w:space="0" w:color="auto"/>
              <w:left w:val="nil"/>
              <w:bottom w:val="single" w:sz="4" w:space="0" w:color="auto"/>
              <w:right w:val="nil"/>
            </w:tcBorders>
            <w:shd w:val="clear" w:color="auto" w:fill="auto"/>
            <w:vAlign w:val="center"/>
            <w:hideMark/>
          </w:tcPr>
          <w:p w:rsidR="005D13B4" w:rsidRPr="00883EC9" w:rsidRDefault="005D13B4" w:rsidP="005D13B4">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2 714 562</w:t>
            </w:r>
          </w:p>
        </w:tc>
        <w:tc>
          <w:tcPr>
            <w:tcW w:w="1194" w:type="dxa"/>
            <w:tcBorders>
              <w:top w:val="single" w:sz="4" w:space="0" w:color="auto"/>
              <w:left w:val="nil"/>
              <w:bottom w:val="single" w:sz="4" w:space="0" w:color="auto"/>
              <w:right w:val="nil"/>
            </w:tcBorders>
            <w:shd w:val="clear" w:color="auto" w:fill="auto"/>
            <w:vAlign w:val="center"/>
            <w:hideMark/>
          </w:tcPr>
          <w:p w:rsidR="005D13B4" w:rsidRPr="00883EC9" w:rsidRDefault="005D13B4" w:rsidP="005D13B4">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1 327 265</w:t>
            </w:r>
          </w:p>
        </w:tc>
        <w:tc>
          <w:tcPr>
            <w:tcW w:w="1134" w:type="dxa"/>
            <w:tcBorders>
              <w:top w:val="single" w:sz="4" w:space="0" w:color="auto"/>
              <w:left w:val="nil"/>
              <w:bottom w:val="single" w:sz="4" w:space="0" w:color="auto"/>
              <w:right w:val="nil"/>
            </w:tcBorders>
            <w:shd w:val="clear" w:color="auto" w:fill="auto"/>
            <w:vAlign w:val="center"/>
            <w:hideMark/>
          </w:tcPr>
          <w:p w:rsidR="005D13B4" w:rsidRPr="00883EC9" w:rsidRDefault="005D13B4" w:rsidP="005D13B4">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100,9%</w:t>
            </w:r>
          </w:p>
        </w:tc>
        <w:tc>
          <w:tcPr>
            <w:tcW w:w="992" w:type="dxa"/>
            <w:tcBorders>
              <w:top w:val="single" w:sz="4" w:space="0" w:color="auto"/>
              <w:left w:val="nil"/>
              <w:bottom w:val="single" w:sz="4" w:space="0" w:color="auto"/>
              <w:right w:val="nil"/>
            </w:tcBorders>
            <w:shd w:val="clear" w:color="auto" w:fill="auto"/>
            <w:vAlign w:val="center"/>
            <w:hideMark/>
          </w:tcPr>
          <w:p w:rsidR="005D13B4" w:rsidRPr="00883EC9" w:rsidRDefault="005D13B4" w:rsidP="005D13B4">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48,9%</w:t>
            </w:r>
          </w:p>
        </w:tc>
      </w:tr>
      <w:tr w:rsidR="005D13B4" w:rsidRPr="00883EC9" w:rsidTr="006E2DB4">
        <w:trPr>
          <w:trHeight w:val="300"/>
        </w:trPr>
        <w:tc>
          <w:tcPr>
            <w:tcW w:w="4111" w:type="dxa"/>
            <w:tcBorders>
              <w:top w:val="nil"/>
              <w:left w:val="nil"/>
              <w:bottom w:val="single" w:sz="4" w:space="0" w:color="auto"/>
              <w:right w:val="nil"/>
            </w:tcBorders>
            <w:shd w:val="clear" w:color="auto" w:fill="auto"/>
            <w:vAlign w:val="center"/>
            <w:hideMark/>
          </w:tcPr>
          <w:p w:rsidR="005D13B4" w:rsidRPr="00883EC9" w:rsidRDefault="005D13B4" w:rsidP="005D13B4">
            <w:pPr>
              <w:rPr>
                <w:rFonts w:ascii="Times New Roman CE" w:hAnsi="Times New Roman CE" w:cs="Times New Roman CE"/>
                <w:i/>
                <w:iCs/>
                <w:sz w:val="22"/>
                <w:szCs w:val="22"/>
              </w:rPr>
            </w:pPr>
            <w:r w:rsidRPr="00883EC9">
              <w:rPr>
                <w:rFonts w:ascii="Times New Roman CE" w:hAnsi="Times New Roman CE" w:cs="Times New Roman CE"/>
                <w:i/>
                <w:iCs/>
                <w:sz w:val="22"/>
                <w:szCs w:val="22"/>
              </w:rPr>
              <w:t>Értékcsökkenési leírás</w:t>
            </w:r>
          </w:p>
        </w:tc>
        <w:tc>
          <w:tcPr>
            <w:tcW w:w="1134" w:type="dxa"/>
            <w:tcBorders>
              <w:top w:val="nil"/>
              <w:left w:val="nil"/>
              <w:bottom w:val="single" w:sz="4" w:space="0" w:color="auto"/>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218 848</w:t>
            </w:r>
          </w:p>
        </w:tc>
        <w:tc>
          <w:tcPr>
            <w:tcW w:w="1216" w:type="dxa"/>
            <w:tcBorders>
              <w:top w:val="nil"/>
              <w:left w:val="nil"/>
              <w:bottom w:val="single" w:sz="4" w:space="0" w:color="auto"/>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431 646</w:t>
            </w:r>
          </w:p>
        </w:tc>
        <w:tc>
          <w:tcPr>
            <w:tcW w:w="1194" w:type="dxa"/>
            <w:tcBorders>
              <w:top w:val="nil"/>
              <w:left w:val="nil"/>
              <w:bottom w:val="single" w:sz="4" w:space="0" w:color="auto"/>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217 633</w:t>
            </w:r>
          </w:p>
        </w:tc>
        <w:tc>
          <w:tcPr>
            <w:tcW w:w="1134" w:type="dxa"/>
            <w:tcBorders>
              <w:top w:val="nil"/>
              <w:left w:val="nil"/>
              <w:bottom w:val="single" w:sz="4" w:space="0" w:color="auto"/>
              <w:right w:val="nil"/>
            </w:tcBorders>
            <w:shd w:val="clear" w:color="auto" w:fill="auto"/>
            <w:vAlign w:val="center"/>
            <w:hideMark/>
          </w:tcPr>
          <w:p w:rsidR="005D13B4" w:rsidRPr="00883EC9" w:rsidRDefault="005D13B4" w:rsidP="005D13B4">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99,4%</w:t>
            </w:r>
          </w:p>
        </w:tc>
        <w:tc>
          <w:tcPr>
            <w:tcW w:w="992" w:type="dxa"/>
            <w:tcBorders>
              <w:top w:val="nil"/>
              <w:left w:val="nil"/>
              <w:bottom w:val="single" w:sz="4" w:space="0" w:color="auto"/>
              <w:right w:val="nil"/>
            </w:tcBorders>
            <w:shd w:val="clear" w:color="auto" w:fill="auto"/>
            <w:vAlign w:val="center"/>
            <w:hideMark/>
          </w:tcPr>
          <w:p w:rsidR="005D13B4" w:rsidRPr="00883EC9" w:rsidRDefault="005D13B4" w:rsidP="005D13B4">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50,4%</w:t>
            </w:r>
          </w:p>
        </w:tc>
      </w:tr>
      <w:tr w:rsidR="005D13B4" w:rsidRPr="00883EC9" w:rsidTr="006E2DB4">
        <w:trPr>
          <w:trHeight w:val="300"/>
        </w:trPr>
        <w:tc>
          <w:tcPr>
            <w:tcW w:w="4111" w:type="dxa"/>
            <w:tcBorders>
              <w:top w:val="nil"/>
              <w:left w:val="nil"/>
              <w:bottom w:val="nil"/>
              <w:right w:val="nil"/>
            </w:tcBorders>
            <w:shd w:val="clear" w:color="auto" w:fill="auto"/>
            <w:vAlign w:val="center"/>
            <w:hideMark/>
          </w:tcPr>
          <w:p w:rsidR="005D13B4" w:rsidRPr="00883EC9" w:rsidRDefault="005D13B4" w:rsidP="005D13B4">
            <w:pPr>
              <w:rPr>
                <w:rFonts w:ascii="Times New Roman CE" w:hAnsi="Times New Roman CE" w:cs="Times New Roman CE"/>
                <w:i/>
                <w:iCs/>
                <w:sz w:val="22"/>
                <w:szCs w:val="22"/>
              </w:rPr>
            </w:pPr>
            <w:r w:rsidRPr="00883EC9">
              <w:rPr>
                <w:rFonts w:ascii="Times New Roman CE" w:hAnsi="Times New Roman CE" w:cs="Times New Roman CE"/>
                <w:i/>
                <w:iCs/>
                <w:sz w:val="22"/>
                <w:szCs w:val="22"/>
              </w:rPr>
              <w:t>Egyéb ráfordítások</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335 573</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683 836</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325 193</w:t>
            </w:r>
          </w:p>
        </w:tc>
        <w:tc>
          <w:tcPr>
            <w:tcW w:w="1134" w:type="dxa"/>
            <w:tcBorders>
              <w:top w:val="nil"/>
              <w:left w:val="nil"/>
              <w:bottom w:val="nil"/>
              <w:right w:val="nil"/>
            </w:tcBorders>
            <w:shd w:val="clear" w:color="auto" w:fill="auto"/>
            <w:vAlign w:val="center"/>
            <w:hideMark/>
          </w:tcPr>
          <w:p w:rsidR="005D13B4" w:rsidRPr="00883EC9" w:rsidRDefault="005D13B4" w:rsidP="005D13B4">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96,9%</w:t>
            </w:r>
          </w:p>
        </w:tc>
        <w:tc>
          <w:tcPr>
            <w:tcW w:w="992" w:type="dxa"/>
            <w:tcBorders>
              <w:top w:val="nil"/>
              <w:left w:val="nil"/>
              <w:bottom w:val="nil"/>
              <w:right w:val="nil"/>
            </w:tcBorders>
            <w:shd w:val="clear" w:color="auto" w:fill="auto"/>
            <w:vAlign w:val="center"/>
            <w:hideMark/>
          </w:tcPr>
          <w:p w:rsidR="005D13B4" w:rsidRPr="00883EC9" w:rsidRDefault="005D13B4" w:rsidP="005D13B4">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47,6%</w:t>
            </w:r>
          </w:p>
        </w:tc>
      </w:tr>
      <w:tr w:rsidR="005D13B4" w:rsidRPr="00883EC9" w:rsidTr="006E2DB4">
        <w:trPr>
          <w:trHeight w:val="87"/>
        </w:trPr>
        <w:tc>
          <w:tcPr>
            <w:tcW w:w="4111" w:type="dxa"/>
            <w:tcBorders>
              <w:top w:val="nil"/>
              <w:left w:val="nil"/>
              <w:bottom w:val="nil"/>
              <w:right w:val="nil"/>
            </w:tcBorders>
            <w:shd w:val="clear" w:color="auto" w:fill="auto"/>
            <w:vAlign w:val="center"/>
            <w:hideMark/>
          </w:tcPr>
          <w:p w:rsidR="005D13B4" w:rsidRPr="00883EC9" w:rsidRDefault="005D13B4" w:rsidP="005D13B4">
            <w:pPr>
              <w:rPr>
                <w:rFonts w:ascii="Times New Roman CE" w:hAnsi="Times New Roman CE" w:cs="Times New Roman CE"/>
                <w:sz w:val="22"/>
                <w:szCs w:val="22"/>
              </w:rPr>
            </w:pPr>
            <w:r w:rsidRPr="00883EC9">
              <w:rPr>
                <w:rFonts w:ascii="Times New Roman CE" w:hAnsi="Times New Roman CE" w:cs="Times New Roman CE"/>
                <w:sz w:val="22"/>
                <w:szCs w:val="22"/>
              </w:rPr>
              <w:t>ebből: iparűzési adó</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46 025</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95 000</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51 000</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110,8%</w:t>
            </w:r>
          </w:p>
        </w:tc>
        <w:tc>
          <w:tcPr>
            <w:tcW w:w="992"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53,7%</w:t>
            </w:r>
          </w:p>
        </w:tc>
      </w:tr>
      <w:tr w:rsidR="005D13B4" w:rsidRPr="00883EC9" w:rsidTr="006E2DB4">
        <w:trPr>
          <w:trHeight w:val="80"/>
        </w:trPr>
        <w:tc>
          <w:tcPr>
            <w:tcW w:w="4111" w:type="dxa"/>
            <w:tcBorders>
              <w:top w:val="nil"/>
              <w:left w:val="nil"/>
              <w:bottom w:val="nil"/>
              <w:right w:val="nil"/>
            </w:tcBorders>
            <w:shd w:val="clear" w:color="auto" w:fill="auto"/>
            <w:vAlign w:val="center"/>
            <w:hideMark/>
          </w:tcPr>
          <w:p w:rsidR="005D13B4" w:rsidRPr="00883EC9" w:rsidRDefault="005D13B4" w:rsidP="005D13B4">
            <w:pPr>
              <w:rPr>
                <w:rFonts w:ascii="Times New Roman CE" w:hAnsi="Times New Roman CE" w:cs="Times New Roman CE"/>
                <w:sz w:val="22"/>
                <w:szCs w:val="22"/>
              </w:rPr>
            </w:pPr>
            <w:r w:rsidRPr="00883EC9">
              <w:rPr>
                <w:rFonts w:ascii="Times New Roman CE" w:hAnsi="Times New Roman CE" w:cs="Times New Roman CE"/>
                <w:sz w:val="22"/>
                <w:szCs w:val="22"/>
              </w:rPr>
              <w:t xml:space="preserve">           közművezeték adó</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203 858</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405 400</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203 438</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99,8%</w:t>
            </w:r>
          </w:p>
        </w:tc>
        <w:tc>
          <w:tcPr>
            <w:tcW w:w="992"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50,2%</w:t>
            </w:r>
          </w:p>
        </w:tc>
      </w:tr>
      <w:tr w:rsidR="005D13B4" w:rsidRPr="00883EC9" w:rsidTr="006E2DB4">
        <w:trPr>
          <w:trHeight w:val="138"/>
        </w:trPr>
        <w:tc>
          <w:tcPr>
            <w:tcW w:w="4111" w:type="dxa"/>
            <w:tcBorders>
              <w:top w:val="nil"/>
              <w:left w:val="nil"/>
              <w:bottom w:val="nil"/>
              <w:right w:val="nil"/>
            </w:tcBorders>
            <w:shd w:val="clear" w:color="auto" w:fill="auto"/>
            <w:hideMark/>
          </w:tcPr>
          <w:p w:rsidR="005D13B4" w:rsidRPr="00883EC9" w:rsidRDefault="005D13B4" w:rsidP="005D13B4">
            <w:pPr>
              <w:rPr>
                <w:rFonts w:ascii="Times New Roman CE" w:hAnsi="Times New Roman CE" w:cs="Times New Roman CE"/>
                <w:sz w:val="22"/>
                <w:szCs w:val="22"/>
              </w:rPr>
            </w:pPr>
            <w:r w:rsidRPr="00883EC9">
              <w:rPr>
                <w:rFonts w:ascii="Times New Roman CE" w:hAnsi="Times New Roman CE" w:cs="Times New Roman CE"/>
                <w:sz w:val="22"/>
                <w:szCs w:val="22"/>
              </w:rPr>
              <w:t xml:space="preserve">           </w:t>
            </w:r>
            <w:proofErr w:type="spellStart"/>
            <w:r w:rsidRPr="00883EC9">
              <w:rPr>
                <w:rFonts w:ascii="Times New Roman CE" w:hAnsi="Times New Roman CE" w:cs="Times New Roman CE"/>
                <w:sz w:val="22"/>
                <w:szCs w:val="22"/>
              </w:rPr>
              <w:t>víziközmű</w:t>
            </w:r>
            <w:proofErr w:type="spellEnd"/>
            <w:r w:rsidRPr="00883EC9">
              <w:rPr>
                <w:rFonts w:ascii="Times New Roman CE" w:hAnsi="Times New Roman CE" w:cs="Times New Roman CE"/>
                <w:sz w:val="22"/>
                <w:szCs w:val="22"/>
              </w:rPr>
              <w:t xml:space="preserve"> vagyonátadás </w:t>
            </w:r>
            <w:proofErr w:type="spellStart"/>
            <w:r w:rsidRPr="00883EC9">
              <w:rPr>
                <w:rFonts w:ascii="Times New Roman CE" w:hAnsi="Times New Roman CE" w:cs="Times New Roman CE"/>
                <w:sz w:val="22"/>
                <w:szCs w:val="22"/>
              </w:rPr>
              <w:t>önkorm-nak</w:t>
            </w:r>
            <w:proofErr w:type="spellEnd"/>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0</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56 269</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11 732</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rPr>
                <w:rFonts w:ascii="Times New Roman CE" w:hAnsi="Times New Roman CE" w:cs="Times New Roman CE"/>
                <w:sz w:val="22"/>
                <w:szCs w:val="22"/>
              </w:rPr>
            </w:pPr>
            <w:r w:rsidRPr="00883EC9">
              <w:rPr>
                <w:rFonts w:ascii="Times New Roman CE" w:hAnsi="Times New Roman CE" w:cs="Times New Roman CE"/>
                <w:sz w:val="22"/>
                <w:szCs w:val="22"/>
              </w:rPr>
              <w:t xml:space="preserve"> </w:t>
            </w:r>
          </w:p>
        </w:tc>
        <w:tc>
          <w:tcPr>
            <w:tcW w:w="992"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20,8%</w:t>
            </w:r>
          </w:p>
        </w:tc>
      </w:tr>
      <w:tr w:rsidR="005D13B4" w:rsidRPr="00883EC9" w:rsidTr="006E2DB4">
        <w:trPr>
          <w:trHeight w:val="315"/>
        </w:trPr>
        <w:tc>
          <w:tcPr>
            <w:tcW w:w="4111" w:type="dxa"/>
            <w:tcBorders>
              <w:top w:val="single" w:sz="8" w:space="0" w:color="auto"/>
              <w:left w:val="nil"/>
              <w:bottom w:val="single" w:sz="8" w:space="0" w:color="auto"/>
              <w:right w:val="nil"/>
            </w:tcBorders>
            <w:shd w:val="clear" w:color="auto" w:fill="auto"/>
            <w:noWrap/>
            <w:vAlign w:val="bottom"/>
            <w:hideMark/>
          </w:tcPr>
          <w:p w:rsidR="005D13B4" w:rsidRPr="00883EC9" w:rsidRDefault="005D13B4" w:rsidP="005D13B4">
            <w:pPr>
              <w:rPr>
                <w:b/>
                <w:bCs/>
                <w:sz w:val="22"/>
                <w:szCs w:val="22"/>
              </w:rPr>
            </w:pPr>
            <w:r w:rsidRPr="00883EC9">
              <w:rPr>
                <w:b/>
                <w:bCs/>
                <w:sz w:val="22"/>
                <w:szCs w:val="22"/>
              </w:rPr>
              <w:t>Üzemi (üzleti) ráfordítások összesen</w:t>
            </w:r>
          </w:p>
        </w:tc>
        <w:tc>
          <w:tcPr>
            <w:tcW w:w="1134" w:type="dxa"/>
            <w:tcBorders>
              <w:top w:val="single" w:sz="8" w:space="0" w:color="auto"/>
              <w:left w:val="nil"/>
              <w:bottom w:val="single" w:sz="8" w:space="0" w:color="auto"/>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b/>
                <w:bCs/>
                <w:sz w:val="22"/>
                <w:szCs w:val="22"/>
              </w:rPr>
            </w:pPr>
            <w:r w:rsidRPr="00883EC9">
              <w:rPr>
                <w:rFonts w:ascii="Times New Roman CE" w:hAnsi="Times New Roman CE" w:cs="Times New Roman CE"/>
                <w:b/>
                <w:bCs/>
                <w:sz w:val="22"/>
                <w:szCs w:val="22"/>
              </w:rPr>
              <w:t>3 434 143</w:t>
            </w:r>
          </w:p>
        </w:tc>
        <w:tc>
          <w:tcPr>
            <w:tcW w:w="1216" w:type="dxa"/>
            <w:tcBorders>
              <w:top w:val="single" w:sz="8" w:space="0" w:color="auto"/>
              <w:left w:val="nil"/>
              <w:bottom w:val="single" w:sz="8" w:space="0" w:color="auto"/>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b/>
                <w:bCs/>
                <w:sz w:val="22"/>
                <w:szCs w:val="22"/>
              </w:rPr>
            </w:pPr>
            <w:r w:rsidRPr="00883EC9">
              <w:rPr>
                <w:rFonts w:ascii="Times New Roman CE" w:hAnsi="Times New Roman CE" w:cs="Times New Roman CE"/>
                <w:b/>
                <w:bCs/>
                <w:sz w:val="22"/>
                <w:szCs w:val="22"/>
              </w:rPr>
              <w:t>7 293 046</w:t>
            </w:r>
          </w:p>
        </w:tc>
        <w:tc>
          <w:tcPr>
            <w:tcW w:w="1194" w:type="dxa"/>
            <w:tcBorders>
              <w:top w:val="single" w:sz="8" w:space="0" w:color="auto"/>
              <w:left w:val="nil"/>
              <w:bottom w:val="single" w:sz="8" w:space="0" w:color="auto"/>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b/>
                <w:bCs/>
                <w:sz w:val="22"/>
                <w:szCs w:val="22"/>
              </w:rPr>
            </w:pPr>
            <w:r w:rsidRPr="00883EC9">
              <w:rPr>
                <w:rFonts w:ascii="Times New Roman CE" w:hAnsi="Times New Roman CE" w:cs="Times New Roman CE"/>
                <w:b/>
                <w:bCs/>
                <w:sz w:val="22"/>
                <w:szCs w:val="22"/>
              </w:rPr>
              <w:t>3 474 710</w:t>
            </w:r>
          </w:p>
        </w:tc>
        <w:tc>
          <w:tcPr>
            <w:tcW w:w="1134" w:type="dxa"/>
            <w:tcBorders>
              <w:top w:val="single" w:sz="8" w:space="0" w:color="auto"/>
              <w:left w:val="nil"/>
              <w:bottom w:val="single" w:sz="8" w:space="0" w:color="auto"/>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b/>
                <w:bCs/>
                <w:sz w:val="22"/>
                <w:szCs w:val="22"/>
              </w:rPr>
            </w:pPr>
            <w:r w:rsidRPr="00883EC9">
              <w:rPr>
                <w:rFonts w:ascii="Times New Roman CE" w:hAnsi="Times New Roman CE" w:cs="Times New Roman CE"/>
                <w:b/>
                <w:bCs/>
                <w:sz w:val="22"/>
                <w:szCs w:val="22"/>
              </w:rPr>
              <w:t>101,2%</w:t>
            </w:r>
          </w:p>
        </w:tc>
        <w:tc>
          <w:tcPr>
            <w:tcW w:w="992" w:type="dxa"/>
            <w:tcBorders>
              <w:top w:val="single" w:sz="8" w:space="0" w:color="auto"/>
              <w:left w:val="nil"/>
              <w:bottom w:val="single" w:sz="8" w:space="0" w:color="auto"/>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b/>
                <w:bCs/>
                <w:sz w:val="22"/>
                <w:szCs w:val="22"/>
              </w:rPr>
            </w:pPr>
            <w:r w:rsidRPr="00883EC9">
              <w:rPr>
                <w:rFonts w:ascii="Times New Roman CE" w:hAnsi="Times New Roman CE" w:cs="Times New Roman CE"/>
                <w:b/>
                <w:bCs/>
                <w:sz w:val="22"/>
                <w:szCs w:val="22"/>
              </w:rPr>
              <w:t>47,6%</w:t>
            </w:r>
          </w:p>
        </w:tc>
      </w:tr>
      <w:tr w:rsidR="005D13B4" w:rsidRPr="00883EC9" w:rsidTr="006E2DB4">
        <w:trPr>
          <w:trHeight w:val="315"/>
        </w:trPr>
        <w:tc>
          <w:tcPr>
            <w:tcW w:w="4111" w:type="dxa"/>
            <w:tcBorders>
              <w:top w:val="nil"/>
              <w:left w:val="nil"/>
              <w:bottom w:val="single" w:sz="8" w:space="0" w:color="auto"/>
              <w:right w:val="nil"/>
            </w:tcBorders>
            <w:shd w:val="clear" w:color="auto" w:fill="auto"/>
            <w:noWrap/>
            <w:vAlign w:val="center"/>
            <w:hideMark/>
          </w:tcPr>
          <w:p w:rsidR="005D13B4" w:rsidRPr="00883EC9" w:rsidRDefault="005D13B4" w:rsidP="005D13B4">
            <w:pPr>
              <w:rPr>
                <w:rFonts w:ascii="Times New Roman CE" w:hAnsi="Times New Roman CE" w:cs="Times New Roman CE"/>
                <w:i/>
                <w:iCs/>
                <w:sz w:val="22"/>
                <w:szCs w:val="22"/>
              </w:rPr>
            </w:pPr>
            <w:r w:rsidRPr="00883EC9">
              <w:rPr>
                <w:rFonts w:ascii="Times New Roman CE" w:hAnsi="Times New Roman CE" w:cs="Times New Roman CE"/>
                <w:i/>
                <w:iCs/>
                <w:sz w:val="22"/>
                <w:szCs w:val="22"/>
              </w:rPr>
              <w:t>Pénzügyi műveletek ráfordításai</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273</w:t>
            </w:r>
          </w:p>
        </w:tc>
        <w:tc>
          <w:tcPr>
            <w:tcW w:w="1216"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1 000</w:t>
            </w:r>
          </w:p>
        </w:tc>
        <w:tc>
          <w:tcPr>
            <w:tcW w:w="119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sz w:val="22"/>
                <w:szCs w:val="22"/>
              </w:rPr>
            </w:pPr>
            <w:r w:rsidRPr="00883EC9">
              <w:rPr>
                <w:rFonts w:ascii="Times New Roman CE" w:hAnsi="Times New Roman CE" w:cs="Times New Roman CE"/>
                <w:sz w:val="22"/>
                <w:szCs w:val="22"/>
              </w:rPr>
              <w:t>128</w:t>
            </w:r>
          </w:p>
        </w:tc>
        <w:tc>
          <w:tcPr>
            <w:tcW w:w="1134" w:type="dxa"/>
            <w:tcBorders>
              <w:top w:val="nil"/>
              <w:left w:val="nil"/>
              <w:bottom w:val="nil"/>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46,9%</w:t>
            </w:r>
          </w:p>
        </w:tc>
        <w:tc>
          <w:tcPr>
            <w:tcW w:w="992" w:type="dxa"/>
            <w:tcBorders>
              <w:top w:val="nil"/>
              <w:left w:val="nil"/>
              <w:bottom w:val="single" w:sz="8" w:space="0" w:color="auto"/>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12,8%</w:t>
            </w:r>
          </w:p>
        </w:tc>
      </w:tr>
      <w:tr w:rsidR="005D13B4" w:rsidRPr="00883EC9" w:rsidTr="006E2DB4">
        <w:trPr>
          <w:trHeight w:val="60"/>
        </w:trPr>
        <w:tc>
          <w:tcPr>
            <w:tcW w:w="4111" w:type="dxa"/>
            <w:tcBorders>
              <w:top w:val="nil"/>
              <w:left w:val="nil"/>
              <w:bottom w:val="nil"/>
              <w:right w:val="nil"/>
            </w:tcBorders>
            <w:shd w:val="clear" w:color="auto" w:fill="auto"/>
            <w:noWrap/>
            <w:vAlign w:val="bottom"/>
            <w:hideMark/>
          </w:tcPr>
          <w:p w:rsidR="005D13B4" w:rsidRPr="00883EC9" w:rsidRDefault="005D13B4" w:rsidP="005D13B4">
            <w:pPr>
              <w:rPr>
                <w:b/>
                <w:bCs/>
                <w:sz w:val="22"/>
                <w:szCs w:val="22"/>
              </w:rPr>
            </w:pPr>
            <w:r w:rsidRPr="00883EC9">
              <w:rPr>
                <w:b/>
                <w:bCs/>
                <w:sz w:val="22"/>
                <w:szCs w:val="22"/>
              </w:rPr>
              <w:t xml:space="preserve">Szokásos </w:t>
            </w:r>
            <w:proofErr w:type="spellStart"/>
            <w:r w:rsidRPr="00883EC9">
              <w:rPr>
                <w:b/>
                <w:bCs/>
                <w:sz w:val="22"/>
                <w:szCs w:val="22"/>
              </w:rPr>
              <w:t>vállalk.költségek</w:t>
            </w:r>
            <w:proofErr w:type="spellEnd"/>
            <w:r w:rsidRPr="00883EC9">
              <w:rPr>
                <w:b/>
                <w:bCs/>
                <w:sz w:val="22"/>
                <w:szCs w:val="22"/>
              </w:rPr>
              <w:t xml:space="preserve"> és </w:t>
            </w:r>
            <w:proofErr w:type="spellStart"/>
            <w:r w:rsidRPr="00883EC9">
              <w:rPr>
                <w:b/>
                <w:bCs/>
                <w:sz w:val="22"/>
                <w:szCs w:val="22"/>
              </w:rPr>
              <w:t>ráford</w:t>
            </w:r>
            <w:proofErr w:type="spellEnd"/>
            <w:r w:rsidRPr="00883EC9">
              <w:rPr>
                <w:b/>
                <w:bCs/>
                <w:sz w:val="22"/>
                <w:szCs w:val="22"/>
              </w:rPr>
              <w:t>.</w:t>
            </w:r>
          </w:p>
        </w:tc>
        <w:tc>
          <w:tcPr>
            <w:tcW w:w="1134" w:type="dxa"/>
            <w:tcBorders>
              <w:top w:val="single" w:sz="8" w:space="0" w:color="auto"/>
              <w:left w:val="nil"/>
              <w:bottom w:val="single" w:sz="8" w:space="0" w:color="auto"/>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b/>
                <w:bCs/>
                <w:sz w:val="22"/>
                <w:szCs w:val="22"/>
              </w:rPr>
            </w:pPr>
            <w:r w:rsidRPr="00883EC9">
              <w:rPr>
                <w:rFonts w:ascii="Times New Roman CE" w:hAnsi="Times New Roman CE" w:cs="Times New Roman CE"/>
                <w:b/>
                <w:bCs/>
                <w:sz w:val="22"/>
                <w:szCs w:val="22"/>
              </w:rPr>
              <w:t>3 434 416</w:t>
            </w:r>
          </w:p>
        </w:tc>
        <w:tc>
          <w:tcPr>
            <w:tcW w:w="1216" w:type="dxa"/>
            <w:tcBorders>
              <w:top w:val="single" w:sz="8" w:space="0" w:color="auto"/>
              <w:left w:val="nil"/>
              <w:bottom w:val="single" w:sz="8" w:space="0" w:color="auto"/>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b/>
                <w:bCs/>
                <w:sz w:val="22"/>
                <w:szCs w:val="22"/>
              </w:rPr>
            </w:pPr>
            <w:r w:rsidRPr="00883EC9">
              <w:rPr>
                <w:rFonts w:ascii="Times New Roman CE" w:hAnsi="Times New Roman CE" w:cs="Times New Roman CE"/>
                <w:b/>
                <w:bCs/>
                <w:sz w:val="22"/>
                <w:szCs w:val="22"/>
              </w:rPr>
              <w:t>7 294 046</w:t>
            </w:r>
          </w:p>
        </w:tc>
        <w:tc>
          <w:tcPr>
            <w:tcW w:w="1194" w:type="dxa"/>
            <w:tcBorders>
              <w:top w:val="single" w:sz="8" w:space="0" w:color="auto"/>
              <w:left w:val="nil"/>
              <w:bottom w:val="single" w:sz="8" w:space="0" w:color="auto"/>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b/>
                <w:bCs/>
                <w:sz w:val="22"/>
                <w:szCs w:val="22"/>
              </w:rPr>
            </w:pPr>
            <w:r w:rsidRPr="00883EC9">
              <w:rPr>
                <w:rFonts w:ascii="Times New Roman CE" w:hAnsi="Times New Roman CE" w:cs="Times New Roman CE"/>
                <w:b/>
                <w:bCs/>
                <w:sz w:val="22"/>
                <w:szCs w:val="22"/>
              </w:rPr>
              <w:t>3 474 838</w:t>
            </w:r>
          </w:p>
        </w:tc>
        <w:tc>
          <w:tcPr>
            <w:tcW w:w="1134" w:type="dxa"/>
            <w:tcBorders>
              <w:top w:val="single" w:sz="8" w:space="0" w:color="auto"/>
              <w:left w:val="nil"/>
              <w:bottom w:val="single" w:sz="8" w:space="0" w:color="auto"/>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b/>
                <w:bCs/>
                <w:sz w:val="22"/>
                <w:szCs w:val="22"/>
              </w:rPr>
            </w:pPr>
            <w:r w:rsidRPr="00883EC9">
              <w:rPr>
                <w:rFonts w:ascii="Times New Roman CE" w:hAnsi="Times New Roman CE" w:cs="Times New Roman CE"/>
                <w:b/>
                <w:bCs/>
                <w:sz w:val="22"/>
                <w:szCs w:val="22"/>
              </w:rPr>
              <w:t>101,2%</w:t>
            </w:r>
          </w:p>
        </w:tc>
        <w:tc>
          <w:tcPr>
            <w:tcW w:w="992" w:type="dxa"/>
            <w:tcBorders>
              <w:top w:val="nil"/>
              <w:left w:val="nil"/>
              <w:bottom w:val="single" w:sz="8" w:space="0" w:color="auto"/>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b/>
                <w:bCs/>
                <w:sz w:val="22"/>
                <w:szCs w:val="22"/>
              </w:rPr>
            </w:pPr>
            <w:r w:rsidRPr="00883EC9">
              <w:rPr>
                <w:rFonts w:ascii="Times New Roman CE" w:hAnsi="Times New Roman CE" w:cs="Times New Roman CE"/>
                <w:b/>
                <w:bCs/>
                <w:sz w:val="22"/>
                <w:szCs w:val="22"/>
              </w:rPr>
              <w:t>47,6%</w:t>
            </w:r>
          </w:p>
        </w:tc>
      </w:tr>
      <w:tr w:rsidR="005D13B4" w:rsidRPr="00883EC9" w:rsidTr="006E2DB4">
        <w:trPr>
          <w:trHeight w:val="300"/>
        </w:trPr>
        <w:tc>
          <w:tcPr>
            <w:tcW w:w="4111" w:type="dxa"/>
            <w:tcBorders>
              <w:top w:val="single" w:sz="8" w:space="0" w:color="auto"/>
              <w:left w:val="nil"/>
              <w:bottom w:val="single" w:sz="8" w:space="0" w:color="auto"/>
              <w:right w:val="nil"/>
            </w:tcBorders>
            <w:shd w:val="clear" w:color="auto" w:fill="auto"/>
            <w:vAlign w:val="center"/>
            <w:hideMark/>
          </w:tcPr>
          <w:p w:rsidR="005D13B4" w:rsidRPr="00883EC9" w:rsidRDefault="005D13B4" w:rsidP="005D13B4">
            <w:pPr>
              <w:rPr>
                <w:rFonts w:ascii="Times New Roman CE" w:hAnsi="Times New Roman CE" w:cs="Times New Roman CE"/>
                <w:b/>
                <w:bCs/>
                <w:sz w:val="22"/>
                <w:szCs w:val="22"/>
              </w:rPr>
            </w:pPr>
            <w:r w:rsidRPr="00883EC9">
              <w:rPr>
                <w:rFonts w:ascii="Times New Roman CE" w:hAnsi="Times New Roman CE" w:cs="Times New Roman CE"/>
                <w:b/>
                <w:bCs/>
                <w:sz w:val="22"/>
                <w:szCs w:val="22"/>
              </w:rPr>
              <w:t>Költségek és ráfordítások összesen</w:t>
            </w:r>
          </w:p>
        </w:tc>
        <w:tc>
          <w:tcPr>
            <w:tcW w:w="1134" w:type="dxa"/>
            <w:tcBorders>
              <w:top w:val="nil"/>
              <w:left w:val="nil"/>
              <w:bottom w:val="single" w:sz="8" w:space="0" w:color="auto"/>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b/>
                <w:bCs/>
                <w:sz w:val="22"/>
                <w:szCs w:val="22"/>
              </w:rPr>
            </w:pPr>
            <w:r w:rsidRPr="00883EC9">
              <w:rPr>
                <w:rFonts w:ascii="Times New Roman CE" w:hAnsi="Times New Roman CE" w:cs="Times New Roman CE"/>
                <w:b/>
                <w:bCs/>
                <w:sz w:val="22"/>
                <w:szCs w:val="22"/>
              </w:rPr>
              <w:t>3 434 416</w:t>
            </w:r>
          </w:p>
        </w:tc>
        <w:tc>
          <w:tcPr>
            <w:tcW w:w="1216" w:type="dxa"/>
            <w:tcBorders>
              <w:top w:val="nil"/>
              <w:left w:val="nil"/>
              <w:bottom w:val="single" w:sz="8" w:space="0" w:color="auto"/>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b/>
                <w:bCs/>
                <w:sz w:val="22"/>
                <w:szCs w:val="22"/>
              </w:rPr>
            </w:pPr>
            <w:r w:rsidRPr="00883EC9">
              <w:rPr>
                <w:rFonts w:ascii="Times New Roman CE" w:hAnsi="Times New Roman CE" w:cs="Times New Roman CE"/>
                <w:b/>
                <w:bCs/>
                <w:sz w:val="22"/>
                <w:szCs w:val="22"/>
              </w:rPr>
              <w:t>7 294 046</w:t>
            </w:r>
          </w:p>
        </w:tc>
        <w:tc>
          <w:tcPr>
            <w:tcW w:w="1194" w:type="dxa"/>
            <w:tcBorders>
              <w:top w:val="nil"/>
              <w:left w:val="nil"/>
              <w:bottom w:val="single" w:sz="8" w:space="0" w:color="auto"/>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b/>
                <w:bCs/>
                <w:sz w:val="22"/>
                <w:szCs w:val="22"/>
              </w:rPr>
            </w:pPr>
            <w:r w:rsidRPr="00883EC9">
              <w:rPr>
                <w:rFonts w:ascii="Times New Roman CE" w:hAnsi="Times New Roman CE" w:cs="Times New Roman CE"/>
                <w:b/>
                <w:bCs/>
                <w:sz w:val="22"/>
                <w:szCs w:val="22"/>
              </w:rPr>
              <w:t>3 474 838</w:t>
            </w:r>
          </w:p>
        </w:tc>
        <w:tc>
          <w:tcPr>
            <w:tcW w:w="1134" w:type="dxa"/>
            <w:tcBorders>
              <w:top w:val="nil"/>
              <w:left w:val="nil"/>
              <w:bottom w:val="single" w:sz="8" w:space="0" w:color="auto"/>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b/>
                <w:bCs/>
                <w:sz w:val="22"/>
                <w:szCs w:val="22"/>
              </w:rPr>
            </w:pPr>
            <w:r w:rsidRPr="00883EC9">
              <w:rPr>
                <w:rFonts w:ascii="Times New Roman CE" w:hAnsi="Times New Roman CE" w:cs="Times New Roman CE"/>
                <w:b/>
                <w:bCs/>
                <w:sz w:val="22"/>
                <w:szCs w:val="22"/>
              </w:rPr>
              <w:t>101,2%</w:t>
            </w:r>
          </w:p>
        </w:tc>
        <w:tc>
          <w:tcPr>
            <w:tcW w:w="992" w:type="dxa"/>
            <w:tcBorders>
              <w:top w:val="nil"/>
              <w:left w:val="nil"/>
              <w:bottom w:val="single" w:sz="8" w:space="0" w:color="auto"/>
              <w:right w:val="nil"/>
            </w:tcBorders>
            <w:shd w:val="clear" w:color="auto" w:fill="auto"/>
            <w:noWrap/>
            <w:vAlign w:val="center"/>
            <w:hideMark/>
          </w:tcPr>
          <w:p w:rsidR="005D13B4" w:rsidRPr="00883EC9" w:rsidRDefault="005D13B4" w:rsidP="005D13B4">
            <w:pPr>
              <w:jc w:val="right"/>
              <w:rPr>
                <w:rFonts w:ascii="Times New Roman CE" w:hAnsi="Times New Roman CE" w:cs="Times New Roman CE"/>
                <w:b/>
                <w:bCs/>
                <w:sz w:val="22"/>
                <w:szCs w:val="22"/>
              </w:rPr>
            </w:pPr>
            <w:r w:rsidRPr="00883EC9">
              <w:rPr>
                <w:rFonts w:ascii="Times New Roman CE" w:hAnsi="Times New Roman CE" w:cs="Times New Roman CE"/>
                <w:b/>
                <w:bCs/>
                <w:sz w:val="22"/>
                <w:szCs w:val="22"/>
              </w:rPr>
              <w:t>47,6%</w:t>
            </w:r>
          </w:p>
        </w:tc>
      </w:tr>
    </w:tbl>
    <w:p w:rsidR="005D13B4" w:rsidRPr="00883EC9" w:rsidRDefault="005D13B4" w:rsidP="00D5597F">
      <w:pPr>
        <w:jc w:val="both"/>
        <w:rPr>
          <w:b/>
          <w:bCs/>
          <w:i/>
          <w:sz w:val="23"/>
        </w:rPr>
      </w:pPr>
    </w:p>
    <w:tbl>
      <w:tblPr>
        <w:tblW w:w="9072" w:type="dxa"/>
        <w:tblCellMar>
          <w:left w:w="70" w:type="dxa"/>
          <w:right w:w="70" w:type="dxa"/>
        </w:tblCellMar>
        <w:tblLook w:val="04A0" w:firstRow="1" w:lastRow="0" w:firstColumn="1" w:lastColumn="0" w:noHBand="0" w:noVBand="1"/>
      </w:tblPr>
      <w:tblGrid>
        <w:gridCol w:w="6521"/>
        <w:gridCol w:w="1417"/>
        <w:gridCol w:w="993"/>
        <w:gridCol w:w="141"/>
      </w:tblGrid>
      <w:tr w:rsidR="00657460" w:rsidRPr="00883EC9" w:rsidTr="00657460">
        <w:trPr>
          <w:trHeight w:val="300"/>
        </w:trPr>
        <w:tc>
          <w:tcPr>
            <w:tcW w:w="6521" w:type="dxa"/>
            <w:tcBorders>
              <w:top w:val="nil"/>
              <w:left w:val="nil"/>
              <w:bottom w:val="single" w:sz="4" w:space="0" w:color="auto"/>
              <w:right w:val="nil"/>
            </w:tcBorders>
            <w:shd w:val="clear" w:color="auto" w:fill="auto"/>
            <w:vAlign w:val="bottom"/>
            <w:hideMark/>
          </w:tcPr>
          <w:p w:rsidR="00657460" w:rsidRPr="00883EC9" w:rsidRDefault="00657460" w:rsidP="00920BB3">
            <w:pPr>
              <w:rPr>
                <w:i/>
                <w:sz w:val="24"/>
                <w:szCs w:val="24"/>
              </w:rPr>
            </w:pPr>
            <w:r w:rsidRPr="00883EC9">
              <w:rPr>
                <w:i/>
                <w:sz w:val="24"/>
                <w:szCs w:val="24"/>
              </w:rPr>
              <w:br w:type="page"/>
            </w:r>
            <w:r w:rsidRPr="00883EC9">
              <w:rPr>
                <w:i/>
                <w:sz w:val="24"/>
                <w:szCs w:val="24"/>
              </w:rPr>
              <w:br w:type="page"/>
            </w:r>
            <w:r w:rsidRPr="00883EC9">
              <w:rPr>
                <w:i/>
                <w:sz w:val="24"/>
                <w:szCs w:val="24"/>
              </w:rPr>
              <w:br w:type="page"/>
              <w:t>Kö</w:t>
            </w:r>
            <w:r w:rsidRPr="00883EC9">
              <w:rPr>
                <w:rFonts w:hint="eastAsia"/>
                <w:i/>
                <w:sz w:val="24"/>
                <w:szCs w:val="24"/>
              </w:rPr>
              <w:t>ltség korrekciók</w:t>
            </w:r>
          </w:p>
        </w:tc>
        <w:tc>
          <w:tcPr>
            <w:tcW w:w="2551" w:type="dxa"/>
            <w:gridSpan w:val="3"/>
            <w:tcBorders>
              <w:top w:val="nil"/>
              <w:left w:val="nil"/>
              <w:bottom w:val="single" w:sz="4" w:space="0" w:color="auto"/>
              <w:right w:val="nil"/>
            </w:tcBorders>
            <w:shd w:val="clear" w:color="auto" w:fill="auto"/>
            <w:noWrap/>
            <w:vAlign w:val="bottom"/>
            <w:hideMark/>
          </w:tcPr>
          <w:p w:rsidR="00657460" w:rsidRPr="00883EC9" w:rsidRDefault="00657460" w:rsidP="00657460">
            <w:pPr>
              <w:jc w:val="right"/>
              <w:rPr>
                <w:i/>
                <w:sz w:val="24"/>
                <w:szCs w:val="24"/>
              </w:rPr>
            </w:pPr>
            <w:r w:rsidRPr="00883EC9">
              <w:rPr>
                <w:rFonts w:hint="eastAsia"/>
                <w:i/>
                <w:sz w:val="24"/>
                <w:szCs w:val="24"/>
              </w:rPr>
              <w:t>Korrekció</w:t>
            </w:r>
            <w:r w:rsidRPr="00883EC9">
              <w:rPr>
                <w:i/>
                <w:sz w:val="24"/>
                <w:szCs w:val="24"/>
              </w:rPr>
              <w:t xml:space="preserve"> </w:t>
            </w:r>
            <w:r w:rsidRPr="00883EC9">
              <w:rPr>
                <w:rFonts w:hint="eastAsia"/>
                <w:i/>
                <w:sz w:val="24"/>
                <w:szCs w:val="24"/>
              </w:rPr>
              <w:t>összege (</w:t>
            </w:r>
            <w:proofErr w:type="spellStart"/>
            <w:r w:rsidRPr="00883EC9">
              <w:rPr>
                <w:rFonts w:hint="eastAsia"/>
                <w:i/>
                <w:sz w:val="24"/>
                <w:szCs w:val="24"/>
              </w:rPr>
              <w:t>eFt</w:t>
            </w:r>
            <w:proofErr w:type="spellEnd"/>
            <w:r w:rsidRPr="00883EC9">
              <w:rPr>
                <w:rFonts w:hint="eastAsia"/>
                <w:i/>
                <w:sz w:val="24"/>
                <w:szCs w:val="24"/>
              </w:rPr>
              <w:t>)</w:t>
            </w:r>
          </w:p>
        </w:tc>
      </w:tr>
      <w:tr w:rsidR="00657460" w:rsidRPr="00883EC9" w:rsidTr="00657460">
        <w:trPr>
          <w:gridAfter w:val="1"/>
          <w:wAfter w:w="141" w:type="dxa"/>
          <w:trHeight w:val="300"/>
        </w:trPr>
        <w:tc>
          <w:tcPr>
            <w:tcW w:w="7938" w:type="dxa"/>
            <w:gridSpan w:val="2"/>
            <w:tcBorders>
              <w:top w:val="nil"/>
              <w:left w:val="nil"/>
              <w:bottom w:val="nil"/>
              <w:right w:val="nil"/>
            </w:tcBorders>
            <w:shd w:val="clear" w:color="auto" w:fill="auto"/>
            <w:vAlign w:val="bottom"/>
            <w:hideMark/>
          </w:tcPr>
          <w:p w:rsidR="00657460" w:rsidRPr="00883EC9" w:rsidRDefault="00657460" w:rsidP="00657460">
            <w:pPr>
              <w:rPr>
                <w:sz w:val="22"/>
                <w:szCs w:val="22"/>
              </w:rPr>
            </w:pPr>
            <w:r w:rsidRPr="00883EC9">
              <w:rPr>
                <w:sz w:val="22"/>
                <w:szCs w:val="22"/>
              </w:rPr>
              <w:t>Villamos energia (I. félévre vonatkozó számlák és számított fogyasztás)</w:t>
            </w:r>
          </w:p>
        </w:tc>
        <w:tc>
          <w:tcPr>
            <w:tcW w:w="993" w:type="dxa"/>
            <w:tcBorders>
              <w:top w:val="nil"/>
              <w:left w:val="nil"/>
              <w:bottom w:val="nil"/>
              <w:right w:val="nil"/>
            </w:tcBorders>
            <w:shd w:val="clear" w:color="auto" w:fill="auto"/>
            <w:noWrap/>
            <w:vAlign w:val="bottom"/>
            <w:hideMark/>
          </w:tcPr>
          <w:p w:rsidR="00657460" w:rsidRPr="00883EC9" w:rsidRDefault="00657460" w:rsidP="00657460">
            <w:pPr>
              <w:jc w:val="right"/>
              <w:rPr>
                <w:sz w:val="22"/>
                <w:szCs w:val="22"/>
              </w:rPr>
            </w:pPr>
            <w:r w:rsidRPr="00883EC9">
              <w:rPr>
                <w:sz w:val="22"/>
                <w:szCs w:val="22"/>
              </w:rPr>
              <w:t>86 507</w:t>
            </w:r>
          </w:p>
        </w:tc>
      </w:tr>
      <w:tr w:rsidR="00657460" w:rsidRPr="00883EC9" w:rsidTr="00657460">
        <w:trPr>
          <w:gridAfter w:val="1"/>
          <w:wAfter w:w="141" w:type="dxa"/>
          <w:trHeight w:val="151"/>
        </w:trPr>
        <w:tc>
          <w:tcPr>
            <w:tcW w:w="7938" w:type="dxa"/>
            <w:gridSpan w:val="2"/>
            <w:tcBorders>
              <w:top w:val="nil"/>
              <w:left w:val="nil"/>
              <w:bottom w:val="nil"/>
              <w:right w:val="nil"/>
            </w:tcBorders>
            <w:shd w:val="clear" w:color="auto" w:fill="auto"/>
            <w:vAlign w:val="bottom"/>
            <w:hideMark/>
          </w:tcPr>
          <w:p w:rsidR="00657460" w:rsidRPr="00883EC9" w:rsidRDefault="00FB22BD" w:rsidP="00657460">
            <w:pPr>
              <w:rPr>
                <w:sz w:val="22"/>
                <w:szCs w:val="22"/>
              </w:rPr>
            </w:pPr>
            <w:r>
              <w:rPr>
                <w:sz w:val="22"/>
                <w:szCs w:val="22"/>
              </w:rPr>
              <w:t>Földgáz, üzemanyag (I</w:t>
            </w:r>
            <w:r w:rsidR="00657460" w:rsidRPr="00883EC9">
              <w:rPr>
                <w:sz w:val="22"/>
                <w:szCs w:val="22"/>
              </w:rPr>
              <w:t>.</w:t>
            </w:r>
            <w:r>
              <w:rPr>
                <w:sz w:val="22"/>
                <w:szCs w:val="22"/>
              </w:rPr>
              <w:t xml:space="preserve"> </w:t>
            </w:r>
            <w:r w:rsidR="00657460" w:rsidRPr="00883EC9">
              <w:rPr>
                <w:sz w:val="22"/>
                <w:szCs w:val="22"/>
              </w:rPr>
              <w:t>félévre vonatkozó számlák alapján és számított fogyasztás)</w:t>
            </w:r>
          </w:p>
        </w:tc>
        <w:tc>
          <w:tcPr>
            <w:tcW w:w="993" w:type="dxa"/>
            <w:tcBorders>
              <w:top w:val="nil"/>
              <w:left w:val="nil"/>
              <w:bottom w:val="nil"/>
              <w:right w:val="nil"/>
            </w:tcBorders>
            <w:shd w:val="clear" w:color="auto" w:fill="auto"/>
            <w:noWrap/>
            <w:vAlign w:val="bottom"/>
            <w:hideMark/>
          </w:tcPr>
          <w:p w:rsidR="00657460" w:rsidRPr="00883EC9" w:rsidRDefault="00657460" w:rsidP="00657460">
            <w:pPr>
              <w:jc w:val="right"/>
              <w:rPr>
                <w:sz w:val="22"/>
                <w:szCs w:val="22"/>
              </w:rPr>
            </w:pPr>
            <w:r w:rsidRPr="00883EC9">
              <w:rPr>
                <w:sz w:val="22"/>
                <w:szCs w:val="22"/>
              </w:rPr>
              <w:t>11 459</w:t>
            </w:r>
          </w:p>
        </w:tc>
      </w:tr>
      <w:tr w:rsidR="00657460" w:rsidRPr="00883EC9" w:rsidTr="00657460">
        <w:trPr>
          <w:gridAfter w:val="1"/>
          <w:wAfter w:w="141" w:type="dxa"/>
          <w:trHeight w:val="184"/>
        </w:trPr>
        <w:tc>
          <w:tcPr>
            <w:tcW w:w="7938" w:type="dxa"/>
            <w:gridSpan w:val="2"/>
            <w:tcBorders>
              <w:top w:val="nil"/>
              <w:left w:val="nil"/>
              <w:bottom w:val="nil"/>
              <w:right w:val="nil"/>
            </w:tcBorders>
            <w:shd w:val="clear" w:color="auto" w:fill="auto"/>
            <w:vAlign w:val="bottom"/>
            <w:hideMark/>
          </w:tcPr>
          <w:p w:rsidR="00657460" w:rsidRPr="00883EC9" w:rsidRDefault="00657460" w:rsidP="00657460">
            <w:pPr>
              <w:rPr>
                <w:sz w:val="22"/>
                <w:szCs w:val="22"/>
              </w:rPr>
            </w:pPr>
            <w:r w:rsidRPr="00883EC9">
              <w:rPr>
                <w:sz w:val="22"/>
                <w:szCs w:val="22"/>
              </w:rPr>
              <w:t xml:space="preserve">Üzemelt. </w:t>
            </w:r>
            <w:proofErr w:type="spellStart"/>
            <w:r w:rsidRPr="00883EC9">
              <w:rPr>
                <w:sz w:val="22"/>
                <w:szCs w:val="22"/>
              </w:rPr>
              <w:t>eszk</w:t>
            </w:r>
            <w:proofErr w:type="spellEnd"/>
            <w:r w:rsidRPr="00883EC9">
              <w:rPr>
                <w:sz w:val="22"/>
                <w:szCs w:val="22"/>
              </w:rPr>
              <w:t xml:space="preserve">. </w:t>
            </w:r>
            <w:proofErr w:type="spellStart"/>
            <w:r w:rsidRPr="00883EC9">
              <w:rPr>
                <w:sz w:val="22"/>
                <w:szCs w:val="22"/>
              </w:rPr>
              <w:t>haszn</w:t>
            </w:r>
            <w:proofErr w:type="spellEnd"/>
            <w:r w:rsidRPr="00883EC9">
              <w:rPr>
                <w:sz w:val="22"/>
                <w:szCs w:val="22"/>
              </w:rPr>
              <w:t xml:space="preserve">. díja (még be nem érk. I. félévre vonatkozó </w:t>
            </w:r>
            <w:proofErr w:type="spellStart"/>
            <w:r w:rsidRPr="00883EC9">
              <w:rPr>
                <w:sz w:val="22"/>
                <w:szCs w:val="22"/>
              </w:rPr>
              <w:t>haszn</w:t>
            </w:r>
            <w:proofErr w:type="spellEnd"/>
            <w:r w:rsidRPr="00883EC9">
              <w:rPr>
                <w:sz w:val="22"/>
                <w:szCs w:val="22"/>
              </w:rPr>
              <w:t xml:space="preserve">. díj </w:t>
            </w:r>
            <w:proofErr w:type="spellStart"/>
            <w:r w:rsidRPr="00883EC9">
              <w:rPr>
                <w:sz w:val="22"/>
                <w:szCs w:val="22"/>
              </w:rPr>
              <w:t>szlák</w:t>
            </w:r>
            <w:proofErr w:type="spellEnd"/>
            <w:r w:rsidRPr="00883EC9">
              <w:rPr>
                <w:sz w:val="22"/>
                <w:szCs w:val="22"/>
              </w:rPr>
              <w:t>)</w:t>
            </w:r>
          </w:p>
        </w:tc>
        <w:tc>
          <w:tcPr>
            <w:tcW w:w="993" w:type="dxa"/>
            <w:tcBorders>
              <w:top w:val="nil"/>
              <w:left w:val="nil"/>
              <w:bottom w:val="nil"/>
              <w:right w:val="nil"/>
            </w:tcBorders>
            <w:shd w:val="clear" w:color="auto" w:fill="auto"/>
            <w:noWrap/>
            <w:vAlign w:val="bottom"/>
            <w:hideMark/>
          </w:tcPr>
          <w:p w:rsidR="00657460" w:rsidRPr="00883EC9" w:rsidRDefault="00657460" w:rsidP="00657460">
            <w:pPr>
              <w:jc w:val="right"/>
              <w:rPr>
                <w:sz w:val="22"/>
                <w:szCs w:val="22"/>
              </w:rPr>
            </w:pPr>
            <w:r w:rsidRPr="00883EC9">
              <w:rPr>
                <w:sz w:val="22"/>
                <w:szCs w:val="22"/>
              </w:rPr>
              <w:t>406 236</w:t>
            </w:r>
          </w:p>
        </w:tc>
      </w:tr>
      <w:tr w:rsidR="00657460" w:rsidRPr="00883EC9" w:rsidTr="00657460">
        <w:trPr>
          <w:gridAfter w:val="1"/>
          <w:wAfter w:w="141" w:type="dxa"/>
          <w:trHeight w:val="229"/>
        </w:trPr>
        <w:tc>
          <w:tcPr>
            <w:tcW w:w="7938" w:type="dxa"/>
            <w:gridSpan w:val="2"/>
            <w:tcBorders>
              <w:top w:val="nil"/>
              <w:left w:val="nil"/>
              <w:bottom w:val="nil"/>
              <w:right w:val="nil"/>
            </w:tcBorders>
            <w:shd w:val="clear" w:color="auto" w:fill="auto"/>
            <w:vAlign w:val="bottom"/>
            <w:hideMark/>
          </w:tcPr>
          <w:p w:rsidR="00657460" w:rsidRPr="00883EC9" w:rsidRDefault="00657460" w:rsidP="00657460">
            <w:pPr>
              <w:rPr>
                <w:sz w:val="22"/>
                <w:szCs w:val="22"/>
              </w:rPr>
            </w:pPr>
            <w:r w:rsidRPr="00883EC9">
              <w:rPr>
                <w:sz w:val="22"/>
                <w:szCs w:val="22"/>
              </w:rPr>
              <w:t>Idegen fenntartás (június hónapra vonatkozó számlák)</w:t>
            </w:r>
          </w:p>
        </w:tc>
        <w:tc>
          <w:tcPr>
            <w:tcW w:w="993" w:type="dxa"/>
            <w:tcBorders>
              <w:top w:val="nil"/>
              <w:left w:val="nil"/>
              <w:bottom w:val="nil"/>
              <w:right w:val="nil"/>
            </w:tcBorders>
            <w:shd w:val="clear" w:color="auto" w:fill="auto"/>
            <w:noWrap/>
            <w:vAlign w:val="bottom"/>
            <w:hideMark/>
          </w:tcPr>
          <w:p w:rsidR="00657460" w:rsidRPr="00883EC9" w:rsidRDefault="00657460" w:rsidP="00657460">
            <w:pPr>
              <w:jc w:val="right"/>
              <w:rPr>
                <w:sz w:val="22"/>
                <w:szCs w:val="22"/>
              </w:rPr>
            </w:pPr>
            <w:r w:rsidRPr="00883EC9">
              <w:rPr>
                <w:sz w:val="22"/>
                <w:szCs w:val="22"/>
              </w:rPr>
              <w:t>2 672</w:t>
            </w:r>
          </w:p>
        </w:tc>
      </w:tr>
      <w:tr w:rsidR="00657460" w:rsidRPr="00883EC9" w:rsidTr="00657460">
        <w:trPr>
          <w:gridAfter w:val="1"/>
          <w:wAfter w:w="141" w:type="dxa"/>
          <w:trHeight w:val="106"/>
        </w:trPr>
        <w:tc>
          <w:tcPr>
            <w:tcW w:w="7938" w:type="dxa"/>
            <w:gridSpan w:val="2"/>
            <w:tcBorders>
              <w:top w:val="nil"/>
              <w:left w:val="nil"/>
              <w:bottom w:val="nil"/>
              <w:right w:val="nil"/>
            </w:tcBorders>
            <w:shd w:val="clear" w:color="auto" w:fill="auto"/>
            <w:vAlign w:val="bottom"/>
            <w:hideMark/>
          </w:tcPr>
          <w:p w:rsidR="00657460" w:rsidRPr="00883EC9" w:rsidRDefault="00657460" w:rsidP="00657460">
            <w:pPr>
              <w:rPr>
                <w:sz w:val="22"/>
                <w:szCs w:val="22"/>
              </w:rPr>
            </w:pPr>
            <w:r w:rsidRPr="00883EC9">
              <w:rPr>
                <w:sz w:val="22"/>
                <w:szCs w:val="22"/>
              </w:rPr>
              <w:t>Szentgotthárdi bérmunkadíj (II. negyedévi számla)</w:t>
            </w:r>
          </w:p>
        </w:tc>
        <w:tc>
          <w:tcPr>
            <w:tcW w:w="993" w:type="dxa"/>
            <w:tcBorders>
              <w:top w:val="nil"/>
              <w:left w:val="nil"/>
              <w:bottom w:val="nil"/>
              <w:right w:val="nil"/>
            </w:tcBorders>
            <w:shd w:val="clear" w:color="auto" w:fill="auto"/>
            <w:noWrap/>
            <w:vAlign w:val="bottom"/>
            <w:hideMark/>
          </w:tcPr>
          <w:p w:rsidR="00657460" w:rsidRPr="00883EC9" w:rsidRDefault="00657460" w:rsidP="00657460">
            <w:pPr>
              <w:jc w:val="right"/>
              <w:rPr>
                <w:sz w:val="22"/>
                <w:szCs w:val="22"/>
              </w:rPr>
            </w:pPr>
            <w:r w:rsidRPr="00883EC9">
              <w:rPr>
                <w:sz w:val="22"/>
                <w:szCs w:val="22"/>
              </w:rPr>
              <w:t>31 725</w:t>
            </w:r>
          </w:p>
        </w:tc>
      </w:tr>
      <w:tr w:rsidR="00657460" w:rsidRPr="00883EC9" w:rsidTr="00657460">
        <w:trPr>
          <w:gridAfter w:val="1"/>
          <w:wAfter w:w="141" w:type="dxa"/>
          <w:trHeight w:val="137"/>
        </w:trPr>
        <w:tc>
          <w:tcPr>
            <w:tcW w:w="7938" w:type="dxa"/>
            <w:gridSpan w:val="2"/>
            <w:tcBorders>
              <w:top w:val="nil"/>
              <w:left w:val="nil"/>
              <w:bottom w:val="nil"/>
              <w:right w:val="nil"/>
            </w:tcBorders>
            <w:shd w:val="clear" w:color="auto" w:fill="auto"/>
            <w:vAlign w:val="bottom"/>
            <w:hideMark/>
          </w:tcPr>
          <w:p w:rsidR="00657460" w:rsidRPr="00883EC9" w:rsidRDefault="00657460" w:rsidP="00657460">
            <w:pPr>
              <w:rPr>
                <w:sz w:val="22"/>
                <w:szCs w:val="22"/>
              </w:rPr>
            </w:pPr>
            <w:r w:rsidRPr="00883EC9">
              <w:rPr>
                <w:sz w:val="22"/>
                <w:szCs w:val="22"/>
              </w:rPr>
              <w:t>Szennyvíziszap</w:t>
            </w:r>
            <w:r w:rsidR="00FB22BD">
              <w:rPr>
                <w:sz w:val="22"/>
                <w:szCs w:val="22"/>
              </w:rPr>
              <w:t xml:space="preserve"> </w:t>
            </w:r>
            <w:r w:rsidRPr="00883EC9">
              <w:rPr>
                <w:sz w:val="22"/>
                <w:szCs w:val="22"/>
              </w:rPr>
              <w:t>elhelyezés (június havi számlák és számított tételek)</w:t>
            </w:r>
          </w:p>
        </w:tc>
        <w:tc>
          <w:tcPr>
            <w:tcW w:w="993" w:type="dxa"/>
            <w:tcBorders>
              <w:top w:val="nil"/>
              <w:left w:val="nil"/>
              <w:bottom w:val="nil"/>
              <w:right w:val="nil"/>
            </w:tcBorders>
            <w:shd w:val="clear" w:color="auto" w:fill="auto"/>
            <w:noWrap/>
            <w:vAlign w:val="bottom"/>
            <w:hideMark/>
          </w:tcPr>
          <w:p w:rsidR="00657460" w:rsidRPr="00883EC9" w:rsidRDefault="00657460" w:rsidP="00657460">
            <w:pPr>
              <w:jc w:val="right"/>
              <w:rPr>
                <w:sz w:val="22"/>
                <w:szCs w:val="22"/>
              </w:rPr>
            </w:pPr>
            <w:r w:rsidRPr="00883EC9">
              <w:rPr>
                <w:sz w:val="22"/>
                <w:szCs w:val="22"/>
              </w:rPr>
              <w:t>6 681</w:t>
            </w:r>
          </w:p>
        </w:tc>
      </w:tr>
      <w:tr w:rsidR="00657460" w:rsidRPr="00883EC9" w:rsidTr="00657460">
        <w:trPr>
          <w:gridAfter w:val="1"/>
          <w:wAfter w:w="141" w:type="dxa"/>
          <w:trHeight w:val="170"/>
        </w:trPr>
        <w:tc>
          <w:tcPr>
            <w:tcW w:w="7938" w:type="dxa"/>
            <w:gridSpan w:val="2"/>
            <w:tcBorders>
              <w:top w:val="nil"/>
              <w:left w:val="nil"/>
              <w:bottom w:val="nil"/>
              <w:right w:val="nil"/>
            </w:tcBorders>
            <w:shd w:val="clear" w:color="auto" w:fill="auto"/>
            <w:vAlign w:val="center"/>
            <w:hideMark/>
          </w:tcPr>
          <w:p w:rsidR="00657460" w:rsidRPr="00883EC9" w:rsidRDefault="00657460" w:rsidP="00657460">
            <w:pPr>
              <w:rPr>
                <w:rFonts w:ascii="Times New Roman CE" w:hAnsi="Times New Roman CE" w:cs="Times New Roman CE"/>
                <w:sz w:val="22"/>
                <w:szCs w:val="22"/>
              </w:rPr>
            </w:pPr>
            <w:r w:rsidRPr="00883EC9">
              <w:rPr>
                <w:rFonts w:ascii="Times New Roman CE" w:hAnsi="Times New Roman CE" w:cs="Times New Roman CE"/>
                <w:sz w:val="22"/>
                <w:szCs w:val="22"/>
              </w:rPr>
              <w:t>Távközlési, postai szolgáltatás (június havi számlák)</w:t>
            </w:r>
          </w:p>
        </w:tc>
        <w:tc>
          <w:tcPr>
            <w:tcW w:w="993" w:type="dxa"/>
            <w:tcBorders>
              <w:top w:val="nil"/>
              <w:left w:val="nil"/>
              <w:bottom w:val="nil"/>
              <w:right w:val="nil"/>
            </w:tcBorders>
            <w:shd w:val="clear" w:color="auto" w:fill="auto"/>
            <w:noWrap/>
            <w:vAlign w:val="bottom"/>
            <w:hideMark/>
          </w:tcPr>
          <w:p w:rsidR="00657460" w:rsidRPr="00883EC9" w:rsidRDefault="00657460" w:rsidP="00657460">
            <w:pPr>
              <w:jc w:val="right"/>
              <w:rPr>
                <w:rFonts w:ascii="Times New Roman CE" w:hAnsi="Times New Roman CE" w:cs="Times New Roman CE"/>
                <w:sz w:val="22"/>
                <w:szCs w:val="22"/>
              </w:rPr>
            </w:pPr>
            <w:r w:rsidRPr="00883EC9">
              <w:rPr>
                <w:rFonts w:ascii="Times New Roman CE" w:hAnsi="Times New Roman CE" w:cs="Times New Roman CE"/>
                <w:sz w:val="22"/>
                <w:szCs w:val="22"/>
              </w:rPr>
              <w:t>4 021</w:t>
            </w:r>
          </w:p>
        </w:tc>
      </w:tr>
      <w:tr w:rsidR="00657460" w:rsidRPr="00883EC9" w:rsidTr="00657460">
        <w:trPr>
          <w:gridAfter w:val="1"/>
          <w:wAfter w:w="141" w:type="dxa"/>
          <w:trHeight w:val="476"/>
        </w:trPr>
        <w:tc>
          <w:tcPr>
            <w:tcW w:w="7938" w:type="dxa"/>
            <w:gridSpan w:val="2"/>
            <w:tcBorders>
              <w:top w:val="nil"/>
              <w:left w:val="nil"/>
              <w:bottom w:val="nil"/>
              <w:right w:val="nil"/>
            </w:tcBorders>
            <w:shd w:val="clear" w:color="auto" w:fill="auto"/>
            <w:vAlign w:val="bottom"/>
            <w:hideMark/>
          </w:tcPr>
          <w:p w:rsidR="00657460" w:rsidRPr="00883EC9" w:rsidRDefault="00657460" w:rsidP="00657460">
            <w:pPr>
              <w:rPr>
                <w:sz w:val="22"/>
                <w:szCs w:val="22"/>
              </w:rPr>
            </w:pPr>
            <w:r w:rsidRPr="00883EC9">
              <w:rPr>
                <w:sz w:val="22"/>
                <w:szCs w:val="22"/>
              </w:rPr>
              <w:t xml:space="preserve">Egyéb igénybevett </w:t>
            </w:r>
            <w:proofErr w:type="spellStart"/>
            <w:r w:rsidRPr="00883EC9">
              <w:rPr>
                <w:sz w:val="22"/>
                <w:szCs w:val="22"/>
              </w:rPr>
              <w:t>szolg</w:t>
            </w:r>
            <w:proofErr w:type="spellEnd"/>
            <w:r w:rsidRPr="00883EC9">
              <w:rPr>
                <w:sz w:val="22"/>
                <w:szCs w:val="22"/>
              </w:rPr>
              <w:t>. (I. félévre vonatkozó számlák és számított tételek</w:t>
            </w:r>
            <w:r w:rsidRPr="00883EC9">
              <w:rPr>
                <w:sz w:val="22"/>
                <w:szCs w:val="22"/>
              </w:rPr>
              <w:br/>
              <w:t xml:space="preserve">pl. hirdetés, </w:t>
            </w:r>
            <w:proofErr w:type="spellStart"/>
            <w:r w:rsidRPr="00883EC9">
              <w:rPr>
                <w:sz w:val="22"/>
                <w:szCs w:val="22"/>
              </w:rPr>
              <w:t>reklámktg</w:t>
            </w:r>
            <w:proofErr w:type="spellEnd"/>
            <w:r w:rsidRPr="00883EC9">
              <w:rPr>
                <w:sz w:val="22"/>
                <w:szCs w:val="22"/>
              </w:rPr>
              <w:t>, biztonsági őrzés, takarítás, könyvvizsgálat)</w:t>
            </w:r>
          </w:p>
        </w:tc>
        <w:tc>
          <w:tcPr>
            <w:tcW w:w="993" w:type="dxa"/>
            <w:tcBorders>
              <w:top w:val="nil"/>
              <w:left w:val="nil"/>
              <w:bottom w:val="nil"/>
              <w:right w:val="nil"/>
            </w:tcBorders>
            <w:shd w:val="clear" w:color="auto" w:fill="auto"/>
            <w:noWrap/>
            <w:vAlign w:val="bottom"/>
            <w:hideMark/>
          </w:tcPr>
          <w:p w:rsidR="00657460" w:rsidRPr="00883EC9" w:rsidRDefault="00657460" w:rsidP="00657460">
            <w:pPr>
              <w:jc w:val="right"/>
              <w:rPr>
                <w:rFonts w:ascii="Times New Roman CE" w:hAnsi="Times New Roman CE" w:cs="Times New Roman CE"/>
                <w:sz w:val="22"/>
                <w:szCs w:val="22"/>
              </w:rPr>
            </w:pPr>
            <w:r w:rsidRPr="00883EC9">
              <w:rPr>
                <w:rFonts w:ascii="Times New Roman CE" w:hAnsi="Times New Roman CE" w:cs="Times New Roman CE"/>
                <w:sz w:val="22"/>
                <w:szCs w:val="22"/>
              </w:rPr>
              <w:t>11 778</w:t>
            </w:r>
          </w:p>
        </w:tc>
      </w:tr>
      <w:tr w:rsidR="00657460" w:rsidRPr="00883EC9" w:rsidTr="00657460">
        <w:trPr>
          <w:gridAfter w:val="1"/>
          <w:wAfter w:w="141" w:type="dxa"/>
          <w:trHeight w:val="300"/>
        </w:trPr>
        <w:tc>
          <w:tcPr>
            <w:tcW w:w="7938" w:type="dxa"/>
            <w:gridSpan w:val="2"/>
            <w:tcBorders>
              <w:top w:val="nil"/>
              <w:left w:val="nil"/>
              <w:bottom w:val="nil"/>
              <w:right w:val="nil"/>
            </w:tcBorders>
            <w:shd w:val="clear" w:color="auto" w:fill="auto"/>
            <w:vAlign w:val="bottom"/>
            <w:hideMark/>
          </w:tcPr>
          <w:p w:rsidR="00657460" w:rsidRPr="00883EC9" w:rsidRDefault="00657460" w:rsidP="00657460">
            <w:pPr>
              <w:rPr>
                <w:sz w:val="22"/>
                <w:szCs w:val="22"/>
              </w:rPr>
            </w:pPr>
            <w:r w:rsidRPr="00883EC9">
              <w:rPr>
                <w:sz w:val="22"/>
                <w:szCs w:val="22"/>
              </w:rPr>
              <w:t>Egyéb szolgáltatások</w:t>
            </w:r>
          </w:p>
        </w:tc>
        <w:tc>
          <w:tcPr>
            <w:tcW w:w="993" w:type="dxa"/>
            <w:tcBorders>
              <w:top w:val="nil"/>
              <w:left w:val="nil"/>
              <w:bottom w:val="nil"/>
              <w:right w:val="nil"/>
            </w:tcBorders>
            <w:shd w:val="clear" w:color="auto" w:fill="auto"/>
            <w:noWrap/>
            <w:vAlign w:val="bottom"/>
            <w:hideMark/>
          </w:tcPr>
          <w:p w:rsidR="00657460" w:rsidRPr="00883EC9" w:rsidRDefault="00657460" w:rsidP="00657460">
            <w:pPr>
              <w:jc w:val="right"/>
              <w:rPr>
                <w:rFonts w:ascii="Times New Roman CE" w:hAnsi="Times New Roman CE" w:cs="Times New Roman CE"/>
                <w:sz w:val="22"/>
                <w:szCs w:val="22"/>
              </w:rPr>
            </w:pPr>
            <w:r w:rsidRPr="00883EC9">
              <w:rPr>
                <w:rFonts w:ascii="Times New Roman CE" w:hAnsi="Times New Roman CE" w:cs="Times New Roman CE"/>
                <w:sz w:val="22"/>
                <w:szCs w:val="22"/>
              </w:rPr>
              <w:t>-3 938</w:t>
            </w:r>
          </w:p>
        </w:tc>
      </w:tr>
      <w:tr w:rsidR="00657460" w:rsidRPr="00883EC9" w:rsidTr="00657460">
        <w:trPr>
          <w:gridAfter w:val="1"/>
          <w:wAfter w:w="141" w:type="dxa"/>
          <w:trHeight w:val="100"/>
        </w:trPr>
        <w:tc>
          <w:tcPr>
            <w:tcW w:w="7938" w:type="dxa"/>
            <w:gridSpan w:val="2"/>
            <w:tcBorders>
              <w:top w:val="nil"/>
              <w:left w:val="nil"/>
              <w:bottom w:val="nil"/>
              <w:right w:val="nil"/>
            </w:tcBorders>
            <w:shd w:val="clear" w:color="auto" w:fill="auto"/>
            <w:vAlign w:val="bottom"/>
            <w:hideMark/>
          </w:tcPr>
          <w:p w:rsidR="00657460" w:rsidRPr="00883EC9" w:rsidRDefault="00657460" w:rsidP="00FB22BD">
            <w:pPr>
              <w:rPr>
                <w:sz w:val="22"/>
                <w:szCs w:val="22"/>
              </w:rPr>
            </w:pPr>
            <w:r w:rsidRPr="00883EC9">
              <w:rPr>
                <w:sz w:val="22"/>
                <w:szCs w:val="22"/>
              </w:rPr>
              <w:t>Bér, járulék, személyi jellegű egyéb ráf. (bérköltség és jár. időarányosra korr</w:t>
            </w:r>
            <w:r w:rsidR="00FB22BD">
              <w:rPr>
                <w:sz w:val="22"/>
                <w:szCs w:val="22"/>
              </w:rPr>
              <w:t>igálva</w:t>
            </w:r>
            <w:r w:rsidRPr="00883EC9">
              <w:rPr>
                <w:sz w:val="22"/>
                <w:szCs w:val="22"/>
              </w:rPr>
              <w:t>)</w:t>
            </w:r>
          </w:p>
        </w:tc>
        <w:tc>
          <w:tcPr>
            <w:tcW w:w="993" w:type="dxa"/>
            <w:tcBorders>
              <w:top w:val="nil"/>
              <w:left w:val="nil"/>
              <w:bottom w:val="nil"/>
              <w:right w:val="nil"/>
            </w:tcBorders>
            <w:shd w:val="clear" w:color="auto" w:fill="auto"/>
            <w:noWrap/>
            <w:vAlign w:val="bottom"/>
            <w:hideMark/>
          </w:tcPr>
          <w:p w:rsidR="00657460" w:rsidRPr="00883EC9" w:rsidRDefault="00657460" w:rsidP="00657460">
            <w:pPr>
              <w:jc w:val="right"/>
              <w:rPr>
                <w:rFonts w:ascii="Times New Roman CE" w:hAnsi="Times New Roman CE" w:cs="Times New Roman CE"/>
                <w:sz w:val="22"/>
                <w:szCs w:val="22"/>
              </w:rPr>
            </w:pPr>
            <w:r w:rsidRPr="00883EC9">
              <w:rPr>
                <w:rFonts w:ascii="Times New Roman CE" w:hAnsi="Times New Roman CE" w:cs="Times New Roman CE"/>
                <w:sz w:val="22"/>
                <w:szCs w:val="22"/>
              </w:rPr>
              <w:t>49 267</w:t>
            </w:r>
          </w:p>
        </w:tc>
      </w:tr>
      <w:tr w:rsidR="00657460" w:rsidRPr="00883EC9" w:rsidTr="00657460">
        <w:trPr>
          <w:gridAfter w:val="1"/>
          <w:wAfter w:w="141" w:type="dxa"/>
          <w:trHeight w:val="300"/>
        </w:trPr>
        <w:tc>
          <w:tcPr>
            <w:tcW w:w="7938" w:type="dxa"/>
            <w:gridSpan w:val="2"/>
            <w:tcBorders>
              <w:top w:val="nil"/>
              <w:left w:val="nil"/>
              <w:bottom w:val="single" w:sz="4" w:space="0" w:color="auto"/>
              <w:right w:val="nil"/>
            </w:tcBorders>
            <w:shd w:val="clear" w:color="auto" w:fill="auto"/>
            <w:vAlign w:val="bottom"/>
            <w:hideMark/>
          </w:tcPr>
          <w:p w:rsidR="00657460" w:rsidRPr="00883EC9" w:rsidRDefault="00657460" w:rsidP="00657460">
            <w:pPr>
              <w:rPr>
                <w:sz w:val="22"/>
                <w:szCs w:val="22"/>
              </w:rPr>
            </w:pPr>
            <w:r w:rsidRPr="00883EC9">
              <w:rPr>
                <w:sz w:val="22"/>
                <w:szCs w:val="22"/>
              </w:rPr>
              <w:t>Egyéb ráfordítások</w:t>
            </w:r>
          </w:p>
        </w:tc>
        <w:tc>
          <w:tcPr>
            <w:tcW w:w="993" w:type="dxa"/>
            <w:tcBorders>
              <w:top w:val="nil"/>
              <w:left w:val="nil"/>
              <w:bottom w:val="single" w:sz="4" w:space="0" w:color="auto"/>
              <w:right w:val="nil"/>
            </w:tcBorders>
            <w:shd w:val="clear" w:color="auto" w:fill="auto"/>
            <w:noWrap/>
            <w:vAlign w:val="bottom"/>
            <w:hideMark/>
          </w:tcPr>
          <w:p w:rsidR="00657460" w:rsidRPr="00883EC9" w:rsidRDefault="00657460" w:rsidP="00657460">
            <w:pPr>
              <w:jc w:val="right"/>
              <w:rPr>
                <w:rFonts w:ascii="Times New Roman CE" w:hAnsi="Times New Roman CE" w:cs="Times New Roman CE"/>
                <w:sz w:val="22"/>
                <w:szCs w:val="22"/>
              </w:rPr>
            </w:pPr>
            <w:r w:rsidRPr="00883EC9">
              <w:rPr>
                <w:rFonts w:ascii="Times New Roman CE" w:hAnsi="Times New Roman CE" w:cs="Times New Roman CE"/>
                <w:sz w:val="22"/>
                <w:szCs w:val="22"/>
              </w:rPr>
              <w:t>71 843</w:t>
            </w:r>
          </w:p>
        </w:tc>
      </w:tr>
      <w:tr w:rsidR="00657460" w:rsidRPr="00883EC9" w:rsidTr="00657460">
        <w:trPr>
          <w:gridAfter w:val="1"/>
          <w:wAfter w:w="141" w:type="dxa"/>
          <w:trHeight w:val="300"/>
        </w:trPr>
        <w:tc>
          <w:tcPr>
            <w:tcW w:w="7938" w:type="dxa"/>
            <w:gridSpan w:val="2"/>
            <w:tcBorders>
              <w:top w:val="nil"/>
              <w:left w:val="nil"/>
              <w:bottom w:val="nil"/>
              <w:right w:val="nil"/>
            </w:tcBorders>
            <w:shd w:val="clear" w:color="auto" w:fill="auto"/>
            <w:vAlign w:val="bottom"/>
            <w:hideMark/>
          </w:tcPr>
          <w:p w:rsidR="00657460" w:rsidRPr="00883EC9" w:rsidRDefault="00657460" w:rsidP="00657460">
            <w:pPr>
              <w:rPr>
                <w:i/>
                <w:iCs/>
                <w:sz w:val="22"/>
                <w:szCs w:val="22"/>
              </w:rPr>
            </w:pPr>
            <w:r w:rsidRPr="00883EC9">
              <w:rPr>
                <w:i/>
                <w:iCs/>
                <w:sz w:val="22"/>
                <w:szCs w:val="22"/>
              </w:rPr>
              <w:t>Összesen</w:t>
            </w:r>
          </w:p>
        </w:tc>
        <w:tc>
          <w:tcPr>
            <w:tcW w:w="993" w:type="dxa"/>
            <w:tcBorders>
              <w:top w:val="nil"/>
              <w:left w:val="nil"/>
              <w:bottom w:val="nil"/>
              <w:right w:val="nil"/>
            </w:tcBorders>
            <w:shd w:val="clear" w:color="auto" w:fill="auto"/>
            <w:noWrap/>
            <w:vAlign w:val="bottom"/>
            <w:hideMark/>
          </w:tcPr>
          <w:p w:rsidR="00657460" w:rsidRPr="00883EC9" w:rsidRDefault="00657460" w:rsidP="00657460">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678 251</w:t>
            </w:r>
          </w:p>
        </w:tc>
      </w:tr>
    </w:tbl>
    <w:p w:rsidR="0093718B" w:rsidRDefault="0093718B">
      <w:pPr>
        <w:rPr>
          <w:b/>
          <w:bCs/>
          <w:i/>
          <w:sz w:val="23"/>
        </w:rPr>
      </w:pPr>
      <w:r>
        <w:rPr>
          <w:b/>
          <w:bCs/>
          <w:i/>
          <w:sz w:val="23"/>
        </w:rPr>
        <w:br w:type="page"/>
      </w:r>
    </w:p>
    <w:p w:rsidR="00FB22BD" w:rsidRDefault="00FB22BD" w:rsidP="000125A4">
      <w:pPr>
        <w:jc w:val="both"/>
        <w:rPr>
          <w:b/>
          <w:bCs/>
          <w:i/>
          <w:sz w:val="24"/>
          <w:szCs w:val="24"/>
        </w:rPr>
      </w:pPr>
    </w:p>
    <w:p w:rsidR="00451654" w:rsidRDefault="00451654" w:rsidP="000125A4">
      <w:pPr>
        <w:jc w:val="both"/>
        <w:rPr>
          <w:b/>
          <w:bCs/>
          <w:i/>
          <w:sz w:val="24"/>
          <w:szCs w:val="24"/>
        </w:rPr>
      </w:pPr>
    </w:p>
    <w:p w:rsidR="000125A4" w:rsidRPr="00883EC9" w:rsidRDefault="000125A4" w:rsidP="000125A4">
      <w:pPr>
        <w:jc w:val="both"/>
        <w:rPr>
          <w:i/>
          <w:sz w:val="24"/>
          <w:szCs w:val="24"/>
        </w:rPr>
      </w:pPr>
      <w:r w:rsidRPr="00883EC9">
        <w:rPr>
          <w:b/>
          <w:bCs/>
          <w:i/>
          <w:sz w:val="24"/>
          <w:szCs w:val="24"/>
        </w:rPr>
        <w:t>Anyagköltség</w:t>
      </w:r>
      <w:r w:rsidRPr="00883EC9">
        <w:rPr>
          <w:i/>
          <w:sz w:val="24"/>
          <w:szCs w:val="24"/>
        </w:rPr>
        <w:t xml:space="preserve"> </w:t>
      </w:r>
    </w:p>
    <w:p w:rsidR="000125A4" w:rsidRPr="00883EC9" w:rsidRDefault="000125A4" w:rsidP="000125A4">
      <w:pPr>
        <w:jc w:val="both"/>
        <w:rPr>
          <w:i/>
          <w:sz w:val="24"/>
          <w:szCs w:val="24"/>
        </w:rPr>
      </w:pPr>
      <w:r w:rsidRPr="00883EC9">
        <w:rPr>
          <w:i/>
          <w:sz w:val="24"/>
          <w:szCs w:val="24"/>
        </w:rPr>
        <w:t xml:space="preserve">Mértéke 308 018 </w:t>
      </w:r>
      <w:proofErr w:type="spellStart"/>
      <w:r w:rsidRPr="00883EC9">
        <w:rPr>
          <w:i/>
          <w:sz w:val="24"/>
          <w:szCs w:val="24"/>
        </w:rPr>
        <w:t>eFt</w:t>
      </w:r>
      <w:proofErr w:type="spellEnd"/>
      <w:r w:rsidRPr="00883EC9">
        <w:rPr>
          <w:i/>
          <w:sz w:val="24"/>
          <w:szCs w:val="24"/>
        </w:rPr>
        <w:t xml:space="preserve"> (46,4 % teljesítési szint)</w:t>
      </w:r>
    </w:p>
    <w:p w:rsidR="000125A4" w:rsidRPr="00883EC9" w:rsidRDefault="000125A4" w:rsidP="000125A4">
      <w:pPr>
        <w:pStyle w:val="Szvegtrzs2"/>
        <w:numPr>
          <w:ilvl w:val="0"/>
          <w:numId w:val="0"/>
        </w:numPr>
        <w:tabs>
          <w:tab w:val="right" w:pos="5610"/>
          <w:tab w:val="left" w:pos="5670"/>
          <w:tab w:val="left" w:pos="7480"/>
        </w:tabs>
        <w:ind w:right="0"/>
        <w:rPr>
          <w:i/>
          <w:szCs w:val="24"/>
        </w:rPr>
      </w:pPr>
      <w:r w:rsidRPr="00883EC9">
        <w:rPr>
          <w:i/>
          <w:szCs w:val="24"/>
        </w:rPr>
        <w:t>Technológiai anyagfelhasználás:</w:t>
      </w:r>
    </w:p>
    <w:p w:rsidR="000125A4" w:rsidRPr="00883EC9" w:rsidRDefault="000125A4" w:rsidP="000125A4">
      <w:pPr>
        <w:pStyle w:val="Szvegtrzs2"/>
        <w:numPr>
          <w:ilvl w:val="0"/>
          <w:numId w:val="0"/>
        </w:numPr>
        <w:tabs>
          <w:tab w:val="right" w:pos="5610"/>
          <w:tab w:val="left" w:pos="5670"/>
          <w:tab w:val="left" w:pos="7480"/>
        </w:tabs>
        <w:ind w:left="142" w:right="0" w:hanging="142"/>
        <w:rPr>
          <w:iCs/>
          <w:szCs w:val="24"/>
        </w:rPr>
      </w:pPr>
      <w:r w:rsidRPr="00883EC9">
        <w:rPr>
          <w:i/>
          <w:szCs w:val="24"/>
        </w:rPr>
        <w:t xml:space="preserve"> -</w:t>
      </w:r>
      <w:r w:rsidRPr="00883EC9">
        <w:rPr>
          <w:iCs/>
          <w:szCs w:val="24"/>
        </w:rPr>
        <w:t xml:space="preserve"> az ivóvíz kezelésnél 37,4 %-os szintet ért el az üzleti tervhez képest a vizsgált időszakban</w:t>
      </w:r>
    </w:p>
    <w:p w:rsidR="000125A4" w:rsidRPr="00883EC9" w:rsidRDefault="000125A4" w:rsidP="000125A4">
      <w:pPr>
        <w:pStyle w:val="Szvegtrzs2"/>
        <w:numPr>
          <w:ilvl w:val="0"/>
          <w:numId w:val="0"/>
        </w:numPr>
        <w:tabs>
          <w:tab w:val="right" w:pos="5610"/>
          <w:tab w:val="left" w:pos="5670"/>
          <w:tab w:val="left" w:pos="7480"/>
        </w:tabs>
        <w:ind w:left="142" w:right="0" w:hanging="142"/>
        <w:rPr>
          <w:iCs/>
          <w:szCs w:val="24"/>
        </w:rPr>
      </w:pPr>
      <w:r w:rsidRPr="00883EC9">
        <w:rPr>
          <w:iCs/>
          <w:szCs w:val="24"/>
        </w:rPr>
        <w:t xml:space="preserve"> - szennyvíztisztítás, komposztálás technológiai anyagfelhasználása 52 508 </w:t>
      </w:r>
      <w:proofErr w:type="spellStart"/>
      <w:r w:rsidRPr="00883EC9">
        <w:rPr>
          <w:iCs/>
          <w:szCs w:val="24"/>
        </w:rPr>
        <w:t>eFt</w:t>
      </w:r>
      <w:proofErr w:type="spellEnd"/>
      <w:r w:rsidRPr="00883EC9">
        <w:rPr>
          <w:iCs/>
          <w:szCs w:val="24"/>
        </w:rPr>
        <w:t>, 59,9%-on teljesült.</w:t>
      </w:r>
    </w:p>
    <w:p w:rsidR="000125A4" w:rsidRPr="00883EC9" w:rsidRDefault="000125A4" w:rsidP="000125A4">
      <w:pPr>
        <w:pStyle w:val="Szvegtrzs2"/>
        <w:numPr>
          <w:ilvl w:val="0"/>
          <w:numId w:val="0"/>
        </w:numPr>
        <w:tabs>
          <w:tab w:val="right" w:pos="5610"/>
          <w:tab w:val="left" w:pos="5670"/>
          <w:tab w:val="left" w:pos="7480"/>
        </w:tabs>
        <w:ind w:left="142" w:right="0"/>
        <w:rPr>
          <w:iCs/>
          <w:szCs w:val="24"/>
        </w:rPr>
      </w:pPr>
      <w:r w:rsidRPr="00883EC9">
        <w:rPr>
          <w:iCs/>
          <w:szCs w:val="24"/>
        </w:rPr>
        <w:t xml:space="preserve">A magasabb vegyszer felhasználás okai: az iszap nehezen volt ülepíthető és a kedvezőtlenebb (hidegebb) időjárás miatt a biztonságos üzemeltetéshez több vegyszer adagolására volt szükség </w:t>
      </w:r>
    </w:p>
    <w:p w:rsidR="000125A4" w:rsidRPr="00883EC9" w:rsidRDefault="000125A4" w:rsidP="000125A4">
      <w:pPr>
        <w:pStyle w:val="Szvegtrzs2"/>
        <w:numPr>
          <w:ilvl w:val="0"/>
          <w:numId w:val="0"/>
        </w:numPr>
        <w:tabs>
          <w:tab w:val="right" w:pos="5610"/>
          <w:tab w:val="left" w:pos="5670"/>
          <w:tab w:val="left" w:pos="7480"/>
        </w:tabs>
        <w:ind w:left="142" w:right="0" w:hanging="142"/>
        <w:rPr>
          <w:iCs/>
          <w:szCs w:val="24"/>
        </w:rPr>
      </w:pPr>
      <w:r w:rsidRPr="00883EC9">
        <w:rPr>
          <w:iCs/>
          <w:szCs w:val="24"/>
        </w:rPr>
        <w:t xml:space="preserve">- fürdő szolgáltatás technológiai anyagfelhasználása 1 237 </w:t>
      </w:r>
      <w:proofErr w:type="spellStart"/>
      <w:r w:rsidRPr="00883EC9">
        <w:rPr>
          <w:iCs/>
          <w:szCs w:val="24"/>
        </w:rPr>
        <w:t>eFt</w:t>
      </w:r>
      <w:proofErr w:type="spellEnd"/>
      <w:r w:rsidRPr="00883EC9">
        <w:rPr>
          <w:iCs/>
          <w:szCs w:val="24"/>
        </w:rPr>
        <w:t xml:space="preserve"> a vizsgált időszakban. </w:t>
      </w:r>
    </w:p>
    <w:p w:rsidR="000125A4" w:rsidRPr="00883EC9" w:rsidRDefault="000125A4" w:rsidP="000125A4">
      <w:pPr>
        <w:jc w:val="both"/>
        <w:rPr>
          <w:sz w:val="24"/>
          <w:szCs w:val="24"/>
        </w:rPr>
      </w:pPr>
      <w:r w:rsidRPr="00883EC9">
        <w:rPr>
          <w:i/>
          <w:sz w:val="24"/>
          <w:szCs w:val="24"/>
        </w:rPr>
        <w:t xml:space="preserve">Ipari szolgáltatás anyagfelhasználása </w:t>
      </w:r>
      <w:r w:rsidRPr="00883EC9">
        <w:rPr>
          <w:sz w:val="24"/>
          <w:szCs w:val="24"/>
        </w:rPr>
        <w:t xml:space="preserve">15 </w:t>
      </w:r>
      <w:proofErr w:type="spellStart"/>
      <w:r w:rsidRPr="00883EC9">
        <w:rPr>
          <w:sz w:val="24"/>
          <w:szCs w:val="24"/>
        </w:rPr>
        <w:t>eFt</w:t>
      </w:r>
      <w:proofErr w:type="spellEnd"/>
      <w:r w:rsidRPr="00883EC9">
        <w:rPr>
          <w:sz w:val="24"/>
          <w:szCs w:val="24"/>
        </w:rPr>
        <w:t xml:space="preserve"> (50%), amely összefüggésben van az ipari szolgáltatás árbevételének kedvező alakulásával.</w:t>
      </w:r>
    </w:p>
    <w:p w:rsidR="000125A4" w:rsidRPr="00883EC9" w:rsidRDefault="000125A4" w:rsidP="000125A4">
      <w:pPr>
        <w:jc w:val="both"/>
        <w:rPr>
          <w:iCs/>
          <w:sz w:val="24"/>
          <w:szCs w:val="24"/>
        </w:rPr>
      </w:pPr>
      <w:r w:rsidRPr="00883EC9">
        <w:rPr>
          <w:i/>
          <w:sz w:val="24"/>
          <w:szCs w:val="24"/>
        </w:rPr>
        <w:t>Saját kivitelezésben végzett eszközfenntartás</w:t>
      </w:r>
      <w:r w:rsidRPr="00883EC9">
        <w:rPr>
          <w:iCs/>
          <w:sz w:val="24"/>
          <w:szCs w:val="24"/>
        </w:rPr>
        <w:t xml:space="preserve"> </w:t>
      </w:r>
      <w:r w:rsidRPr="00883EC9">
        <w:rPr>
          <w:i/>
          <w:sz w:val="24"/>
          <w:szCs w:val="24"/>
        </w:rPr>
        <w:t>anyagköltsége</w:t>
      </w:r>
      <w:r w:rsidRPr="00883EC9">
        <w:rPr>
          <w:iCs/>
          <w:sz w:val="24"/>
          <w:szCs w:val="24"/>
        </w:rPr>
        <w:t xml:space="preserve"> 133 577 </w:t>
      </w:r>
      <w:proofErr w:type="spellStart"/>
      <w:r w:rsidRPr="00883EC9">
        <w:rPr>
          <w:iCs/>
          <w:sz w:val="24"/>
          <w:szCs w:val="24"/>
        </w:rPr>
        <w:t>eFt</w:t>
      </w:r>
      <w:proofErr w:type="spellEnd"/>
      <w:r w:rsidRPr="00883EC9">
        <w:rPr>
          <w:iCs/>
          <w:sz w:val="24"/>
          <w:szCs w:val="24"/>
        </w:rPr>
        <w:t xml:space="preserve">, 50,7 %-on teljesült az éves üzleti tervhez viszonyítva. </w:t>
      </w:r>
    </w:p>
    <w:p w:rsidR="000125A4" w:rsidRPr="00883EC9" w:rsidRDefault="000125A4" w:rsidP="000125A4">
      <w:pPr>
        <w:jc w:val="both"/>
        <w:rPr>
          <w:iCs/>
          <w:sz w:val="24"/>
          <w:szCs w:val="24"/>
        </w:rPr>
      </w:pPr>
      <w:r w:rsidRPr="00883EC9">
        <w:rPr>
          <w:i/>
          <w:iCs/>
          <w:sz w:val="24"/>
          <w:szCs w:val="24"/>
        </w:rPr>
        <w:t>Rezsi anyagok</w:t>
      </w:r>
      <w:r w:rsidRPr="00883EC9">
        <w:rPr>
          <w:iCs/>
          <w:sz w:val="24"/>
          <w:szCs w:val="24"/>
        </w:rPr>
        <w:t xml:space="preserve"> értéke 2017. I. félévben 37 075 </w:t>
      </w:r>
      <w:proofErr w:type="spellStart"/>
      <w:r w:rsidRPr="00883EC9">
        <w:rPr>
          <w:iCs/>
          <w:sz w:val="24"/>
          <w:szCs w:val="24"/>
        </w:rPr>
        <w:t>eFt</w:t>
      </w:r>
      <w:proofErr w:type="spellEnd"/>
      <w:r w:rsidRPr="00883EC9">
        <w:rPr>
          <w:iCs/>
          <w:sz w:val="24"/>
          <w:szCs w:val="24"/>
        </w:rPr>
        <w:t xml:space="preserve"> (74,2%). Tartalmazza a munkavédelmi előírásoknak megfelelően alkalmazott védőoltások és munkavédelmi szemüvegek beszerzési költségét, továbbá a laboratóriumban az egyes megváltozott vizsgálati módszerekhez kapcsolódó eszköz beszerzéseket is.</w:t>
      </w:r>
    </w:p>
    <w:p w:rsidR="000125A4" w:rsidRPr="00883EC9" w:rsidRDefault="000125A4" w:rsidP="000125A4">
      <w:pPr>
        <w:jc w:val="both"/>
        <w:rPr>
          <w:iCs/>
          <w:sz w:val="24"/>
          <w:szCs w:val="24"/>
        </w:rPr>
      </w:pPr>
      <w:r w:rsidRPr="00883EC9">
        <w:rPr>
          <w:i/>
          <w:sz w:val="24"/>
          <w:szCs w:val="24"/>
        </w:rPr>
        <w:t>Építőipar</w:t>
      </w:r>
      <w:r w:rsidRPr="00883EC9">
        <w:rPr>
          <w:iCs/>
          <w:sz w:val="24"/>
          <w:szCs w:val="24"/>
        </w:rPr>
        <w:t xml:space="preserve"> </w:t>
      </w:r>
      <w:r w:rsidRPr="00883EC9">
        <w:rPr>
          <w:i/>
          <w:sz w:val="24"/>
          <w:szCs w:val="24"/>
        </w:rPr>
        <w:t>anyagköltsége</w:t>
      </w:r>
      <w:r w:rsidRPr="00883EC9">
        <w:rPr>
          <w:iCs/>
          <w:sz w:val="24"/>
          <w:szCs w:val="24"/>
        </w:rPr>
        <w:t xml:space="preserve"> a tevékenység teljesítéséhez kapcsolódóan 32,1 %-os teljesítésen áll, mértéke 77 710 </w:t>
      </w:r>
      <w:proofErr w:type="spellStart"/>
      <w:r w:rsidRPr="00883EC9">
        <w:rPr>
          <w:iCs/>
          <w:sz w:val="24"/>
          <w:szCs w:val="24"/>
        </w:rPr>
        <w:t>eFt</w:t>
      </w:r>
      <w:proofErr w:type="spellEnd"/>
      <w:r w:rsidRPr="00883EC9">
        <w:rPr>
          <w:iCs/>
          <w:sz w:val="24"/>
          <w:szCs w:val="24"/>
        </w:rPr>
        <w:t>. Értéke tartalmazza a</w:t>
      </w:r>
      <w:r w:rsidRPr="00883EC9">
        <w:rPr>
          <w:sz w:val="24"/>
          <w:szCs w:val="24"/>
        </w:rPr>
        <w:t xml:space="preserve"> víziközmű-szolgáltatásról szóló törvény alapján, önálló vállalkozási szerződéssel végzendő, bérleti-üzemeltetési szerződés keretében üzemeltetett </w:t>
      </w:r>
      <w:proofErr w:type="spellStart"/>
      <w:r w:rsidRPr="00883EC9">
        <w:rPr>
          <w:sz w:val="24"/>
          <w:szCs w:val="24"/>
        </w:rPr>
        <w:t>víziközművek</w:t>
      </w:r>
      <w:proofErr w:type="spellEnd"/>
      <w:r w:rsidRPr="00883EC9">
        <w:rPr>
          <w:sz w:val="24"/>
          <w:szCs w:val="24"/>
        </w:rPr>
        <w:t xml:space="preserve"> </w:t>
      </w:r>
      <w:r w:rsidR="004F2277">
        <w:rPr>
          <w:sz w:val="24"/>
          <w:szCs w:val="24"/>
        </w:rPr>
        <w:t>rekonstrukciójának (csere, pótlás)</w:t>
      </w:r>
      <w:r w:rsidRPr="00883EC9">
        <w:rPr>
          <w:sz w:val="24"/>
          <w:szCs w:val="24"/>
        </w:rPr>
        <w:t xml:space="preserve"> anyagköltségét.</w:t>
      </w:r>
      <w:r w:rsidRPr="00883EC9">
        <w:rPr>
          <w:iCs/>
          <w:sz w:val="24"/>
          <w:szCs w:val="24"/>
        </w:rPr>
        <w:t xml:space="preserve"> </w:t>
      </w:r>
    </w:p>
    <w:p w:rsidR="000125A4" w:rsidRPr="00883EC9" w:rsidRDefault="000125A4" w:rsidP="000125A4">
      <w:pPr>
        <w:jc w:val="both"/>
        <w:rPr>
          <w:iCs/>
          <w:sz w:val="24"/>
          <w:szCs w:val="24"/>
        </w:rPr>
      </w:pPr>
      <w:r w:rsidRPr="00883EC9">
        <w:rPr>
          <w:i/>
          <w:iCs/>
          <w:sz w:val="24"/>
          <w:szCs w:val="24"/>
        </w:rPr>
        <w:t>Nyomtatványok, szakkönyvek, folyóiratok költsége</w:t>
      </w:r>
      <w:r w:rsidRPr="00883EC9">
        <w:rPr>
          <w:iCs/>
          <w:sz w:val="24"/>
          <w:szCs w:val="24"/>
        </w:rPr>
        <w:t xml:space="preserve"> 4 748 </w:t>
      </w:r>
      <w:proofErr w:type="spellStart"/>
      <w:r w:rsidRPr="00883EC9">
        <w:rPr>
          <w:iCs/>
          <w:sz w:val="24"/>
          <w:szCs w:val="24"/>
        </w:rPr>
        <w:t>eFt</w:t>
      </w:r>
      <w:proofErr w:type="spellEnd"/>
      <w:r w:rsidRPr="00883EC9">
        <w:rPr>
          <w:iCs/>
          <w:sz w:val="24"/>
          <w:szCs w:val="24"/>
        </w:rPr>
        <w:t>, 47,5%-on teljesült az éves üzleti tervhez viszonyítva.</w:t>
      </w:r>
    </w:p>
    <w:p w:rsidR="000125A4" w:rsidRPr="00451654" w:rsidRDefault="000125A4" w:rsidP="000125A4">
      <w:pPr>
        <w:pStyle w:val="Szvegtrzs2"/>
        <w:numPr>
          <w:ilvl w:val="0"/>
          <w:numId w:val="0"/>
        </w:numPr>
        <w:tabs>
          <w:tab w:val="right" w:pos="5610"/>
          <w:tab w:val="left" w:pos="5670"/>
          <w:tab w:val="left" w:pos="7480"/>
        </w:tabs>
        <w:ind w:right="0"/>
        <w:rPr>
          <w:iCs/>
          <w:szCs w:val="24"/>
        </w:rPr>
      </w:pPr>
    </w:p>
    <w:p w:rsidR="000125A4" w:rsidRPr="00883EC9" w:rsidRDefault="000125A4" w:rsidP="000125A4">
      <w:pPr>
        <w:jc w:val="both"/>
        <w:rPr>
          <w:sz w:val="24"/>
          <w:szCs w:val="24"/>
        </w:rPr>
      </w:pPr>
      <w:r w:rsidRPr="00883EC9">
        <w:rPr>
          <w:b/>
          <w:bCs/>
          <w:i/>
          <w:sz w:val="24"/>
          <w:szCs w:val="24"/>
        </w:rPr>
        <w:t>Energia költség</w:t>
      </w:r>
      <w:r w:rsidRPr="00883EC9">
        <w:rPr>
          <w:i/>
          <w:sz w:val="24"/>
          <w:szCs w:val="24"/>
        </w:rPr>
        <w:t xml:space="preserve"> </w:t>
      </w:r>
      <w:r w:rsidRPr="00883EC9">
        <w:rPr>
          <w:sz w:val="24"/>
          <w:szCs w:val="24"/>
        </w:rPr>
        <w:t xml:space="preserve">az adott időszakra vonatkozó, a számviteli zárást követően érkezett számlákkal és a becsült fogyasztásokkal korrigálva 346 871 </w:t>
      </w:r>
      <w:proofErr w:type="spellStart"/>
      <w:r w:rsidRPr="00883EC9">
        <w:rPr>
          <w:sz w:val="24"/>
          <w:szCs w:val="24"/>
        </w:rPr>
        <w:t>eFt</w:t>
      </w:r>
      <w:proofErr w:type="spellEnd"/>
      <w:r w:rsidRPr="00883EC9">
        <w:rPr>
          <w:sz w:val="24"/>
          <w:szCs w:val="24"/>
        </w:rPr>
        <w:t xml:space="preserve"> (49,1%).</w:t>
      </w:r>
    </w:p>
    <w:p w:rsidR="000125A4" w:rsidRPr="00883EC9" w:rsidRDefault="000125A4" w:rsidP="000125A4">
      <w:pPr>
        <w:jc w:val="both"/>
        <w:rPr>
          <w:sz w:val="24"/>
          <w:szCs w:val="24"/>
        </w:rPr>
      </w:pPr>
      <w:r w:rsidRPr="00883EC9">
        <w:rPr>
          <w:i/>
          <w:iCs/>
          <w:sz w:val="24"/>
          <w:szCs w:val="24"/>
        </w:rPr>
        <w:t>Villamos energia</w:t>
      </w:r>
      <w:r w:rsidRPr="00883EC9">
        <w:rPr>
          <w:sz w:val="24"/>
          <w:szCs w:val="24"/>
        </w:rPr>
        <w:t xml:space="preserve"> </w:t>
      </w:r>
      <w:r w:rsidRPr="00883EC9">
        <w:rPr>
          <w:i/>
          <w:iCs/>
          <w:sz w:val="24"/>
          <w:szCs w:val="24"/>
        </w:rPr>
        <w:t>költsége</w:t>
      </w:r>
      <w:r w:rsidRPr="00883EC9">
        <w:rPr>
          <w:sz w:val="24"/>
          <w:szCs w:val="24"/>
        </w:rPr>
        <w:t xml:space="preserve"> az éves tervhez mérten 48,2 %-on teljesült a tárgyidőszakban, mértéke    250 530 </w:t>
      </w:r>
      <w:proofErr w:type="spellStart"/>
      <w:r w:rsidRPr="00883EC9">
        <w:rPr>
          <w:sz w:val="24"/>
          <w:szCs w:val="24"/>
        </w:rPr>
        <w:t>eFt</w:t>
      </w:r>
      <w:proofErr w:type="spellEnd"/>
      <w:r w:rsidRPr="00883EC9">
        <w:rPr>
          <w:sz w:val="24"/>
          <w:szCs w:val="24"/>
        </w:rPr>
        <w:t>:</w:t>
      </w:r>
    </w:p>
    <w:p w:rsidR="000125A4" w:rsidRPr="00883EC9" w:rsidRDefault="000125A4" w:rsidP="000125A4">
      <w:pPr>
        <w:numPr>
          <w:ilvl w:val="0"/>
          <w:numId w:val="3"/>
        </w:numPr>
        <w:tabs>
          <w:tab w:val="clear" w:pos="502"/>
        </w:tabs>
        <w:ind w:left="284" w:hanging="142"/>
        <w:jc w:val="both"/>
        <w:rPr>
          <w:sz w:val="24"/>
          <w:szCs w:val="24"/>
        </w:rPr>
      </w:pPr>
      <w:r w:rsidRPr="00883EC9">
        <w:rPr>
          <w:i/>
          <w:sz w:val="24"/>
          <w:szCs w:val="24"/>
        </w:rPr>
        <w:t xml:space="preserve">Ivóvíztermelés és </w:t>
      </w:r>
      <w:proofErr w:type="spellStart"/>
      <w:r w:rsidRPr="00883EC9">
        <w:rPr>
          <w:i/>
          <w:sz w:val="24"/>
          <w:szCs w:val="24"/>
        </w:rPr>
        <w:t>-szolgáltatás</w:t>
      </w:r>
      <w:proofErr w:type="spellEnd"/>
      <w:r w:rsidRPr="00883EC9">
        <w:rPr>
          <w:sz w:val="24"/>
          <w:szCs w:val="24"/>
        </w:rPr>
        <w:t xml:space="preserve"> ágazat által felhasznált villamos energia mennyisége a Szombathelyi Vízszolgáltatási Üzemmérnökség területén 1,5%-kal alacsonyabb a terv időarányos részéhez képest. </w:t>
      </w:r>
    </w:p>
    <w:p w:rsidR="000125A4" w:rsidRPr="00883EC9" w:rsidRDefault="000125A4" w:rsidP="00920BB3">
      <w:pPr>
        <w:numPr>
          <w:ilvl w:val="0"/>
          <w:numId w:val="3"/>
        </w:numPr>
        <w:tabs>
          <w:tab w:val="clear" w:pos="502"/>
        </w:tabs>
        <w:ind w:left="284" w:hanging="142"/>
        <w:jc w:val="both"/>
        <w:rPr>
          <w:sz w:val="24"/>
          <w:szCs w:val="24"/>
        </w:rPr>
      </w:pPr>
      <w:r w:rsidRPr="00883EC9">
        <w:rPr>
          <w:i/>
          <w:sz w:val="24"/>
          <w:szCs w:val="24"/>
        </w:rPr>
        <w:t xml:space="preserve"> Szennyvízelvezetés és </w:t>
      </w:r>
      <w:proofErr w:type="spellStart"/>
      <w:r w:rsidRPr="00883EC9">
        <w:rPr>
          <w:i/>
          <w:sz w:val="24"/>
          <w:szCs w:val="24"/>
        </w:rPr>
        <w:t>-tisztítás</w:t>
      </w:r>
      <w:proofErr w:type="spellEnd"/>
      <w:r w:rsidRPr="00883EC9">
        <w:rPr>
          <w:i/>
          <w:sz w:val="24"/>
          <w:szCs w:val="24"/>
        </w:rPr>
        <w:t xml:space="preserve"> villamos energia felhasználása 52,8 %-on teljesült. A villamos</w:t>
      </w:r>
      <w:r w:rsidRPr="00883EC9">
        <w:rPr>
          <w:sz w:val="24"/>
          <w:szCs w:val="24"/>
        </w:rPr>
        <w:t xml:space="preserve"> energia felhasználás bázisévhez képest 133 </w:t>
      </w:r>
      <w:proofErr w:type="spellStart"/>
      <w:r w:rsidRPr="00883EC9">
        <w:rPr>
          <w:sz w:val="24"/>
          <w:szCs w:val="24"/>
        </w:rPr>
        <w:t>MWh-val</w:t>
      </w:r>
      <w:proofErr w:type="spellEnd"/>
      <w:r w:rsidRPr="00883EC9">
        <w:rPr>
          <w:sz w:val="24"/>
          <w:szCs w:val="24"/>
        </w:rPr>
        <w:t xml:space="preserve"> nőtt. Ennek okai: a szombathelyi telepen a fokozott iszapkezelés, Peresznyén a tartós hideg miatti folyamatos levegőztetés, körmendi telepen a 2. UV fertőtlenítő beindítása valamint Hegyháthodászon nem üzemel a napelemes erőmű. </w:t>
      </w:r>
    </w:p>
    <w:p w:rsidR="000125A4" w:rsidRPr="00883EC9" w:rsidRDefault="000125A4" w:rsidP="000125A4">
      <w:pPr>
        <w:jc w:val="both"/>
        <w:rPr>
          <w:sz w:val="24"/>
          <w:szCs w:val="24"/>
        </w:rPr>
      </w:pPr>
      <w:r w:rsidRPr="00883EC9">
        <w:rPr>
          <w:i/>
          <w:iCs/>
          <w:sz w:val="24"/>
          <w:szCs w:val="24"/>
        </w:rPr>
        <w:t xml:space="preserve">Üzemanyagköltség, egyéb energia </w:t>
      </w:r>
      <w:r w:rsidRPr="00883EC9">
        <w:rPr>
          <w:sz w:val="24"/>
          <w:szCs w:val="24"/>
        </w:rPr>
        <w:t xml:space="preserve">korrigált értéke 56 560 </w:t>
      </w:r>
      <w:proofErr w:type="spellStart"/>
      <w:r w:rsidRPr="00883EC9">
        <w:rPr>
          <w:sz w:val="24"/>
          <w:szCs w:val="24"/>
        </w:rPr>
        <w:t>eFt</w:t>
      </w:r>
      <w:proofErr w:type="spellEnd"/>
      <w:r w:rsidRPr="00883EC9">
        <w:rPr>
          <w:sz w:val="24"/>
          <w:szCs w:val="24"/>
        </w:rPr>
        <w:t>, 53,8 %.</w:t>
      </w:r>
    </w:p>
    <w:p w:rsidR="000125A4" w:rsidRPr="00883EC9" w:rsidRDefault="000125A4" w:rsidP="000125A4">
      <w:pPr>
        <w:jc w:val="both"/>
        <w:rPr>
          <w:sz w:val="24"/>
          <w:szCs w:val="24"/>
        </w:rPr>
      </w:pPr>
      <w:r w:rsidRPr="00883EC9">
        <w:rPr>
          <w:i/>
          <w:iCs/>
          <w:sz w:val="24"/>
          <w:szCs w:val="24"/>
        </w:rPr>
        <w:t>Földgáz</w:t>
      </w:r>
      <w:r w:rsidRPr="00883EC9">
        <w:rPr>
          <w:sz w:val="24"/>
          <w:szCs w:val="24"/>
        </w:rPr>
        <w:t xml:space="preserve"> költség a terv időarányos szintjéhez képest 1,6 %-kal alacsonyabb, mértéke 3</w:t>
      </w:r>
      <w:r w:rsidR="004F2277">
        <w:rPr>
          <w:sz w:val="24"/>
          <w:szCs w:val="24"/>
        </w:rPr>
        <w:t xml:space="preserve">9 781 </w:t>
      </w:r>
      <w:proofErr w:type="spellStart"/>
      <w:r w:rsidR="004F2277">
        <w:rPr>
          <w:sz w:val="24"/>
          <w:szCs w:val="24"/>
        </w:rPr>
        <w:t>eFt</w:t>
      </w:r>
      <w:proofErr w:type="spellEnd"/>
      <w:r w:rsidR="004F2277">
        <w:rPr>
          <w:sz w:val="24"/>
          <w:szCs w:val="24"/>
        </w:rPr>
        <w:t xml:space="preserve">. A </w:t>
      </w:r>
      <w:r w:rsidR="004F2277" w:rsidRPr="00883EC9">
        <w:rPr>
          <w:sz w:val="24"/>
          <w:szCs w:val="24"/>
        </w:rPr>
        <w:t>Fedett Uszod</w:t>
      </w:r>
      <w:r w:rsidR="001E08FC">
        <w:rPr>
          <w:sz w:val="24"/>
          <w:szCs w:val="24"/>
        </w:rPr>
        <w:t>ában az</w:t>
      </w:r>
      <w:r w:rsidR="004F2277" w:rsidRPr="00883EC9">
        <w:rPr>
          <w:sz w:val="24"/>
          <w:szCs w:val="24"/>
        </w:rPr>
        <w:t xml:space="preserve"> </w:t>
      </w:r>
      <w:r w:rsidR="004F2277">
        <w:rPr>
          <w:sz w:val="24"/>
          <w:szCs w:val="24"/>
        </w:rPr>
        <w:t xml:space="preserve">AVUS TAO beruházáson belül elvégzett rekonstrukció eredményeként javultak a </w:t>
      </w:r>
      <w:proofErr w:type="spellStart"/>
      <w:r w:rsidR="004F2277">
        <w:rPr>
          <w:sz w:val="24"/>
          <w:szCs w:val="24"/>
        </w:rPr>
        <w:t>hőtechnikai</w:t>
      </w:r>
      <w:proofErr w:type="spellEnd"/>
      <w:r w:rsidR="004F2277">
        <w:rPr>
          <w:sz w:val="24"/>
          <w:szCs w:val="24"/>
        </w:rPr>
        <w:t xml:space="preserve"> jellemzők, ez</w:t>
      </w:r>
      <w:r w:rsidRPr="00883EC9">
        <w:rPr>
          <w:sz w:val="24"/>
          <w:szCs w:val="24"/>
        </w:rPr>
        <w:t xml:space="preserve"> hozzájárult az alacsonyabb földgáz felhasználáshoz.</w:t>
      </w:r>
    </w:p>
    <w:p w:rsidR="000125A4" w:rsidRPr="00883EC9" w:rsidRDefault="000125A4" w:rsidP="000125A4">
      <w:pPr>
        <w:jc w:val="both"/>
        <w:rPr>
          <w:sz w:val="12"/>
          <w:szCs w:val="12"/>
        </w:rPr>
      </w:pPr>
    </w:p>
    <w:p w:rsidR="000125A4" w:rsidRPr="00883EC9" w:rsidRDefault="000125A4" w:rsidP="000125A4">
      <w:pPr>
        <w:pStyle w:val="NormlWeb"/>
        <w:spacing w:before="0" w:beforeAutospacing="0"/>
        <w:jc w:val="both"/>
        <w:rPr>
          <w:rFonts w:ascii="Times New Roman" w:hAnsi="Times New Roman"/>
        </w:rPr>
      </w:pPr>
      <w:r w:rsidRPr="00883EC9">
        <w:rPr>
          <w:rFonts w:ascii="Times New Roman" w:hAnsi="Times New Roman"/>
          <w:b/>
          <w:bCs/>
          <w:i/>
        </w:rPr>
        <w:t>Igénybevett szolgáltatások</w:t>
      </w:r>
      <w:r w:rsidRPr="00883EC9">
        <w:rPr>
          <w:rFonts w:ascii="Times New Roman" w:hAnsi="Times New Roman"/>
          <w:i/>
        </w:rPr>
        <w:t xml:space="preserve"> </w:t>
      </w:r>
      <w:r w:rsidRPr="00883EC9">
        <w:rPr>
          <w:rFonts w:ascii="Times New Roman" w:hAnsi="Times New Roman"/>
        </w:rPr>
        <w:t xml:space="preserve">értéke 823 040 </w:t>
      </w:r>
      <w:proofErr w:type="spellStart"/>
      <w:r w:rsidRPr="00883EC9">
        <w:rPr>
          <w:rFonts w:ascii="Times New Roman" w:hAnsi="Times New Roman"/>
        </w:rPr>
        <w:t>eFt</w:t>
      </w:r>
      <w:proofErr w:type="spellEnd"/>
      <w:r w:rsidRPr="00883EC9">
        <w:rPr>
          <w:rFonts w:ascii="Times New Roman" w:hAnsi="Times New Roman"/>
        </w:rPr>
        <w:t xml:space="preserve"> (44,9%)</w:t>
      </w:r>
    </w:p>
    <w:p w:rsidR="000125A4" w:rsidRPr="00883EC9" w:rsidRDefault="000125A4" w:rsidP="000125A4">
      <w:pPr>
        <w:pStyle w:val="NormlWeb"/>
        <w:spacing w:before="0" w:beforeAutospacing="0"/>
        <w:jc w:val="both"/>
        <w:rPr>
          <w:rFonts w:ascii="Times New Roman" w:hAnsi="Times New Roman"/>
        </w:rPr>
      </w:pPr>
      <w:r w:rsidRPr="00883EC9">
        <w:rPr>
          <w:rFonts w:ascii="Times New Roman" w:hAnsi="Times New Roman"/>
        </w:rPr>
        <w:t>Jelentősebb tételei:</w:t>
      </w:r>
    </w:p>
    <w:p w:rsidR="000125A4" w:rsidRPr="00883EC9" w:rsidRDefault="000125A4" w:rsidP="000125A4">
      <w:pPr>
        <w:pStyle w:val="NormlWeb"/>
        <w:spacing w:before="0" w:beforeAutospacing="0"/>
        <w:jc w:val="both"/>
        <w:rPr>
          <w:rFonts w:ascii="Times New Roman" w:hAnsi="Times New Roman"/>
        </w:rPr>
      </w:pPr>
      <w:r w:rsidRPr="00883EC9">
        <w:rPr>
          <w:rFonts w:ascii="Times New Roman" w:hAnsi="Times New Roman"/>
        </w:rPr>
        <w:t xml:space="preserve">Az önkormányzati tulajdonú ivóvíz- és szennyvízrendszerek üzemeltetéséhez kapcsolódó </w:t>
      </w:r>
      <w:r w:rsidRPr="00883EC9">
        <w:rPr>
          <w:rFonts w:ascii="Times New Roman" w:hAnsi="Times New Roman"/>
          <w:i/>
          <w:iCs/>
        </w:rPr>
        <w:t>használati díjak</w:t>
      </w:r>
      <w:r w:rsidRPr="00883EC9">
        <w:rPr>
          <w:rFonts w:ascii="Times New Roman" w:hAnsi="Times New Roman"/>
        </w:rPr>
        <w:t xml:space="preserve"> korrigált értéke 402 258 </w:t>
      </w:r>
      <w:proofErr w:type="spellStart"/>
      <w:r w:rsidRPr="00883EC9">
        <w:rPr>
          <w:rFonts w:ascii="Times New Roman" w:hAnsi="Times New Roman"/>
        </w:rPr>
        <w:t>eFt</w:t>
      </w:r>
      <w:proofErr w:type="spellEnd"/>
      <w:r w:rsidRPr="00883EC9">
        <w:rPr>
          <w:rFonts w:ascii="Times New Roman" w:hAnsi="Times New Roman"/>
        </w:rPr>
        <w:t xml:space="preserve">. </w:t>
      </w:r>
    </w:p>
    <w:p w:rsidR="000125A4" w:rsidRPr="00883EC9" w:rsidRDefault="000125A4" w:rsidP="000125A4">
      <w:pPr>
        <w:ind w:right="-141"/>
        <w:jc w:val="both"/>
        <w:rPr>
          <w:sz w:val="24"/>
          <w:szCs w:val="24"/>
        </w:rPr>
      </w:pPr>
      <w:r w:rsidRPr="00883EC9">
        <w:rPr>
          <w:i/>
          <w:iCs/>
          <w:sz w:val="24"/>
          <w:szCs w:val="24"/>
        </w:rPr>
        <w:t>Idegen fenntartás</w:t>
      </w:r>
      <w:r w:rsidRPr="00883EC9">
        <w:rPr>
          <w:sz w:val="24"/>
          <w:szCs w:val="24"/>
        </w:rPr>
        <w:t xml:space="preserve"> költsége a későn érkezett számlákkal korrigálva 35,1%, értéke 54 345 </w:t>
      </w:r>
      <w:proofErr w:type="spellStart"/>
      <w:r w:rsidRPr="00883EC9">
        <w:rPr>
          <w:sz w:val="24"/>
          <w:szCs w:val="24"/>
        </w:rPr>
        <w:t>eFt</w:t>
      </w:r>
      <w:proofErr w:type="spellEnd"/>
      <w:r w:rsidRPr="00883EC9">
        <w:rPr>
          <w:sz w:val="24"/>
          <w:szCs w:val="24"/>
        </w:rPr>
        <w:t xml:space="preserve">. </w:t>
      </w:r>
    </w:p>
    <w:p w:rsidR="000125A4" w:rsidRPr="00883EC9" w:rsidRDefault="000125A4" w:rsidP="00E42BAA">
      <w:pPr>
        <w:ind w:right="-141"/>
        <w:jc w:val="both"/>
        <w:rPr>
          <w:sz w:val="24"/>
          <w:szCs w:val="24"/>
        </w:rPr>
      </w:pPr>
      <w:r w:rsidRPr="00883EC9">
        <w:rPr>
          <w:i/>
          <w:sz w:val="24"/>
          <w:szCs w:val="24"/>
        </w:rPr>
        <w:t>A gépjárművek, munkagépek javításának</w:t>
      </w:r>
      <w:r w:rsidRPr="00883EC9">
        <w:rPr>
          <w:sz w:val="24"/>
          <w:szCs w:val="24"/>
        </w:rPr>
        <w:t xml:space="preserve"> költsége 2017. I. félévben 8 577 </w:t>
      </w:r>
      <w:proofErr w:type="spellStart"/>
      <w:r w:rsidRPr="00883EC9">
        <w:rPr>
          <w:sz w:val="24"/>
          <w:szCs w:val="24"/>
        </w:rPr>
        <w:t>eFt</w:t>
      </w:r>
      <w:proofErr w:type="spellEnd"/>
      <w:r w:rsidRPr="00883EC9">
        <w:rPr>
          <w:sz w:val="24"/>
          <w:szCs w:val="24"/>
        </w:rPr>
        <w:t xml:space="preserve"> (39%).</w:t>
      </w:r>
    </w:p>
    <w:p w:rsidR="003151BB" w:rsidRDefault="003151BB">
      <w:pPr>
        <w:rPr>
          <w:i/>
          <w:sz w:val="24"/>
          <w:szCs w:val="24"/>
        </w:rPr>
      </w:pPr>
      <w:r>
        <w:rPr>
          <w:i/>
          <w:sz w:val="24"/>
          <w:szCs w:val="24"/>
        </w:rPr>
        <w:br w:type="page"/>
      </w:r>
    </w:p>
    <w:p w:rsidR="003151BB" w:rsidRDefault="003151BB" w:rsidP="00E42BAA">
      <w:pPr>
        <w:ind w:right="-141"/>
        <w:jc w:val="both"/>
        <w:rPr>
          <w:i/>
          <w:sz w:val="24"/>
          <w:szCs w:val="24"/>
        </w:rPr>
      </w:pPr>
    </w:p>
    <w:p w:rsidR="003151BB" w:rsidRDefault="003151BB" w:rsidP="00E42BAA">
      <w:pPr>
        <w:ind w:right="-141"/>
        <w:jc w:val="both"/>
        <w:rPr>
          <w:i/>
          <w:sz w:val="24"/>
          <w:szCs w:val="24"/>
        </w:rPr>
      </w:pPr>
    </w:p>
    <w:p w:rsidR="000125A4" w:rsidRPr="00344435" w:rsidRDefault="000125A4" w:rsidP="00200B1A">
      <w:pPr>
        <w:ind w:right="-1"/>
        <w:jc w:val="both"/>
        <w:rPr>
          <w:sz w:val="24"/>
          <w:szCs w:val="24"/>
        </w:rPr>
      </w:pPr>
      <w:r w:rsidRPr="00344435">
        <w:rPr>
          <w:i/>
          <w:sz w:val="24"/>
          <w:szCs w:val="24"/>
        </w:rPr>
        <w:t xml:space="preserve">Szentgotthárd </w:t>
      </w:r>
      <w:r w:rsidR="00200B1A">
        <w:rPr>
          <w:i/>
          <w:sz w:val="24"/>
          <w:szCs w:val="24"/>
        </w:rPr>
        <w:t xml:space="preserve"> </w:t>
      </w:r>
      <w:r w:rsidRPr="00344435">
        <w:rPr>
          <w:i/>
          <w:sz w:val="24"/>
          <w:szCs w:val="24"/>
        </w:rPr>
        <w:t>és</w:t>
      </w:r>
      <w:r w:rsidR="00200B1A">
        <w:rPr>
          <w:i/>
          <w:sz w:val="24"/>
          <w:szCs w:val="24"/>
        </w:rPr>
        <w:t xml:space="preserve"> </w:t>
      </w:r>
      <w:r w:rsidRPr="00344435">
        <w:rPr>
          <w:i/>
          <w:sz w:val="24"/>
          <w:szCs w:val="24"/>
        </w:rPr>
        <w:t xml:space="preserve"> Csörötnek</w:t>
      </w:r>
      <w:r w:rsidR="00200B1A">
        <w:rPr>
          <w:i/>
          <w:sz w:val="24"/>
          <w:szCs w:val="24"/>
        </w:rPr>
        <w:t xml:space="preserve"> </w:t>
      </w:r>
      <w:r w:rsidRPr="00344435">
        <w:rPr>
          <w:i/>
          <w:sz w:val="24"/>
          <w:szCs w:val="24"/>
        </w:rPr>
        <w:t xml:space="preserve"> szennyvíztisztítás </w:t>
      </w:r>
      <w:r w:rsidR="00200B1A">
        <w:rPr>
          <w:i/>
          <w:sz w:val="24"/>
          <w:szCs w:val="24"/>
        </w:rPr>
        <w:t xml:space="preserve"> </w:t>
      </w:r>
      <w:r w:rsidRPr="00344435">
        <w:rPr>
          <w:i/>
          <w:sz w:val="24"/>
          <w:szCs w:val="24"/>
        </w:rPr>
        <w:t>bérmunkadíj költsége</w:t>
      </w:r>
      <w:r w:rsidRPr="00344435">
        <w:rPr>
          <w:iCs/>
          <w:sz w:val="24"/>
          <w:szCs w:val="24"/>
        </w:rPr>
        <w:t xml:space="preserve"> </w:t>
      </w:r>
      <w:r w:rsidR="00344435">
        <w:rPr>
          <w:iCs/>
          <w:sz w:val="24"/>
          <w:szCs w:val="24"/>
        </w:rPr>
        <w:t xml:space="preserve"> </w:t>
      </w:r>
      <w:r w:rsidR="00200B1A">
        <w:rPr>
          <w:iCs/>
          <w:sz w:val="24"/>
          <w:szCs w:val="24"/>
        </w:rPr>
        <w:t xml:space="preserve"> </w:t>
      </w:r>
      <w:r w:rsidRPr="00344435">
        <w:rPr>
          <w:iCs/>
          <w:sz w:val="24"/>
          <w:szCs w:val="24"/>
        </w:rPr>
        <w:t xml:space="preserve">63 284 </w:t>
      </w:r>
      <w:proofErr w:type="spellStart"/>
      <w:r w:rsidRPr="00344435">
        <w:rPr>
          <w:iCs/>
          <w:sz w:val="24"/>
          <w:szCs w:val="24"/>
        </w:rPr>
        <w:t>eFt</w:t>
      </w:r>
      <w:proofErr w:type="spellEnd"/>
      <w:r w:rsidRPr="00344435">
        <w:rPr>
          <w:iCs/>
          <w:sz w:val="24"/>
          <w:szCs w:val="24"/>
        </w:rPr>
        <w:t xml:space="preserve">, az éves terv </w:t>
      </w:r>
      <w:r w:rsidR="00344435">
        <w:rPr>
          <w:iCs/>
          <w:sz w:val="24"/>
          <w:szCs w:val="24"/>
        </w:rPr>
        <w:t xml:space="preserve"> </w:t>
      </w:r>
      <w:r w:rsidRPr="00344435">
        <w:rPr>
          <w:iCs/>
          <w:sz w:val="24"/>
          <w:szCs w:val="24"/>
        </w:rPr>
        <w:t>47,9 %-a</w:t>
      </w:r>
      <w:r w:rsidR="00344435" w:rsidRPr="00344435">
        <w:rPr>
          <w:iCs/>
          <w:sz w:val="24"/>
          <w:szCs w:val="24"/>
        </w:rPr>
        <w:t>, m</w:t>
      </w:r>
      <w:r w:rsidRPr="00344435">
        <w:rPr>
          <w:sz w:val="24"/>
          <w:szCs w:val="24"/>
        </w:rPr>
        <w:t>értékét a II. negyedévre vonatkozó, a számviteli zárást követően érkezett számla mértékével korrigáltan vettük figyelembe.</w:t>
      </w:r>
    </w:p>
    <w:p w:rsidR="000125A4" w:rsidRPr="00883EC9" w:rsidRDefault="000125A4" w:rsidP="00200B1A">
      <w:pPr>
        <w:ind w:right="-142"/>
        <w:jc w:val="both"/>
        <w:rPr>
          <w:sz w:val="24"/>
          <w:szCs w:val="24"/>
        </w:rPr>
      </w:pPr>
      <w:r w:rsidRPr="00883EC9">
        <w:rPr>
          <w:i/>
          <w:iCs/>
          <w:sz w:val="24"/>
          <w:szCs w:val="24"/>
        </w:rPr>
        <w:t>A szennyvíziszap elhelyezés</w:t>
      </w:r>
      <w:r w:rsidRPr="00883EC9">
        <w:rPr>
          <w:sz w:val="24"/>
          <w:szCs w:val="24"/>
        </w:rPr>
        <w:t xml:space="preserve"> korrigált költsége időarányosan 44,3 %-on teljesült, mértéke 33 307 </w:t>
      </w:r>
      <w:proofErr w:type="spellStart"/>
      <w:r w:rsidRPr="00883EC9">
        <w:rPr>
          <w:sz w:val="24"/>
          <w:szCs w:val="24"/>
        </w:rPr>
        <w:t>eFt</w:t>
      </w:r>
      <w:proofErr w:type="spellEnd"/>
      <w:r w:rsidRPr="00883EC9">
        <w:rPr>
          <w:sz w:val="24"/>
          <w:szCs w:val="24"/>
        </w:rPr>
        <w:t>.</w:t>
      </w:r>
    </w:p>
    <w:p w:rsidR="000125A4" w:rsidRPr="00883EC9" w:rsidRDefault="000125A4" w:rsidP="00200B1A">
      <w:pPr>
        <w:ind w:right="-142"/>
        <w:jc w:val="both"/>
        <w:rPr>
          <w:sz w:val="24"/>
          <w:szCs w:val="24"/>
        </w:rPr>
      </w:pPr>
      <w:r w:rsidRPr="00883EC9">
        <w:rPr>
          <w:sz w:val="24"/>
          <w:szCs w:val="24"/>
        </w:rPr>
        <w:t>A kis telepekr</w:t>
      </w:r>
      <w:r w:rsidRPr="00883EC9">
        <w:rPr>
          <w:rFonts w:hint="eastAsia"/>
          <w:sz w:val="24"/>
          <w:szCs w:val="24"/>
        </w:rPr>
        <w:t>ő</w:t>
      </w:r>
      <w:r w:rsidRPr="00883EC9">
        <w:rPr>
          <w:sz w:val="24"/>
          <w:szCs w:val="24"/>
        </w:rPr>
        <w:t>l történ</w:t>
      </w:r>
      <w:r w:rsidRPr="00883EC9">
        <w:rPr>
          <w:rFonts w:hint="eastAsia"/>
          <w:sz w:val="24"/>
          <w:szCs w:val="24"/>
        </w:rPr>
        <w:t>ő</w:t>
      </w:r>
      <w:r w:rsidRPr="00883EC9">
        <w:rPr>
          <w:sz w:val="24"/>
          <w:szCs w:val="24"/>
        </w:rPr>
        <w:t xml:space="preserve"> iszapszállítás els</w:t>
      </w:r>
      <w:r w:rsidRPr="00883EC9">
        <w:rPr>
          <w:rFonts w:hint="eastAsia"/>
          <w:sz w:val="24"/>
          <w:szCs w:val="24"/>
        </w:rPr>
        <w:t>ő</w:t>
      </w:r>
      <w:r w:rsidRPr="00883EC9">
        <w:rPr>
          <w:sz w:val="24"/>
          <w:szCs w:val="24"/>
        </w:rPr>
        <w:t xml:space="preserve">sorban saját </w:t>
      </w:r>
      <w:r w:rsidR="00344435">
        <w:rPr>
          <w:sz w:val="24"/>
          <w:szCs w:val="24"/>
        </w:rPr>
        <w:t>gépjárművel</w:t>
      </w:r>
      <w:r w:rsidRPr="00883EC9">
        <w:rPr>
          <w:sz w:val="24"/>
          <w:szCs w:val="24"/>
        </w:rPr>
        <w:t xml:space="preserve"> történik. Szentgotthárdról, valamint Csörötnek és térségéből a </w:t>
      </w:r>
      <w:proofErr w:type="spellStart"/>
      <w:r w:rsidRPr="00883EC9">
        <w:rPr>
          <w:sz w:val="24"/>
          <w:szCs w:val="24"/>
        </w:rPr>
        <w:t>Heiligenkreuz-ban</w:t>
      </w:r>
      <w:proofErr w:type="spellEnd"/>
      <w:r w:rsidRPr="00883EC9">
        <w:rPr>
          <w:sz w:val="24"/>
          <w:szCs w:val="24"/>
        </w:rPr>
        <w:t xml:space="preserve"> (Ausztria) történő tisztítás után keletkező szennyvíziszapot hulladék-behozatali engedéllyel, visszaszállítást követően mezőgazdasági területeken helyezzük el. 2017. I. félévben a </w:t>
      </w:r>
      <w:proofErr w:type="spellStart"/>
      <w:r w:rsidRPr="00883EC9">
        <w:rPr>
          <w:sz w:val="24"/>
          <w:szCs w:val="24"/>
        </w:rPr>
        <w:t>Müllex-Körmend</w:t>
      </w:r>
      <w:proofErr w:type="spellEnd"/>
      <w:r w:rsidRPr="00883EC9">
        <w:rPr>
          <w:sz w:val="24"/>
          <w:szCs w:val="24"/>
        </w:rPr>
        <w:t xml:space="preserve"> Kft. által elszállított szennyvíziszap Körmendről 789,8 t, Bajánsenye szennyvíztisztító telepről 6,1 t volt. </w:t>
      </w:r>
    </w:p>
    <w:p w:rsidR="000125A4" w:rsidRPr="00883EC9" w:rsidRDefault="000125A4" w:rsidP="00200B1A">
      <w:pPr>
        <w:ind w:right="-142"/>
        <w:jc w:val="both"/>
        <w:rPr>
          <w:sz w:val="24"/>
          <w:szCs w:val="24"/>
        </w:rPr>
      </w:pPr>
      <w:r w:rsidRPr="00883EC9">
        <w:rPr>
          <w:sz w:val="24"/>
          <w:szCs w:val="24"/>
        </w:rPr>
        <w:t>A komposztáló telepről a vizsgált időszakban keletkezett komposzt túlnyomó részét a gazdák szállították és helyezték el, ez társaságunknál költséget nem jelentett.</w:t>
      </w:r>
    </w:p>
    <w:p w:rsidR="000125A4" w:rsidRPr="00883EC9" w:rsidRDefault="000125A4" w:rsidP="00200B1A">
      <w:pPr>
        <w:ind w:right="-142"/>
        <w:jc w:val="both"/>
        <w:rPr>
          <w:sz w:val="24"/>
          <w:szCs w:val="24"/>
        </w:rPr>
      </w:pPr>
      <w:r w:rsidRPr="00883EC9">
        <w:rPr>
          <w:i/>
          <w:sz w:val="24"/>
          <w:szCs w:val="24"/>
        </w:rPr>
        <w:t xml:space="preserve">Távközlés, postai szolgáltatás </w:t>
      </w:r>
      <w:r w:rsidRPr="00883EC9">
        <w:rPr>
          <w:sz w:val="24"/>
          <w:szCs w:val="24"/>
        </w:rPr>
        <w:t xml:space="preserve">értéke 2017. I. félévben 40 627 </w:t>
      </w:r>
      <w:proofErr w:type="spellStart"/>
      <w:r w:rsidRPr="00883EC9">
        <w:rPr>
          <w:sz w:val="24"/>
          <w:szCs w:val="24"/>
        </w:rPr>
        <w:t>eFt</w:t>
      </w:r>
      <w:proofErr w:type="spellEnd"/>
      <w:r w:rsidRPr="00883EC9">
        <w:rPr>
          <w:sz w:val="24"/>
          <w:szCs w:val="24"/>
        </w:rPr>
        <w:t>, a tervezett érték 49,3%-a.</w:t>
      </w:r>
    </w:p>
    <w:p w:rsidR="003151BB" w:rsidRDefault="000125A4" w:rsidP="00200B1A">
      <w:pPr>
        <w:ind w:right="-142"/>
        <w:jc w:val="both"/>
        <w:rPr>
          <w:sz w:val="24"/>
          <w:szCs w:val="24"/>
        </w:rPr>
      </w:pPr>
      <w:r w:rsidRPr="00883EC9">
        <w:rPr>
          <w:sz w:val="24"/>
          <w:szCs w:val="24"/>
        </w:rPr>
        <w:t xml:space="preserve">Ebből a számlaküldemény, archiválás költsége tárgyidőszakban 8 830 </w:t>
      </w:r>
      <w:proofErr w:type="spellStart"/>
      <w:r w:rsidRPr="00883EC9">
        <w:rPr>
          <w:sz w:val="24"/>
          <w:szCs w:val="24"/>
        </w:rPr>
        <w:t>eFt</w:t>
      </w:r>
      <w:proofErr w:type="spellEnd"/>
      <w:r w:rsidRPr="00883EC9">
        <w:rPr>
          <w:sz w:val="24"/>
          <w:szCs w:val="24"/>
        </w:rPr>
        <w:t xml:space="preserve"> volt. </w:t>
      </w:r>
    </w:p>
    <w:p w:rsidR="000125A4" w:rsidRPr="00883EC9" w:rsidRDefault="000125A4" w:rsidP="00200B1A">
      <w:pPr>
        <w:ind w:right="-142"/>
        <w:jc w:val="both"/>
        <w:rPr>
          <w:sz w:val="24"/>
          <w:szCs w:val="24"/>
        </w:rPr>
      </w:pPr>
      <w:r w:rsidRPr="00883EC9">
        <w:rPr>
          <w:i/>
          <w:sz w:val="24"/>
          <w:szCs w:val="24"/>
        </w:rPr>
        <w:t xml:space="preserve">Minőség-ellenőrzés </w:t>
      </w:r>
      <w:r w:rsidRPr="00883EC9">
        <w:rPr>
          <w:sz w:val="24"/>
          <w:szCs w:val="24"/>
        </w:rPr>
        <w:t xml:space="preserve">költsége a korrekciós tételek figyelembe vételével 3 036 </w:t>
      </w:r>
      <w:proofErr w:type="spellStart"/>
      <w:r w:rsidRPr="00883EC9">
        <w:rPr>
          <w:sz w:val="24"/>
          <w:szCs w:val="24"/>
        </w:rPr>
        <w:t>eFt</w:t>
      </w:r>
      <w:proofErr w:type="spellEnd"/>
      <w:r w:rsidRPr="00883EC9">
        <w:rPr>
          <w:sz w:val="24"/>
          <w:szCs w:val="24"/>
        </w:rPr>
        <w:t xml:space="preserve"> (19,6 %)</w:t>
      </w:r>
    </w:p>
    <w:p w:rsidR="000125A4" w:rsidRPr="00883EC9" w:rsidRDefault="000125A4" w:rsidP="00E119B6">
      <w:pPr>
        <w:ind w:right="-142"/>
        <w:jc w:val="both"/>
        <w:rPr>
          <w:sz w:val="24"/>
          <w:szCs w:val="24"/>
        </w:rPr>
      </w:pPr>
    </w:p>
    <w:p w:rsidR="000125A4" w:rsidRPr="00883EC9" w:rsidRDefault="000125A4" w:rsidP="00E119B6">
      <w:pPr>
        <w:pStyle w:val="Szvegtrzsbehzssal2"/>
        <w:tabs>
          <w:tab w:val="clear" w:pos="709"/>
          <w:tab w:val="left" w:pos="9214"/>
        </w:tabs>
        <w:ind w:left="0" w:right="-142" w:firstLine="0"/>
        <w:rPr>
          <w:szCs w:val="24"/>
        </w:rPr>
      </w:pPr>
      <w:r w:rsidRPr="00883EC9">
        <w:rPr>
          <w:i/>
          <w:iCs/>
          <w:szCs w:val="24"/>
        </w:rPr>
        <w:t>Egyéb igénybevett szolgáltatás</w:t>
      </w:r>
      <w:r w:rsidRPr="00883EC9">
        <w:rPr>
          <w:szCs w:val="24"/>
        </w:rPr>
        <w:t xml:space="preserve"> 226 183 </w:t>
      </w:r>
      <w:proofErr w:type="spellStart"/>
      <w:r w:rsidRPr="00883EC9">
        <w:rPr>
          <w:szCs w:val="24"/>
        </w:rPr>
        <w:t>eFt</w:t>
      </w:r>
      <w:proofErr w:type="spellEnd"/>
      <w:r w:rsidRPr="00883EC9">
        <w:rPr>
          <w:szCs w:val="24"/>
        </w:rPr>
        <w:t xml:space="preserve">, 41,9 %-os szintet ért el a tervhez képest. </w:t>
      </w:r>
    </w:p>
    <w:p w:rsidR="000125A4" w:rsidRPr="00883EC9" w:rsidRDefault="000125A4" w:rsidP="00E119B6">
      <w:pPr>
        <w:ind w:right="-142"/>
        <w:jc w:val="both"/>
        <w:rPr>
          <w:sz w:val="24"/>
          <w:szCs w:val="24"/>
        </w:rPr>
      </w:pPr>
      <w:r w:rsidRPr="00883EC9">
        <w:rPr>
          <w:i/>
          <w:iCs/>
          <w:sz w:val="24"/>
          <w:szCs w:val="24"/>
        </w:rPr>
        <w:t>Főbb tételei</w:t>
      </w:r>
      <w:r w:rsidRPr="00883EC9">
        <w:rPr>
          <w:sz w:val="24"/>
          <w:szCs w:val="24"/>
        </w:rPr>
        <w:t xml:space="preserve"> 203 754 </w:t>
      </w:r>
      <w:proofErr w:type="spellStart"/>
      <w:r w:rsidRPr="00883EC9">
        <w:rPr>
          <w:sz w:val="24"/>
          <w:szCs w:val="24"/>
        </w:rPr>
        <w:t>eFt-ot</w:t>
      </w:r>
      <w:proofErr w:type="spellEnd"/>
      <w:r w:rsidRPr="00883EC9">
        <w:rPr>
          <w:sz w:val="24"/>
          <w:szCs w:val="24"/>
        </w:rPr>
        <w:t xml:space="preserve"> tesznek ki. Jelentős tétele az építőipari szolgáltatások igénybevétele </w:t>
      </w:r>
      <w:r w:rsidR="00E42BAA">
        <w:rPr>
          <w:sz w:val="24"/>
          <w:szCs w:val="24"/>
        </w:rPr>
        <w:t xml:space="preserve">     </w:t>
      </w:r>
      <w:r w:rsidRPr="00883EC9">
        <w:rPr>
          <w:sz w:val="24"/>
          <w:szCs w:val="24"/>
        </w:rPr>
        <w:t>32,4 %-on teljesült, amely összefüggésben van az építőipari tevékenység árbevételének alakulásával.</w:t>
      </w:r>
    </w:p>
    <w:p w:rsidR="000125A4" w:rsidRPr="00883EC9" w:rsidRDefault="000125A4" w:rsidP="000125A4">
      <w:pPr>
        <w:pStyle w:val="NormlWeb"/>
        <w:tabs>
          <w:tab w:val="right" w:pos="5245"/>
        </w:tabs>
        <w:spacing w:before="0" w:beforeAutospacing="0"/>
        <w:ind w:left="567"/>
        <w:jc w:val="both"/>
        <w:rPr>
          <w:rFonts w:ascii="Times New Roman" w:hAnsi="Times New Roman"/>
          <w:sz w:val="23"/>
          <w:szCs w:val="23"/>
        </w:rPr>
      </w:pPr>
      <w:r w:rsidRPr="00883EC9">
        <w:rPr>
          <w:rFonts w:ascii="Times New Roman" w:hAnsi="Times New Roman"/>
          <w:sz w:val="23"/>
          <w:szCs w:val="23"/>
        </w:rPr>
        <w:t>Köztisztasági díjak</w:t>
      </w:r>
      <w:r w:rsidRPr="00883EC9">
        <w:rPr>
          <w:rFonts w:ascii="Times New Roman" w:hAnsi="Times New Roman"/>
          <w:sz w:val="23"/>
          <w:szCs w:val="23"/>
        </w:rPr>
        <w:tab/>
        <w:t xml:space="preserve">16 324 </w:t>
      </w:r>
      <w:proofErr w:type="spellStart"/>
      <w:r w:rsidRPr="00883EC9">
        <w:rPr>
          <w:rFonts w:ascii="Times New Roman" w:hAnsi="Times New Roman"/>
          <w:sz w:val="23"/>
          <w:szCs w:val="23"/>
        </w:rPr>
        <w:t>eFt</w:t>
      </w:r>
      <w:proofErr w:type="spellEnd"/>
    </w:p>
    <w:p w:rsidR="000125A4" w:rsidRPr="00883EC9" w:rsidRDefault="000125A4" w:rsidP="000125A4">
      <w:pPr>
        <w:pStyle w:val="NormlWeb"/>
        <w:tabs>
          <w:tab w:val="right" w:pos="5245"/>
        </w:tabs>
        <w:spacing w:before="0" w:beforeAutospacing="0"/>
        <w:ind w:left="567"/>
        <w:jc w:val="both"/>
        <w:rPr>
          <w:rFonts w:ascii="Times New Roman" w:hAnsi="Times New Roman"/>
          <w:sz w:val="23"/>
          <w:szCs w:val="23"/>
        </w:rPr>
      </w:pPr>
      <w:r w:rsidRPr="00883EC9">
        <w:rPr>
          <w:rFonts w:ascii="Times New Roman" w:hAnsi="Times New Roman"/>
          <w:sz w:val="23"/>
          <w:szCs w:val="23"/>
        </w:rPr>
        <w:t>Szakértői díjak</w:t>
      </w:r>
      <w:r w:rsidRPr="00883EC9">
        <w:rPr>
          <w:rFonts w:ascii="Times New Roman" w:hAnsi="Times New Roman"/>
          <w:sz w:val="23"/>
          <w:szCs w:val="23"/>
        </w:rPr>
        <w:tab/>
        <w:t xml:space="preserve">13 391 </w:t>
      </w:r>
      <w:proofErr w:type="spellStart"/>
      <w:r w:rsidRPr="00883EC9">
        <w:rPr>
          <w:rFonts w:ascii="Times New Roman" w:hAnsi="Times New Roman"/>
          <w:sz w:val="23"/>
          <w:szCs w:val="23"/>
        </w:rPr>
        <w:t>eFt</w:t>
      </w:r>
      <w:proofErr w:type="spellEnd"/>
    </w:p>
    <w:p w:rsidR="000125A4" w:rsidRPr="00883EC9" w:rsidRDefault="000125A4" w:rsidP="000125A4">
      <w:pPr>
        <w:pStyle w:val="NormlWeb"/>
        <w:tabs>
          <w:tab w:val="right" w:pos="5245"/>
        </w:tabs>
        <w:spacing w:before="0" w:beforeAutospacing="0"/>
        <w:ind w:left="567"/>
        <w:jc w:val="both"/>
        <w:rPr>
          <w:rFonts w:ascii="Times New Roman" w:hAnsi="Times New Roman"/>
          <w:sz w:val="23"/>
          <w:szCs w:val="23"/>
        </w:rPr>
      </w:pPr>
      <w:r w:rsidRPr="00883EC9">
        <w:rPr>
          <w:rFonts w:ascii="Times New Roman" w:hAnsi="Times New Roman"/>
          <w:sz w:val="23"/>
          <w:szCs w:val="23"/>
        </w:rPr>
        <w:t>Informatika</w:t>
      </w:r>
      <w:r w:rsidRPr="00883EC9">
        <w:rPr>
          <w:rFonts w:ascii="Times New Roman" w:hAnsi="Times New Roman"/>
          <w:sz w:val="23"/>
          <w:szCs w:val="23"/>
        </w:rPr>
        <w:tab/>
        <w:t xml:space="preserve">22 460 </w:t>
      </w:r>
      <w:proofErr w:type="spellStart"/>
      <w:r w:rsidRPr="00883EC9">
        <w:rPr>
          <w:rFonts w:ascii="Times New Roman" w:hAnsi="Times New Roman"/>
          <w:sz w:val="23"/>
          <w:szCs w:val="23"/>
        </w:rPr>
        <w:t>eFt</w:t>
      </w:r>
      <w:proofErr w:type="spellEnd"/>
    </w:p>
    <w:p w:rsidR="000125A4" w:rsidRPr="00883EC9" w:rsidRDefault="000125A4" w:rsidP="000125A4">
      <w:pPr>
        <w:pStyle w:val="NormlWeb"/>
        <w:tabs>
          <w:tab w:val="right" w:pos="5245"/>
        </w:tabs>
        <w:spacing w:before="0" w:beforeAutospacing="0"/>
        <w:ind w:left="567"/>
        <w:jc w:val="both"/>
        <w:rPr>
          <w:rFonts w:ascii="Times New Roman" w:hAnsi="Times New Roman"/>
          <w:sz w:val="23"/>
          <w:szCs w:val="23"/>
        </w:rPr>
      </w:pPr>
      <w:r w:rsidRPr="00883EC9">
        <w:rPr>
          <w:rFonts w:ascii="Times New Roman" w:hAnsi="Times New Roman"/>
          <w:sz w:val="23"/>
          <w:szCs w:val="23"/>
        </w:rPr>
        <w:t>Hirdetés, reklámköltség</w:t>
      </w:r>
      <w:r w:rsidRPr="00883EC9">
        <w:rPr>
          <w:rFonts w:ascii="Times New Roman" w:hAnsi="Times New Roman"/>
          <w:sz w:val="23"/>
          <w:szCs w:val="23"/>
        </w:rPr>
        <w:tab/>
        <w:t xml:space="preserve">25 000 </w:t>
      </w:r>
      <w:proofErr w:type="spellStart"/>
      <w:r w:rsidRPr="00883EC9">
        <w:rPr>
          <w:rFonts w:ascii="Times New Roman" w:hAnsi="Times New Roman"/>
          <w:sz w:val="23"/>
          <w:szCs w:val="23"/>
        </w:rPr>
        <w:t>eFt</w:t>
      </w:r>
      <w:proofErr w:type="spellEnd"/>
    </w:p>
    <w:p w:rsidR="000125A4" w:rsidRPr="00883EC9" w:rsidRDefault="000125A4" w:rsidP="000125A4">
      <w:pPr>
        <w:pStyle w:val="NormlWeb"/>
        <w:tabs>
          <w:tab w:val="right" w:pos="5245"/>
        </w:tabs>
        <w:spacing w:before="0" w:beforeAutospacing="0"/>
        <w:ind w:left="567"/>
        <w:jc w:val="both"/>
        <w:rPr>
          <w:rFonts w:ascii="Times New Roman" w:hAnsi="Times New Roman"/>
          <w:sz w:val="23"/>
          <w:szCs w:val="23"/>
        </w:rPr>
      </w:pPr>
      <w:r w:rsidRPr="00883EC9">
        <w:rPr>
          <w:rFonts w:ascii="Times New Roman" w:hAnsi="Times New Roman"/>
          <w:sz w:val="23"/>
          <w:szCs w:val="23"/>
        </w:rPr>
        <w:t>Oktatás, továbbképzés</w:t>
      </w:r>
      <w:r w:rsidRPr="00883EC9">
        <w:rPr>
          <w:rFonts w:ascii="Times New Roman" w:hAnsi="Times New Roman"/>
          <w:sz w:val="23"/>
          <w:szCs w:val="23"/>
        </w:rPr>
        <w:tab/>
        <w:t xml:space="preserve">4 771 </w:t>
      </w:r>
      <w:proofErr w:type="spellStart"/>
      <w:r w:rsidRPr="00883EC9">
        <w:rPr>
          <w:rFonts w:ascii="Times New Roman" w:hAnsi="Times New Roman"/>
          <w:sz w:val="23"/>
          <w:szCs w:val="23"/>
        </w:rPr>
        <w:t>eFt</w:t>
      </w:r>
      <w:proofErr w:type="spellEnd"/>
      <w:r w:rsidRPr="00883EC9">
        <w:rPr>
          <w:rFonts w:ascii="Times New Roman" w:hAnsi="Times New Roman"/>
          <w:sz w:val="23"/>
          <w:szCs w:val="23"/>
        </w:rPr>
        <w:t xml:space="preserve"> </w:t>
      </w:r>
    </w:p>
    <w:p w:rsidR="000125A4" w:rsidRPr="00883EC9" w:rsidRDefault="000125A4" w:rsidP="000125A4">
      <w:pPr>
        <w:pStyle w:val="NormlWeb"/>
        <w:tabs>
          <w:tab w:val="right" w:pos="5245"/>
        </w:tabs>
        <w:spacing w:before="0" w:beforeAutospacing="0"/>
        <w:ind w:left="567"/>
        <w:jc w:val="both"/>
        <w:rPr>
          <w:rFonts w:ascii="Times New Roman" w:hAnsi="Times New Roman"/>
          <w:sz w:val="23"/>
          <w:szCs w:val="23"/>
        </w:rPr>
      </w:pPr>
      <w:r w:rsidRPr="00883EC9">
        <w:rPr>
          <w:rFonts w:ascii="Times New Roman" w:hAnsi="Times New Roman"/>
          <w:sz w:val="23"/>
          <w:szCs w:val="23"/>
        </w:rPr>
        <w:t>Biztonsági őrzés</w:t>
      </w:r>
      <w:r w:rsidRPr="00883EC9">
        <w:rPr>
          <w:rFonts w:ascii="Times New Roman" w:hAnsi="Times New Roman"/>
          <w:sz w:val="23"/>
          <w:szCs w:val="23"/>
        </w:rPr>
        <w:tab/>
        <w:t xml:space="preserve">  9 854 </w:t>
      </w:r>
      <w:proofErr w:type="spellStart"/>
      <w:r w:rsidRPr="00883EC9">
        <w:rPr>
          <w:rFonts w:ascii="Times New Roman" w:hAnsi="Times New Roman"/>
          <w:sz w:val="23"/>
          <w:szCs w:val="23"/>
        </w:rPr>
        <w:t>eFt</w:t>
      </w:r>
      <w:proofErr w:type="spellEnd"/>
    </w:p>
    <w:p w:rsidR="000125A4" w:rsidRPr="00883EC9" w:rsidRDefault="000125A4" w:rsidP="000125A4">
      <w:pPr>
        <w:pStyle w:val="NormlWeb"/>
        <w:tabs>
          <w:tab w:val="right" w:pos="5245"/>
        </w:tabs>
        <w:spacing w:before="0" w:beforeAutospacing="0"/>
        <w:ind w:left="567"/>
        <w:jc w:val="both"/>
        <w:rPr>
          <w:rFonts w:ascii="Times New Roman" w:hAnsi="Times New Roman"/>
          <w:sz w:val="23"/>
          <w:szCs w:val="23"/>
        </w:rPr>
      </w:pPr>
      <w:r w:rsidRPr="00883EC9">
        <w:rPr>
          <w:rFonts w:ascii="Times New Roman" w:hAnsi="Times New Roman"/>
          <w:sz w:val="23"/>
          <w:szCs w:val="23"/>
        </w:rPr>
        <w:t>Takarítás</w:t>
      </w:r>
      <w:r w:rsidRPr="00883EC9">
        <w:rPr>
          <w:rFonts w:ascii="Times New Roman" w:hAnsi="Times New Roman"/>
          <w:sz w:val="23"/>
          <w:szCs w:val="23"/>
        </w:rPr>
        <w:tab/>
        <w:t xml:space="preserve">  8 900 </w:t>
      </w:r>
      <w:proofErr w:type="spellStart"/>
      <w:r w:rsidRPr="00883EC9">
        <w:rPr>
          <w:rFonts w:ascii="Times New Roman" w:hAnsi="Times New Roman"/>
          <w:sz w:val="23"/>
          <w:szCs w:val="23"/>
        </w:rPr>
        <w:t>eFt</w:t>
      </w:r>
      <w:proofErr w:type="spellEnd"/>
    </w:p>
    <w:p w:rsidR="000125A4" w:rsidRPr="00883EC9" w:rsidRDefault="000125A4" w:rsidP="000125A4">
      <w:pPr>
        <w:pStyle w:val="NormlWeb"/>
        <w:tabs>
          <w:tab w:val="right" w:pos="5245"/>
        </w:tabs>
        <w:spacing w:before="0" w:beforeAutospacing="0"/>
        <w:ind w:left="567"/>
        <w:jc w:val="both"/>
        <w:rPr>
          <w:rFonts w:ascii="Times New Roman" w:hAnsi="Times New Roman"/>
          <w:sz w:val="23"/>
          <w:szCs w:val="23"/>
        </w:rPr>
      </w:pPr>
      <w:r w:rsidRPr="00883EC9">
        <w:rPr>
          <w:rFonts w:ascii="Times New Roman" w:hAnsi="Times New Roman"/>
          <w:sz w:val="23"/>
          <w:szCs w:val="23"/>
        </w:rPr>
        <w:t xml:space="preserve">Építőipari </w:t>
      </w:r>
      <w:proofErr w:type="spellStart"/>
      <w:r w:rsidRPr="00883EC9">
        <w:rPr>
          <w:rFonts w:ascii="Times New Roman" w:hAnsi="Times New Roman"/>
          <w:sz w:val="23"/>
          <w:szCs w:val="23"/>
        </w:rPr>
        <w:t>szolg.igénybevétele</w:t>
      </w:r>
      <w:proofErr w:type="spellEnd"/>
      <w:r w:rsidRPr="00883EC9">
        <w:rPr>
          <w:rFonts w:ascii="Times New Roman" w:hAnsi="Times New Roman"/>
          <w:sz w:val="23"/>
          <w:szCs w:val="23"/>
        </w:rPr>
        <w:tab/>
        <w:t xml:space="preserve">  93 215 </w:t>
      </w:r>
      <w:proofErr w:type="spellStart"/>
      <w:r w:rsidRPr="00883EC9">
        <w:rPr>
          <w:rFonts w:ascii="Times New Roman" w:hAnsi="Times New Roman"/>
          <w:sz w:val="23"/>
          <w:szCs w:val="23"/>
        </w:rPr>
        <w:t>eFt</w:t>
      </w:r>
      <w:proofErr w:type="spellEnd"/>
    </w:p>
    <w:p w:rsidR="000125A4" w:rsidRPr="00883EC9" w:rsidRDefault="000125A4" w:rsidP="000125A4">
      <w:pPr>
        <w:pStyle w:val="NormlWeb"/>
        <w:tabs>
          <w:tab w:val="right" w:pos="5245"/>
        </w:tabs>
        <w:spacing w:before="0" w:beforeAutospacing="0"/>
        <w:ind w:left="567"/>
        <w:jc w:val="both"/>
        <w:rPr>
          <w:rFonts w:ascii="Times New Roman" w:hAnsi="Times New Roman"/>
          <w:sz w:val="23"/>
          <w:szCs w:val="23"/>
        </w:rPr>
      </w:pPr>
      <w:r w:rsidRPr="00883EC9">
        <w:rPr>
          <w:rFonts w:ascii="Times New Roman" w:hAnsi="Times New Roman"/>
          <w:sz w:val="23"/>
          <w:szCs w:val="23"/>
        </w:rPr>
        <w:t>Munkaruha bérlet</w:t>
      </w:r>
      <w:r w:rsidRPr="00883EC9">
        <w:rPr>
          <w:rFonts w:ascii="Times New Roman" w:hAnsi="Times New Roman"/>
          <w:sz w:val="23"/>
          <w:szCs w:val="23"/>
        </w:rPr>
        <w:tab/>
        <w:t xml:space="preserve"> 6 863 </w:t>
      </w:r>
      <w:proofErr w:type="spellStart"/>
      <w:r w:rsidRPr="00883EC9">
        <w:rPr>
          <w:rFonts w:ascii="Times New Roman" w:hAnsi="Times New Roman"/>
          <w:sz w:val="23"/>
          <w:szCs w:val="23"/>
        </w:rPr>
        <w:t>eFt</w:t>
      </w:r>
      <w:proofErr w:type="spellEnd"/>
    </w:p>
    <w:p w:rsidR="000125A4" w:rsidRPr="00883EC9" w:rsidRDefault="000125A4" w:rsidP="000125A4">
      <w:pPr>
        <w:pStyle w:val="NormlWeb"/>
        <w:tabs>
          <w:tab w:val="right" w:pos="5245"/>
        </w:tabs>
        <w:spacing w:before="0" w:beforeAutospacing="0"/>
        <w:ind w:left="567"/>
        <w:jc w:val="both"/>
        <w:rPr>
          <w:rFonts w:ascii="Times New Roman" w:hAnsi="Times New Roman"/>
          <w:sz w:val="23"/>
          <w:szCs w:val="23"/>
        </w:rPr>
      </w:pPr>
      <w:r w:rsidRPr="00883EC9">
        <w:rPr>
          <w:rFonts w:ascii="Times New Roman" w:hAnsi="Times New Roman"/>
          <w:sz w:val="23"/>
          <w:szCs w:val="23"/>
        </w:rPr>
        <w:t xml:space="preserve">Könyvvizsgálat                             </w:t>
      </w:r>
      <w:r w:rsidRPr="00883EC9">
        <w:rPr>
          <w:rFonts w:ascii="Times New Roman" w:hAnsi="Times New Roman"/>
          <w:sz w:val="23"/>
          <w:szCs w:val="23"/>
        </w:rPr>
        <w:tab/>
        <w:t xml:space="preserve"> 1 609 </w:t>
      </w:r>
      <w:proofErr w:type="spellStart"/>
      <w:r w:rsidRPr="00883EC9">
        <w:rPr>
          <w:rFonts w:ascii="Times New Roman" w:hAnsi="Times New Roman"/>
          <w:sz w:val="23"/>
          <w:szCs w:val="23"/>
        </w:rPr>
        <w:t>eFt</w:t>
      </w:r>
      <w:proofErr w:type="spellEnd"/>
    </w:p>
    <w:p w:rsidR="000125A4" w:rsidRPr="00883EC9" w:rsidRDefault="000125A4" w:rsidP="000125A4">
      <w:pPr>
        <w:pStyle w:val="NormlWeb"/>
        <w:tabs>
          <w:tab w:val="right" w:pos="5245"/>
        </w:tabs>
        <w:spacing w:before="0" w:beforeAutospacing="0"/>
        <w:ind w:left="567"/>
        <w:jc w:val="both"/>
        <w:rPr>
          <w:rFonts w:ascii="Times New Roman" w:hAnsi="Times New Roman"/>
          <w:sz w:val="23"/>
          <w:szCs w:val="23"/>
        </w:rPr>
      </w:pPr>
      <w:r w:rsidRPr="00883EC9">
        <w:rPr>
          <w:rFonts w:ascii="Times New Roman" w:hAnsi="Times New Roman"/>
          <w:sz w:val="23"/>
          <w:szCs w:val="23"/>
        </w:rPr>
        <w:t xml:space="preserve">Tagsági díjak </w:t>
      </w:r>
      <w:r w:rsidRPr="00883EC9">
        <w:rPr>
          <w:rFonts w:ascii="Times New Roman" w:hAnsi="Times New Roman"/>
          <w:sz w:val="23"/>
          <w:szCs w:val="23"/>
        </w:rPr>
        <w:tab/>
        <w:t xml:space="preserve">1 367 </w:t>
      </w:r>
      <w:proofErr w:type="spellStart"/>
      <w:r w:rsidRPr="00883EC9">
        <w:rPr>
          <w:rFonts w:ascii="Times New Roman" w:hAnsi="Times New Roman"/>
          <w:sz w:val="23"/>
          <w:szCs w:val="23"/>
        </w:rPr>
        <w:t>eFt</w:t>
      </w:r>
      <w:proofErr w:type="spellEnd"/>
    </w:p>
    <w:p w:rsidR="000125A4" w:rsidRPr="00883EC9" w:rsidRDefault="000125A4" w:rsidP="000125A4">
      <w:pPr>
        <w:pStyle w:val="NormlWeb"/>
        <w:pBdr>
          <w:top w:val="single" w:sz="4" w:space="1" w:color="auto"/>
        </w:pBdr>
        <w:tabs>
          <w:tab w:val="right" w:pos="5245"/>
        </w:tabs>
        <w:spacing w:before="0" w:beforeAutospacing="0"/>
        <w:ind w:left="567"/>
        <w:jc w:val="both"/>
        <w:rPr>
          <w:rFonts w:ascii="Times New Roman" w:hAnsi="Times New Roman"/>
          <w:sz w:val="23"/>
          <w:szCs w:val="23"/>
        </w:rPr>
      </w:pPr>
      <w:r w:rsidRPr="00883EC9">
        <w:rPr>
          <w:rFonts w:ascii="Times New Roman" w:hAnsi="Times New Roman"/>
          <w:sz w:val="23"/>
          <w:szCs w:val="23"/>
        </w:rPr>
        <w:t>Összesen</w:t>
      </w:r>
      <w:r w:rsidRPr="00883EC9">
        <w:rPr>
          <w:rFonts w:ascii="Times New Roman" w:hAnsi="Times New Roman"/>
          <w:sz w:val="23"/>
          <w:szCs w:val="23"/>
        </w:rPr>
        <w:tab/>
        <w:t xml:space="preserve">203 754 </w:t>
      </w:r>
      <w:proofErr w:type="spellStart"/>
      <w:r w:rsidRPr="00883EC9">
        <w:rPr>
          <w:rFonts w:ascii="Times New Roman" w:hAnsi="Times New Roman"/>
          <w:sz w:val="23"/>
          <w:szCs w:val="23"/>
        </w:rPr>
        <w:t>eFt</w:t>
      </w:r>
      <w:proofErr w:type="spellEnd"/>
    </w:p>
    <w:p w:rsidR="000125A4" w:rsidRPr="00883EC9" w:rsidRDefault="000125A4" w:rsidP="000125A4">
      <w:pPr>
        <w:jc w:val="both"/>
        <w:rPr>
          <w:sz w:val="16"/>
          <w:szCs w:val="16"/>
        </w:rPr>
      </w:pPr>
    </w:p>
    <w:p w:rsidR="000125A4" w:rsidRPr="00883EC9" w:rsidRDefault="000125A4" w:rsidP="000125A4">
      <w:pPr>
        <w:jc w:val="both"/>
        <w:rPr>
          <w:sz w:val="24"/>
          <w:szCs w:val="24"/>
        </w:rPr>
      </w:pPr>
      <w:r w:rsidRPr="00883EC9">
        <w:rPr>
          <w:b/>
          <w:i/>
          <w:iCs/>
          <w:sz w:val="24"/>
          <w:szCs w:val="24"/>
        </w:rPr>
        <w:t>Egyéb szolgáltatások költsége</w:t>
      </w:r>
      <w:r w:rsidRPr="00883EC9">
        <w:rPr>
          <w:i/>
          <w:iCs/>
          <w:sz w:val="24"/>
          <w:szCs w:val="24"/>
        </w:rPr>
        <w:t xml:space="preserve"> 48,7 %-on teljesült, mértéke 124 731 </w:t>
      </w:r>
      <w:proofErr w:type="spellStart"/>
      <w:r w:rsidRPr="00883EC9">
        <w:rPr>
          <w:i/>
          <w:iCs/>
          <w:sz w:val="24"/>
          <w:szCs w:val="24"/>
        </w:rPr>
        <w:t>eFt</w:t>
      </w:r>
      <w:proofErr w:type="spellEnd"/>
      <w:r w:rsidRPr="00883EC9">
        <w:rPr>
          <w:sz w:val="24"/>
          <w:szCs w:val="24"/>
        </w:rPr>
        <w:t xml:space="preserve">. </w:t>
      </w:r>
    </w:p>
    <w:p w:rsidR="000125A4" w:rsidRPr="00883EC9" w:rsidRDefault="000125A4" w:rsidP="000125A4">
      <w:pPr>
        <w:jc w:val="both"/>
        <w:rPr>
          <w:sz w:val="24"/>
          <w:szCs w:val="24"/>
        </w:rPr>
      </w:pPr>
      <w:r w:rsidRPr="00883EC9">
        <w:rPr>
          <w:i/>
          <w:sz w:val="24"/>
          <w:szCs w:val="24"/>
        </w:rPr>
        <w:t xml:space="preserve">A vízkészlet járulék </w:t>
      </w:r>
      <w:r w:rsidRPr="00883EC9">
        <w:rPr>
          <w:sz w:val="24"/>
          <w:szCs w:val="24"/>
        </w:rPr>
        <w:t xml:space="preserve">29 561 </w:t>
      </w:r>
      <w:proofErr w:type="spellStart"/>
      <w:r w:rsidRPr="00883EC9">
        <w:rPr>
          <w:sz w:val="24"/>
          <w:szCs w:val="24"/>
        </w:rPr>
        <w:t>eFt</w:t>
      </w:r>
      <w:proofErr w:type="spellEnd"/>
      <w:r w:rsidRPr="00883EC9">
        <w:rPr>
          <w:sz w:val="24"/>
          <w:szCs w:val="24"/>
        </w:rPr>
        <w:t>, a 4,5 Ft/m</w:t>
      </w:r>
      <w:r w:rsidRPr="00883EC9">
        <w:rPr>
          <w:sz w:val="24"/>
          <w:szCs w:val="24"/>
          <w:vertAlign w:val="superscript"/>
        </w:rPr>
        <w:t>3</w:t>
      </w:r>
      <w:r w:rsidRPr="00883EC9">
        <w:rPr>
          <w:sz w:val="24"/>
          <w:szCs w:val="24"/>
        </w:rPr>
        <w:t xml:space="preserve"> mértékű alapdíj 2017. évben nem változott.</w:t>
      </w:r>
    </w:p>
    <w:p w:rsidR="000125A4" w:rsidRPr="00883EC9" w:rsidRDefault="000125A4" w:rsidP="000125A4">
      <w:pPr>
        <w:jc w:val="both"/>
        <w:rPr>
          <w:sz w:val="24"/>
          <w:szCs w:val="24"/>
        </w:rPr>
      </w:pPr>
      <w:r w:rsidRPr="00883EC9">
        <w:rPr>
          <w:sz w:val="24"/>
          <w:szCs w:val="24"/>
        </w:rPr>
        <w:t xml:space="preserve">A Magyar Energetikai és Közmű-szabályozási Hivatal részére – a bevallott felhasználói egyenérték alapján – 2017. I. félévben fizetendő </w:t>
      </w:r>
      <w:r w:rsidRPr="00883EC9">
        <w:rPr>
          <w:i/>
          <w:sz w:val="24"/>
          <w:szCs w:val="24"/>
        </w:rPr>
        <w:t>felügyeleti d</w:t>
      </w:r>
      <w:r w:rsidRPr="00883EC9">
        <w:rPr>
          <w:sz w:val="24"/>
          <w:szCs w:val="24"/>
        </w:rPr>
        <w:t xml:space="preserve">íj 20 500 </w:t>
      </w:r>
      <w:proofErr w:type="spellStart"/>
      <w:r w:rsidRPr="00883EC9">
        <w:rPr>
          <w:sz w:val="24"/>
          <w:szCs w:val="24"/>
        </w:rPr>
        <w:t>eFt</w:t>
      </w:r>
      <w:proofErr w:type="spellEnd"/>
      <w:r w:rsidRPr="00883EC9">
        <w:rPr>
          <w:sz w:val="24"/>
          <w:szCs w:val="24"/>
        </w:rPr>
        <w:t xml:space="preserve">. </w:t>
      </w:r>
    </w:p>
    <w:p w:rsidR="000125A4" w:rsidRPr="00883EC9" w:rsidRDefault="000125A4" w:rsidP="000125A4">
      <w:pPr>
        <w:jc w:val="both"/>
        <w:rPr>
          <w:sz w:val="24"/>
          <w:szCs w:val="24"/>
        </w:rPr>
      </w:pPr>
      <w:r w:rsidRPr="00883EC9">
        <w:rPr>
          <w:i/>
          <w:sz w:val="24"/>
          <w:szCs w:val="24"/>
        </w:rPr>
        <w:t>Posta Elszámoló</w:t>
      </w:r>
      <w:r w:rsidRPr="00883EC9">
        <w:rPr>
          <w:sz w:val="24"/>
          <w:szCs w:val="24"/>
        </w:rPr>
        <w:t xml:space="preserve"> </w:t>
      </w:r>
      <w:r w:rsidRPr="00883EC9">
        <w:rPr>
          <w:i/>
          <w:sz w:val="24"/>
          <w:szCs w:val="24"/>
        </w:rPr>
        <w:t>Központ csekkelszámolás</w:t>
      </w:r>
      <w:r w:rsidRPr="00883EC9">
        <w:rPr>
          <w:sz w:val="24"/>
          <w:szCs w:val="24"/>
        </w:rPr>
        <w:t xml:space="preserve"> </w:t>
      </w:r>
      <w:r w:rsidRPr="00883EC9">
        <w:rPr>
          <w:i/>
          <w:sz w:val="24"/>
          <w:szCs w:val="24"/>
        </w:rPr>
        <w:t>és bank</w:t>
      </w:r>
      <w:r w:rsidRPr="00883EC9">
        <w:rPr>
          <w:sz w:val="24"/>
          <w:szCs w:val="24"/>
        </w:rPr>
        <w:t xml:space="preserve"> költsége 57 021 </w:t>
      </w:r>
      <w:proofErr w:type="spellStart"/>
      <w:r w:rsidRPr="00883EC9">
        <w:rPr>
          <w:sz w:val="24"/>
          <w:szCs w:val="24"/>
        </w:rPr>
        <w:t>eFt</w:t>
      </w:r>
      <w:proofErr w:type="spellEnd"/>
      <w:r w:rsidRPr="00883EC9">
        <w:rPr>
          <w:sz w:val="24"/>
          <w:szCs w:val="24"/>
        </w:rPr>
        <w:t>, amely összeg tartalmazza a pénzügyi tranzakciós illeték valamint a számlák postázási költségét.</w:t>
      </w:r>
    </w:p>
    <w:p w:rsidR="000125A4" w:rsidRPr="00883EC9" w:rsidRDefault="000125A4" w:rsidP="000125A4">
      <w:pPr>
        <w:jc w:val="both"/>
        <w:rPr>
          <w:sz w:val="24"/>
          <w:szCs w:val="24"/>
        </w:rPr>
      </w:pPr>
      <w:r w:rsidRPr="00883EC9">
        <w:rPr>
          <w:i/>
          <w:sz w:val="24"/>
          <w:szCs w:val="24"/>
        </w:rPr>
        <w:t xml:space="preserve">Gépjármű és vagyonbiztosítás </w:t>
      </w:r>
      <w:r w:rsidRPr="00883EC9">
        <w:rPr>
          <w:sz w:val="24"/>
          <w:szCs w:val="24"/>
        </w:rPr>
        <w:t>korrigált összege</w:t>
      </w:r>
      <w:r w:rsidRPr="00883EC9">
        <w:rPr>
          <w:i/>
          <w:sz w:val="24"/>
          <w:szCs w:val="24"/>
        </w:rPr>
        <w:t xml:space="preserve"> </w:t>
      </w:r>
      <w:r w:rsidRPr="00883EC9">
        <w:rPr>
          <w:sz w:val="24"/>
          <w:szCs w:val="24"/>
        </w:rPr>
        <w:t xml:space="preserve">együttesen 10 881 </w:t>
      </w:r>
      <w:proofErr w:type="spellStart"/>
      <w:r w:rsidRPr="00883EC9">
        <w:rPr>
          <w:sz w:val="24"/>
          <w:szCs w:val="24"/>
        </w:rPr>
        <w:t>eFt</w:t>
      </w:r>
      <w:proofErr w:type="spellEnd"/>
      <w:r w:rsidRPr="00883EC9">
        <w:rPr>
          <w:sz w:val="24"/>
          <w:szCs w:val="24"/>
        </w:rPr>
        <w:t xml:space="preserve"> (47,5%).</w:t>
      </w:r>
    </w:p>
    <w:p w:rsidR="000125A4" w:rsidRDefault="000125A4" w:rsidP="000125A4">
      <w:pPr>
        <w:jc w:val="both"/>
        <w:rPr>
          <w:sz w:val="24"/>
          <w:szCs w:val="24"/>
        </w:rPr>
      </w:pPr>
      <w:r w:rsidRPr="00883EC9">
        <w:rPr>
          <w:i/>
          <w:sz w:val="24"/>
          <w:szCs w:val="24"/>
        </w:rPr>
        <w:t>Hatósági díjak, illetékek</w:t>
      </w:r>
      <w:r w:rsidRPr="00883EC9">
        <w:rPr>
          <w:sz w:val="24"/>
          <w:szCs w:val="24"/>
        </w:rPr>
        <w:t xml:space="preserve"> 6 678 </w:t>
      </w:r>
      <w:proofErr w:type="spellStart"/>
      <w:r w:rsidRPr="00883EC9">
        <w:rPr>
          <w:sz w:val="24"/>
          <w:szCs w:val="24"/>
        </w:rPr>
        <w:t>eFt</w:t>
      </w:r>
      <w:proofErr w:type="spellEnd"/>
      <w:r w:rsidRPr="00883EC9">
        <w:rPr>
          <w:sz w:val="24"/>
          <w:szCs w:val="24"/>
        </w:rPr>
        <w:t>, mely 21 %-kal alacsonyabb az időarányos tervezett értéknél.</w:t>
      </w:r>
    </w:p>
    <w:p w:rsidR="00820ED3" w:rsidRPr="00820ED3" w:rsidRDefault="00820ED3" w:rsidP="000125A4">
      <w:pPr>
        <w:jc w:val="both"/>
      </w:pPr>
    </w:p>
    <w:p w:rsidR="00820ED3" w:rsidRDefault="000125A4" w:rsidP="003151BB">
      <w:pPr>
        <w:jc w:val="both"/>
        <w:rPr>
          <w:b/>
          <w:i/>
          <w:iCs/>
          <w:sz w:val="24"/>
        </w:rPr>
      </w:pPr>
      <w:r w:rsidRPr="00883EC9">
        <w:rPr>
          <w:b/>
          <w:i/>
          <w:iCs/>
          <w:sz w:val="24"/>
          <w:szCs w:val="23"/>
        </w:rPr>
        <w:t>Eladott áruk, közvetített szolgáltatások</w:t>
      </w:r>
      <w:r w:rsidRPr="00883EC9">
        <w:rPr>
          <w:sz w:val="24"/>
          <w:szCs w:val="23"/>
        </w:rPr>
        <w:t xml:space="preserve"> értéke 1 959 </w:t>
      </w:r>
      <w:proofErr w:type="spellStart"/>
      <w:r w:rsidRPr="00883EC9">
        <w:rPr>
          <w:sz w:val="24"/>
          <w:szCs w:val="23"/>
        </w:rPr>
        <w:t>eFt</w:t>
      </w:r>
      <w:proofErr w:type="spellEnd"/>
      <w:r w:rsidRPr="00883EC9">
        <w:rPr>
          <w:sz w:val="24"/>
          <w:szCs w:val="23"/>
        </w:rPr>
        <w:t>.</w:t>
      </w:r>
      <w:r w:rsidRPr="00883EC9">
        <w:rPr>
          <w:sz w:val="24"/>
        </w:rPr>
        <w:t xml:space="preserve"> </w:t>
      </w:r>
    </w:p>
    <w:p w:rsidR="00820ED3" w:rsidRDefault="00820ED3" w:rsidP="000125A4">
      <w:pPr>
        <w:jc w:val="both"/>
        <w:rPr>
          <w:b/>
          <w:i/>
          <w:iCs/>
          <w:sz w:val="24"/>
        </w:rPr>
      </w:pPr>
    </w:p>
    <w:p w:rsidR="000125A4" w:rsidRPr="00883EC9" w:rsidRDefault="000125A4" w:rsidP="000125A4">
      <w:pPr>
        <w:jc w:val="both"/>
        <w:rPr>
          <w:b/>
          <w:i/>
          <w:iCs/>
          <w:sz w:val="24"/>
        </w:rPr>
      </w:pPr>
      <w:r w:rsidRPr="00883EC9">
        <w:rPr>
          <w:b/>
          <w:i/>
          <w:iCs/>
          <w:sz w:val="24"/>
        </w:rPr>
        <w:t>Személyi ráfordítások</w:t>
      </w:r>
    </w:p>
    <w:p w:rsidR="000125A4" w:rsidRPr="00883EC9" w:rsidRDefault="000125A4" w:rsidP="000125A4">
      <w:pPr>
        <w:jc w:val="both"/>
        <w:rPr>
          <w:sz w:val="24"/>
        </w:rPr>
      </w:pPr>
      <w:r w:rsidRPr="00883EC9">
        <w:rPr>
          <w:iCs/>
          <w:sz w:val="24"/>
        </w:rPr>
        <w:t xml:space="preserve">Év közben elfogadásra került </w:t>
      </w:r>
      <w:r w:rsidR="00820ED3">
        <w:rPr>
          <w:iCs/>
          <w:sz w:val="24"/>
        </w:rPr>
        <w:t>t</w:t>
      </w:r>
      <w:r w:rsidRPr="00883EC9">
        <w:rPr>
          <w:iCs/>
          <w:sz w:val="24"/>
        </w:rPr>
        <w:t xml:space="preserve">áraságunk üzleti tervének módosítása, </w:t>
      </w:r>
      <w:r w:rsidR="00920BB3" w:rsidRPr="00883EC9">
        <w:rPr>
          <w:iCs/>
          <w:sz w:val="24"/>
        </w:rPr>
        <w:t>a</w:t>
      </w:r>
      <w:r w:rsidRPr="00883EC9">
        <w:rPr>
          <w:iCs/>
          <w:sz w:val="24"/>
        </w:rPr>
        <w:t>melyben 2017.</w:t>
      </w:r>
      <w:r w:rsidR="00920BB3" w:rsidRPr="00883EC9">
        <w:rPr>
          <w:iCs/>
          <w:sz w:val="24"/>
        </w:rPr>
        <w:t xml:space="preserve"> </w:t>
      </w:r>
      <w:r w:rsidRPr="00883EC9">
        <w:rPr>
          <w:iCs/>
          <w:sz w:val="24"/>
        </w:rPr>
        <w:t>július 1-től módosításra került a bértömeg összege</w:t>
      </w:r>
      <w:r w:rsidRPr="00883EC9">
        <w:rPr>
          <w:i/>
          <w:iCs/>
          <w:sz w:val="24"/>
        </w:rPr>
        <w:t>.</w:t>
      </w:r>
      <w:r w:rsidRPr="00883EC9">
        <w:rPr>
          <w:iCs/>
          <w:sz w:val="24"/>
        </w:rPr>
        <w:t xml:space="preserve"> A</w:t>
      </w:r>
      <w:r w:rsidRPr="00883EC9">
        <w:rPr>
          <w:i/>
          <w:iCs/>
          <w:sz w:val="24"/>
        </w:rPr>
        <w:t xml:space="preserve"> bérköltség és a hozzá kapcsolódó járulékok és adók </w:t>
      </w:r>
      <w:r w:rsidRPr="00883EC9">
        <w:rPr>
          <w:iCs/>
          <w:sz w:val="24"/>
        </w:rPr>
        <w:t>korrekciójánál azonban nem a módosított terv adatot vettük figyelembe, mivel a módosításkor elfogadott bér és járulék növekmény teljes összege 2017.II. félévére lesz hatással. A személyi jellegű ráfordítások korrigált összege</w:t>
      </w:r>
      <w:r w:rsidRPr="00883EC9">
        <w:rPr>
          <w:b/>
          <w:bCs/>
          <w:i/>
          <w:iCs/>
          <w:sz w:val="24"/>
        </w:rPr>
        <w:t xml:space="preserve"> </w:t>
      </w:r>
      <w:r w:rsidRPr="00883EC9">
        <w:rPr>
          <w:sz w:val="24"/>
        </w:rPr>
        <w:t>1 327 265</w:t>
      </w:r>
      <w:r w:rsidR="00920BB3" w:rsidRPr="00883EC9">
        <w:rPr>
          <w:sz w:val="24"/>
        </w:rPr>
        <w:t xml:space="preserve"> </w:t>
      </w:r>
      <w:proofErr w:type="spellStart"/>
      <w:r w:rsidR="00920BB3" w:rsidRPr="00883EC9">
        <w:rPr>
          <w:sz w:val="24"/>
        </w:rPr>
        <w:t>eFt</w:t>
      </w:r>
      <w:proofErr w:type="spellEnd"/>
      <w:r w:rsidRPr="00883EC9">
        <w:rPr>
          <w:sz w:val="24"/>
        </w:rPr>
        <w:t xml:space="preserve"> (48,9%)</w:t>
      </w:r>
      <w:r w:rsidR="00920BB3" w:rsidRPr="00883EC9">
        <w:rPr>
          <w:sz w:val="24"/>
        </w:rPr>
        <w:t>.</w:t>
      </w:r>
    </w:p>
    <w:p w:rsidR="000125A4" w:rsidRPr="00883EC9" w:rsidRDefault="000125A4" w:rsidP="000125A4">
      <w:pPr>
        <w:jc w:val="both"/>
        <w:rPr>
          <w:sz w:val="24"/>
        </w:rPr>
      </w:pPr>
    </w:p>
    <w:p w:rsidR="003151BB" w:rsidRDefault="003151BB" w:rsidP="000125A4">
      <w:pPr>
        <w:jc w:val="both"/>
        <w:rPr>
          <w:b/>
          <w:i/>
          <w:iCs/>
          <w:sz w:val="24"/>
        </w:rPr>
      </w:pPr>
    </w:p>
    <w:p w:rsidR="003151BB" w:rsidRDefault="003151BB" w:rsidP="000125A4">
      <w:pPr>
        <w:jc w:val="both"/>
        <w:rPr>
          <w:b/>
          <w:i/>
          <w:iCs/>
          <w:sz w:val="24"/>
        </w:rPr>
      </w:pPr>
    </w:p>
    <w:p w:rsidR="000125A4" w:rsidRPr="00883EC9" w:rsidRDefault="000125A4" w:rsidP="000125A4">
      <w:pPr>
        <w:jc w:val="both"/>
        <w:rPr>
          <w:sz w:val="24"/>
        </w:rPr>
      </w:pPr>
      <w:r w:rsidRPr="00883EC9">
        <w:rPr>
          <w:b/>
          <w:i/>
          <w:iCs/>
          <w:sz w:val="24"/>
        </w:rPr>
        <w:t>Értékcsökkenési leírás</w:t>
      </w:r>
      <w:r w:rsidRPr="00883EC9">
        <w:rPr>
          <w:sz w:val="24"/>
        </w:rPr>
        <w:t xml:space="preserve"> a tervezett 50,4</w:t>
      </w:r>
      <w:r w:rsidR="00920BB3" w:rsidRPr="00883EC9">
        <w:rPr>
          <w:sz w:val="24"/>
        </w:rPr>
        <w:t xml:space="preserve"> %-a,</w:t>
      </w:r>
      <w:r w:rsidRPr="00883EC9">
        <w:rPr>
          <w:sz w:val="24"/>
        </w:rPr>
        <w:t xml:space="preserve"> mértéke 217 633</w:t>
      </w:r>
      <w:r w:rsidR="00920BB3" w:rsidRPr="00883EC9">
        <w:rPr>
          <w:sz w:val="24"/>
        </w:rPr>
        <w:t xml:space="preserve"> </w:t>
      </w:r>
      <w:proofErr w:type="spellStart"/>
      <w:r w:rsidR="00920BB3" w:rsidRPr="00883EC9">
        <w:rPr>
          <w:sz w:val="24"/>
        </w:rPr>
        <w:t>eFt</w:t>
      </w:r>
      <w:proofErr w:type="spellEnd"/>
      <w:r w:rsidR="00920BB3" w:rsidRPr="00883EC9">
        <w:rPr>
          <w:sz w:val="24"/>
        </w:rPr>
        <w:t xml:space="preserve">, amely a működtető vagyon és </w:t>
      </w:r>
      <w:r w:rsidRPr="00883EC9">
        <w:rPr>
          <w:sz w:val="24"/>
        </w:rPr>
        <w:t xml:space="preserve">a </w:t>
      </w:r>
      <w:proofErr w:type="spellStart"/>
      <w:r w:rsidRPr="00883EC9">
        <w:rPr>
          <w:sz w:val="24"/>
        </w:rPr>
        <w:t>rendszerfüggetlen</w:t>
      </w:r>
      <w:proofErr w:type="spellEnd"/>
      <w:r w:rsidRPr="00883EC9">
        <w:rPr>
          <w:sz w:val="24"/>
        </w:rPr>
        <w:t xml:space="preserve"> </w:t>
      </w:r>
      <w:proofErr w:type="spellStart"/>
      <w:r w:rsidRPr="00883EC9">
        <w:rPr>
          <w:sz w:val="24"/>
        </w:rPr>
        <w:t>víziközmű</w:t>
      </w:r>
      <w:proofErr w:type="spellEnd"/>
      <w:r w:rsidRPr="00883EC9">
        <w:rPr>
          <w:sz w:val="24"/>
        </w:rPr>
        <w:t xml:space="preserve"> elemek után elszámolt értékcsökkenést tartalmazza.</w:t>
      </w:r>
    </w:p>
    <w:p w:rsidR="000125A4" w:rsidRPr="00883EC9" w:rsidRDefault="000125A4" w:rsidP="000125A4">
      <w:pPr>
        <w:pStyle w:val="Szvegtrzs31"/>
        <w:widowControl/>
        <w:overflowPunct/>
        <w:autoSpaceDE/>
        <w:autoSpaceDN/>
        <w:adjustRightInd/>
        <w:textAlignment w:val="auto"/>
        <w:rPr>
          <w:sz w:val="16"/>
          <w:szCs w:val="16"/>
        </w:rPr>
      </w:pPr>
    </w:p>
    <w:p w:rsidR="000125A4" w:rsidRPr="00883EC9" w:rsidRDefault="000125A4" w:rsidP="000125A4">
      <w:pPr>
        <w:tabs>
          <w:tab w:val="left" w:pos="0"/>
          <w:tab w:val="right" w:pos="7797"/>
        </w:tabs>
        <w:jc w:val="both"/>
        <w:rPr>
          <w:i/>
          <w:iCs/>
          <w:sz w:val="24"/>
          <w:szCs w:val="23"/>
        </w:rPr>
      </w:pPr>
      <w:r w:rsidRPr="00883EC9">
        <w:rPr>
          <w:b/>
          <w:i/>
          <w:iCs/>
          <w:sz w:val="24"/>
          <w:szCs w:val="23"/>
        </w:rPr>
        <w:t>Egyéb ráfordítások</w:t>
      </w:r>
      <w:r w:rsidRPr="00883EC9">
        <w:rPr>
          <w:i/>
          <w:iCs/>
          <w:sz w:val="24"/>
          <w:szCs w:val="23"/>
        </w:rPr>
        <w:t xml:space="preserve"> 325 193 </w:t>
      </w:r>
      <w:proofErr w:type="spellStart"/>
      <w:r w:rsidRPr="00883EC9">
        <w:rPr>
          <w:i/>
          <w:iCs/>
          <w:sz w:val="24"/>
          <w:szCs w:val="23"/>
        </w:rPr>
        <w:t>eFt</w:t>
      </w:r>
      <w:proofErr w:type="spellEnd"/>
      <w:r w:rsidRPr="00883EC9">
        <w:rPr>
          <w:i/>
          <w:iCs/>
          <w:sz w:val="24"/>
          <w:szCs w:val="23"/>
        </w:rPr>
        <w:t xml:space="preserve"> (teljesítési szint 47,6%)</w:t>
      </w:r>
    </w:p>
    <w:p w:rsidR="000125A4" w:rsidRPr="00883EC9" w:rsidRDefault="000125A4" w:rsidP="000125A4">
      <w:pPr>
        <w:tabs>
          <w:tab w:val="left" w:pos="0"/>
          <w:tab w:val="right" w:pos="7797"/>
        </w:tabs>
        <w:jc w:val="both"/>
        <w:rPr>
          <w:bCs/>
          <w:iCs/>
        </w:rPr>
      </w:pPr>
      <w:r w:rsidRPr="00883EC9">
        <w:rPr>
          <w:i/>
          <w:iCs/>
          <w:sz w:val="24"/>
          <w:szCs w:val="23"/>
        </w:rPr>
        <w:t xml:space="preserve">Az önkormányzatokkal elszámolandó iparűzési adót </w:t>
      </w:r>
      <w:r w:rsidRPr="000C655E">
        <w:rPr>
          <w:iCs/>
          <w:sz w:val="23"/>
          <w:szCs w:val="23"/>
        </w:rPr>
        <w:t xml:space="preserve">(51 000 </w:t>
      </w:r>
      <w:proofErr w:type="spellStart"/>
      <w:r w:rsidRPr="000C655E">
        <w:rPr>
          <w:iCs/>
          <w:sz w:val="23"/>
          <w:szCs w:val="23"/>
        </w:rPr>
        <w:t>eFt</w:t>
      </w:r>
      <w:proofErr w:type="spellEnd"/>
      <w:r w:rsidRPr="000C655E">
        <w:rPr>
          <w:iCs/>
          <w:sz w:val="23"/>
          <w:szCs w:val="23"/>
        </w:rPr>
        <w:t>)</w:t>
      </w:r>
      <w:r w:rsidRPr="00883EC9">
        <w:rPr>
          <w:i/>
          <w:iCs/>
          <w:sz w:val="24"/>
          <w:szCs w:val="23"/>
        </w:rPr>
        <w:t xml:space="preserve">, </w:t>
      </w:r>
      <w:r w:rsidRPr="00883EC9">
        <w:rPr>
          <w:sz w:val="24"/>
          <w:szCs w:val="23"/>
        </w:rPr>
        <w:t xml:space="preserve">az </w:t>
      </w:r>
      <w:r w:rsidRPr="00883EC9">
        <w:rPr>
          <w:i/>
          <w:sz w:val="24"/>
          <w:szCs w:val="23"/>
        </w:rPr>
        <w:t xml:space="preserve">innovációs járulékot </w:t>
      </w:r>
      <w:r w:rsidRPr="000C655E">
        <w:rPr>
          <w:sz w:val="23"/>
          <w:szCs w:val="23"/>
        </w:rPr>
        <w:t xml:space="preserve">(9000 </w:t>
      </w:r>
      <w:proofErr w:type="spellStart"/>
      <w:r w:rsidRPr="000C655E">
        <w:rPr>
          <w:sz w:val="23"/>
          <w:szCs w:val="23"/>
        </w:rPr>
        <w:t>eFt</w:t>
      </w:r>
      <w:proofErr w:type="spellEnd"/>
      <w:r w:rsidRPr="000C655E">
        <w:rPr>
          <w:sz w:val="23"/>
          <w:szCs w:val="23"/>
        </w:rPr>
        <w:t>)</w:t>
      </w:r>
      <w:r w:rsidR="00920BB3" w:rsidRPr="00883EC9">
        <w:rPr>
          <w:sz w:val="24"/>
          <w:szCs w:val="23"/>
        </w:rPr>
        <w:t>,</w:t>
      </w:r>
      <w:r w:rsidRPr="00883EC9">
        <w:rPr>
          <w:sz w:val="24"/>
          <w:szCs w:val="23"/>
        </w:rPr>
        <w:t xml:space="preserve"> valamint a </w:t>
      </w:r>
      <w:r w:rsidRPr="00883EC9">
        <w:rPr>
          <w:i/>
          <w:sz w:val="24"/>
          <w:szCs w:val="23"/>
        </w:rPr>
        <w:t>környezetterhelési díjat</w:t>
      </w:r>
      <w:r w:rsidRPr="00883EC9">
        <w:rPr>
          <w:sz w:val="24"/>
          <w:szCs w:val="23"/>
        </w:rPr>
        <w:t xml:space="preserve"> (22 945 </w:t>
      </w:r>
      <w:proofErr w:type="spellStart"/>
      <w:r w:rsidRPr="00883EC9">
        <w:rPr>
          <w:sz w:val="24"/>
          <w:szCs w:val="23"/>
        </w:rPr>
        <w:t>eFt</w:t>
      </w:r>
      <w:proofErr w:type="spellEnd"/>
      <w:r w:rsidRPr="00883EC9">
        <w:rPr>
          <w:sz w:val="24"/>
          <w:szCs w:val="23"/>
        </w:rPr>
        <w:t xml:space="preserve">) </w:t>
      </w:r>
      <w:r w:rsidRPr="00883EC9">
        <w:rPr>
          <w:sz w:val="24"/>
          <w:szCs w:val="24"/>
        </w:rPr>
        <w:t xml:space="preserve">az </w:t>
      </w:r>
      <w:r w:rsidRPr="00883EC9">
        <w:rPr>
          <w:bCs/>
          <w:iCs/>
          <w:sz w:val="24"/>
          <w:szCs w:val="24"/>
        </w:rPr>
        <w:t>éves tervezett összeg időarányos részével korrigáltuk</w:t>
      </w:r>
      <w:r w:rsidRPr="00883EC9">
        <w:rPr>
          <w:bCs/>
          <w:iCs/>
        </w:rPr>
        <w:t>.</w:t>
      </w:r>
    </w:p>
    <w:p w:rsidR="000125A4" w:rsidRPr="00883EC9" w:rsidRDefault="000125A4" w:rsidP="000125A4">
      <w:pPr>
        <w:tabs>
          <w:tab w:val="left" w:pos="0"/>
          <w:tab w:val="right" w:pos="7797"/>
        </w:tabs>
        <w:jc w:val="both"/>
        <w:rPr>
          <w:bCs/>
          <w:iCs/>
          <w:sz w:val="24"/>
          <w:szCs w:val="24"/>
        </w:rPr>
      </w:pPr>
      <w:r w:rsidRPr="00883EC9">
        <w:rPr>
          <w:i/>
          <w:sz w:val="24"/>
          <w:szCs w:val="23"/>
        </w:rPr>
        <w:t>Közműadó</w:t>
      </w:r>
      <w:r w:rsidRPr="00883EC9">
        <w:rPr>
          <w:sz w:val="24"/>
          <w:szCs w:val="23"/>
        </w:rPr>
        <w:t xml:space="preserve"> mértéke a vizsgált időszakra vonatkozóan 203 438 </w:t>
      </w:r>
      <w:proofErr w:type="spellStart"/>
      <w:r w:rsidRPr="00883EC9">
        <w:rPr>
          <w:sz w:val="24"/>
          <w:szCs w:val="23"/>
        </w:rPr>
        <w:t>eFt</w:t>
      </w:r>
      <w:proofErr w:type="spellEnd"/>
      <w:r w:rsidRPr="00883EC9">
        <w:rPr>
          <w:sz w:val="24"/>
          <w:szCs w:val="23"/>
        </w:rPr>
        <w:t xml:space="preserve">. </w:t>
      </w:r>
    </w:p>
    <w:p w:rsidR="000125A4" w:rsidRPr="00883EC9" w:rsidRDefault="000125A4" w:rsidP="000125A4">
      <w:pPr>
        <w:jc w:val="both"/>
        <w:rPr>
          <w:sz w:val="24"/>
          <w:szCs w:val="23"/>
        </w:rPr>
      </w:pPr>
      <w:r w:rsidRPr="00883EC9">
        <w:rPr>
          <w:i/>
          <w:sz w:val="24"/>
          <w:szCs w:val="23"/>
        </w:rPr>
        <w:t>Támogatások</w:t>
      </w:r>
      <w:r w:rsidRPr="00883EC9">
        <w:rPr>
          <w:sz w:val="24"/>
          <w:szCs w:val="23"/>
        </w:rPr>
        <w:t xml:space="preserve"> tárgyidőszakban a szakszervezet részére KSZ alapján biztosított összeget (880 </w:t>
      </w:r>
      <w:proofErr w:type="spellStart"/>
      <w:r w:rsidRPr="00883EC9">
        <w:rPr>
          <w:sz w:val="24"/>
          <w:szCs w:val="23"/>
        </w:rPr>
        <w:t>eFt</w:t>
      </w:r>
      <w:proofErr w:type="spellEnd"/>
      <w:r w:rsidRPr="00883EC9">
        <w:rPr>
          <w:sz w:val="24"/>
          <w:szCs w:val="23"/>
        </w:rPr>
        <w:t>)</w:t>
      </w:r>
      <w:r w:rsidR="00920BB3" w:rsidRPr="00883EC9">
        <w:rPr>
          <w:sz w:val="24"/>
          <w:szCs w:val="23"/>
        </w:rPr>
        <w:t>,</w:t>
      </w:r>
      <w:r w:rsidRPr="00883EC9">
        <w:rPr>
          <w:sz w:val="24"/>
          <w:szCs w:val="23"/>
        </w:rPr>
        <w:t xml:space="preserve"> valamint </w:t>
      </w:r>
      <w:r w:rsidR="00D12A9E">
        <w:rPr>
          <w:sz w:val="24"/>
          <w:szCs w:val="23"/>
        </w:rPr>
        <w:t>s</w:t>
      </w:r>
      <w:r w:rsidRPr="00883EC9">
        <w:rPr>
          <w:sz w:val="24"/>
          <w:szCs w:val="23"/>
        </w:rPr>
        <w:t>porte</w:t>
      </w:r>
      <w:r w:rsidR="00920BB3" w:rsidRPr="00883EC9">
        <w:rPr>
          <w:sz w:val="24"/>
          <w:szCs w:val="23"/>
        </w:rPr>
        <w:t>gyesület</w:t>
      </w:r>
      <w:r w:rsidR="00D12A9E">
        <w:rPr>
          <w:sz w:val="24"/>
          <w:szCs w:val="23"/>
        </w:rPr>
        <w:t>i</w:t>
      </w:r>
      <w:r w:rsidR="00920BB3" w:rsidRPr="00883EC9">
        <w:rPr>
          <w:sz w:val="24"/>
          <w:szCs w:val="23"/>
        </w:rPr>
        <w:t xml:space="preserve"> támogatás </w:t>
      </w:r>
      <w:r w:rsidR="00D12A9E" w:rsidRPr="00883EC9">
        <w:rPr>
          <w:sz w:val="24"/>
          <w:szCs w:val="23"/>
        </w:rPr>
        <w:t xml:space="preserve">(50 </w:t>
      </w:r>
      <w:proofErr w:type="spellStart"/>
      <w:r w:rsidR="00D12A9E" w:rsidRPr="00883EC9">
        <w:rPr>
          <w:sz w:val="24"/>
          <w:szCs w:val="23"/>
        </w:rPr>
        <w:t>eFt</w:t>
      </w:r>
      <w:proofErr w:type="spellEnd"/>
      <w:r w:rsidR="00D12A9E" w:rsidRPr="00883EC9">
        <w:rPr>
          <w:sz w:val="24"/>
          <w:szCs w:val="23"/>
        </w:rPr>
        <w:t>)</w:t>
      </w:r>
      <w:r w:rsidR="00D12A9E">
        <w:rPr>
          <w:sz w:val="24"/>
          <w:szCs w:val="23"/>
        </w:rPr>
        <w:t xml:space="preserve"> </w:t>
      </w:r>
      <w:r w:rsidR="00920BB3" w:rsidRPr="00883EC9">
        <w:rPr>
          <w:sz w:val="24"/>
          <w:szCs w:val="23"/>
        </w:rPr>
        <w:t>tartalmazzák.</w:t>
      </w:r>
    </w:p>
    <w:p w:rsidR="000125A4" w:rsidRPr="00883EC9" w:rsidRDefault="000125A4" w:rsidP="000125A4">
      <w:pPr>
        <w:jc w:val="both"/>
        <w:rPr>
          <w:b/>
          <w:bCs/>
          <w:i/>
          <w:iCs/>
          <w:sz w:val="16"/>
          <w:szCs w:val="16"/>
        </w:rPr>
      </w:pPr>
    </w:p>
    <w:p w:rsidR="000125A4" w:rsidRPr="00883EC9" w:rsidRDefault="000125A4" w:rsidP="000125A4">
      <w:pPr>
        <w:jc w:val="both"/>
        <w:rPr>
          <w:i/>
          <w:iCs/>
          <w:sz w:val="24"/>
        </w:rPr>
      </w:pPr>
      <w:r w:rsidRPr="00883EC9">
        <w:rPr>
          <w:b/>
          <w:i/>
          <w:iCs/>
          <w:sz w:val="24"/>
        </w:rPr>
        <w:t>Pénzügyi műveletek ráfordítása</w:t>
      </w:r>
      <w:r w:rsidRPr="00883EC9">
        <w:rPr>
          <w:i/>
          <w:iCs/>
          <w:sz w:val="24"/>
        </w:rPr>
        <w:t xml:space="preserve"> 128 </w:t>
      </w:r>
      <w:proofErr w:type="spellStart"/>
      <w:r w:rsidRPr="00883EC9">
        <w:rPr>
          <w:i/>
          <w:iCs/>
          <w:sz w:val="24"/>
        </w:rPr>
        <w:t>eFt</w:t>
      </w:r>
      <w:proofErr w:type="spellEnd"/>
      <w:r w:rsidRPr="00883EC9">
        <w:rPr>
          <w:i/>
          <w:iCs/>
          <w:sz w:val="24"/>
        </w:rPr>
        <w:t xml:space="preserve">, </w:t>
      </w:r>
      <w:r w:rsidRPr="00883EC9">
        <w:rPr>
          <w:iCs/>
          <w:sz w:val="24"/>
        </w:rPr>
        <w:t>árfolyamveszteségből ered</w:t>
      </w:r>
      <w:r w:rsidRPr="00883EC9">
        <w:rPr>
          <w:i/>
          <w:iCs/>
          <w:sz w:val="24"/>
        </w:rPr>
        <w:t>.</w:t>
      </w:r>
    </w:p>
    <w:p w:rsidR="000125A4" w:rsidRPr="00883EC9" w:rsidRDefault="000125A4" w:rsidP="000125A4">
      <w:pPr>
        <w:jc w:val="both"/>
        <w:rPr>
          <w:i/>
          <w:iCs/>
          <w:sz w:val="24"/>
          <w:szCs w:val="16"/>
        </w:rPr>
      </w:pPr>
    </w:p>
    <w:p w:rsidR="000125A4" w:rsidRPr="00883EC9" w:rsidRDefault="000125A4" w:rsidP="000125A4">
      <w:pPr>
        <w:jc w:val="both"/>
        <w:rPr>
          <w:i/>
          <w:iCs/>
          <w:sz w:val="24"/>
          <w:szCs w:val="23"/>
        </w:rPr>
      </w:pPr>
      <w:r w:rsidRPr="00883EC9">
        <w:rPr>
          <w:b/>
          <w:bCs/>
          <w:i/>
          <w:iCs/>
          <w:sz w:val="24"/>
          <w:szCs w:val="23"/>
        </w:rPr>
        <w:t xml:space="preserve">Az I. félév korrigált összes költsége és ráfordítása 3 474 838 </w:t>
      </w:r>
      <w:proofErr w:type="spellStart"/>
      <w:r w:rsidRPr="00883EC9">
        <w:rPr>
          <w:b/>
          <w:bCs/>
          <w:i/>
          <w:iCs/>
          <w:sz w:val="24"/>
          <w:szCs w:val="23"/>
        </w:rPr>
        <w:t>eFt</w:t>
      </w:r>
      <w:proofErr w:type="spellEnd"/>
      <w:r w:rsidRPr="00883EC9">
        <w:rPr>
          <w:b/>
          <w:bCs/>
          <w:i/>
          <w:iCs/>
          <w:sz w:val="24"/>
          <w:szCs w:val="23"/>
        </w:rPr>
        <w:t>, a tervezett összeg 47,6 %-a.</w:t>
      </w:r>
      <w:r w:rsidRPr="00883EC9">
        <w:rPr>
          <w:i/>
          <w:iCs/>
          <w:sz w:val="24"/>
          <w:szCs w:val="23"/>
        </w:rPr>
        <w:t xml:space="preserve"> </w:t>
      </w:r>
    </w:p>
    <w:p w:rsidR="00197EA3" w:rsidRPr="00883EC9" w:rsidRDefault="00197EA3">
      <w:pPr>
        <w:jc w:val="both"/>
        <w:rPr>
          <w:i/>
        </w:rPr>
      </w:pPr>
    </w:p>
    <w:p w:rsidR="00E8097E" w:rsidRDefault="00E8097E">
      <w:pPr>
        <w:pStyle w:val="Szvegtrzsbehzssal2"/>
        <w:tabs>
          <w:tab w:val="clear" w:pos="709"/>
          <w:tab w:val="left" w:pos="9214"/>
        </w:tabs>
        <w:ind w:left="0" w:right="-141" w:firstLine="0"/>
        <w:rPr>
          <w:sz w:val="20"/>
        </w:rPr>
      </w:pPr>
    </w:p>
    <w:p w:rsidR="003151BB" w:rsidRPr="00883EC9" w:rsidRDefault="003151BB">
      <w:pPr>
        <w:pStyle w:val="Szvegtrzsbehzssal2"/>
        <w:tabs>
          <w:tab w:val="clear" w:pos="709"/>
          <w:tab w:val="left" w:pos="9214"/>
        </w:tabs>
        <w:ind w:left="0" w:right="-141" w:firstLine="0"/>
        <w:rPr>
          <w:sz w:val="20"/>
        </w:rPr>
      </w:pPr>
    </w:p>
    <w:p w:rsidR="00920BB3" w:rsidRPr="00883EC9" w:rsidRDefault="00920BB3" w:rsidP="00920BB3">
      <w:pPr>
        <w:pStyle w:val="Cmsor1"/>
        <w:ind w:left="0"/>
        <w:rPr>
          <w:b/>
          <w:bCs/>
          <w:i/>
          <w:iCs/>
          <w:sz w:val="26"/>
        </w:rPr>
      </w:pPr>
      <w:bookmarkStart w:id="11" w:name="_Toc489278847"/>
      <w:r w:rsidRPr="00883EC9">
        <w:rPr>
          <w:b/>
          <w:bCs/>
          <w:i/>
          <w:iCs/>
          <w:sz w:val="26"/>
        </w:rPr>
        <w:t>Eredmény alakulása</w:t>
      </w:r>
      <w:bookmarkEnd w:id="11"/>
    </w:p>
    <w:tbl>
      <w:tblPr>
        <w:tblW w:w="9986" w:type="dxa"/>
        <w:tblInd w:w="-142" w:type="dxa"/>
        <w:tblLayout w:type="fixed"/>
        <w:tblCellMar>
          <w:left w:w="0" w:type="dxa"/>
          <w:right w:w="0" w:type="dxa"/>
        </w:tblCellMar>
        <w:tblLook w:val="0000" w:firstRow="0" w:lastRow="0" w:firstColumn="0" w:lastColumn="0" w:noHBand="0" w:noVBand="0"/>
      </w:tblPr>
      <w:tblGrid>
        <w:gridCol w:w="141"/>
        <w:gridCol w:w="3180"/>
        <w:gridCol w:w="184"/>
        <w:gridCol w:w="1074"/>
        <w:gridCol w:w="208"/>
        <w:gridCol w:w="101"/>
        <w:gridCol w:w="991"/>
        <w:gridCol w:w="269"/>
        <w:gridCol w:w="30"/>
        <w:gridCol w:w="981"/>
        <w:gridCol w:w="236"/>
        <w:gridCol w:w="53"/>
        <w:gridCol w:w="88"/>
        <w:gridCol w:w="72"/>
        <w:gridCol w:w="816"/>
        <w:gridCol w:w="293"/>
        <w:gridCol w:w="151"/>
        <w:gridCol w:w="417"/>
        <w:gridCol w:w="418"/>
        <w:gridCol w:w="283"/>
      </w:tblGrid>
      <w:tr w:rsidR="00920BB3" w:rsidRPr="00883EC9" w:rsidTr="00920BB3">
        <w:trPr>
          <w:gridBefore w:val="1"/>
          <w:wBefore w:w="141" w:type="dxa"/>
          <w:trHeight w:val="80"/>
        </w:trPr>
        <w:tc>
          <w:tcPr>
            <w:tcW w:w="3364" w:type="dxa"/>
            <w:gridSpan w:val="2"/>
            <w:tcBorders>
              <w:top w:val="nil"/>
              <w:left w:val="nil"/>
              <w:bottom w:val="nil"/>
              <w:right w:val="nil"/>
            </w:tcBorders>
            <w:noWrap/>
            <w:vAlign w:val="bottom"/>
          </w:tcPr>
          <w:p w:rsidR="00920BB3" w:rsidRPr="00883EC9" w:rsidRDefault="00920BB3" w:rsidP="00920BB3">
            <w:pPr>
              <w:rPr>
                <w:szCs w:val="22"/>
                <w:u w:val="single"/>
              </w:rPr>
            </w:pPr>
          </w:p>
        </w:tc>
        <w:tc>
          <w:tcPr>
            <w:tcW w:w="1282" w:type="dxa"/>
            <w:gridSpan w:val="2"/>
            <w:tcBorders>
              <w:top w:val="nil"/>
              <w:left w:val="nil"/>
              <w:bottom w:val="nil"/>
              <w:right w:val="nil"/>
            </w:tcBorders>
            <w:noWrap/>
            <w:vAlign w:val="bottom"/>
          </w:tcPr>
          <w:p w:rsidR="00920BB3" w:rsidRPr="00883EC9" w:rsidRDefault="00920BB3" w:rsidP="00920BB3">
            <w:pPr>
              <w:jc w:val="center"/>
              <w:rPr>
                <w:szCs w:val="22"/>
              </w:rPr>
            </w:pPr>
          </w:p>
        </w:tc>
        <w:tc>
          <w:tcPr>
            <w:tcW w:w="1391" w:type="dxa"/>
            <w:gridSpan w:val="4"/>
            <w:tcBorders>
              <w:top w:val="nil"/>
              <w:left w:val="nil"/>
              <w:bottom w:val="nil"/>
              <w:right w:val="nil"/>
            </w:tcBorders>
            <w:noWrap/>
            <w:vAlign w:val="bottom"/>
          </w:tcPr>
          <w:p w:rsidR="00920BB3" w:rsidRPr="00883EC9" w:rsidRDefault="00920BB3" w:rsidP="00920BB3">
            <w:pPr>
              <w:rPr>
                <w:szCs w:val="22"/>
                <w:u w:val="single"/>
              </w:rPr>
            </w:pPr>
          </w:p>
        </w:tc>
        <w:tc>
          <w:tcPr>
            <w:tcW w:w="1358" w:type="dxa"/>
            <w:gridSpan w:val="4"/>
            <w:tcBorders>
              <w:top w:val="nil"/>
              <w:left w:val="nil"/>
              <w:bottom w:val="nil"/>
              <w:right w:val="nil"/>
            </w:tcBorders>
            <w:noWrap/>
            <w:vAlign w:val="bottom"/>
          </w:tcPr>
          <w:p w:rsidR="00920BB3" w:rsidRPr="00883EC9" w:rsidRDefault="00920BB3" w:rsidP="00920BB3">
            <w:pPr>
              <w:jc w:val="center"/>
              <w:rPr>
                <w:szCs w:val="22"/>
              </w:rPr>
            </w:pPr>
          </w:p>
        </w:tc>
        <w:tc>
          <w:tcPr>
            <w:tcW w:w="1181" w:type="dxa"/>
            <w:gridSpan w:val="3"/>
            <w:tcBorders>
              <w:top w:val="nil"/>
              <w:left w:val="nil"/>
              <w:bottom w:val="nil"/>
              <w:right w:val="nil"/>
            </w:tcBorders>
            <w:noWrap/>
            <w:vAlign w:val="bottom"/>
          </w:tcPr>
          <w:p w:rsidR="00920BB3" w:rsidRPr="00883EC9" w:rsidRDefault="00920BB3" w:rsidP="00920BB3">
            <w:pPr>
              <w:jc w:val="center"/>
              <w:rPr>
                <w:szCs w:val="22"/>
              </w:rPr>
            </w:pPr>
          </w:p>
        </w:tc>
        <w:tc>
          <w:tcPr>
            <w:tcW w:w="1269" w:type="dxa"/>
            <w:gridSpan w:val="4"/>
            <w:tcBorders>
              <w:top w:val="nil"/>
              <w:left w:val="nil"/>
              <w:bottom w:val="nil"/>
              <w:right w:val="nil"/>
            </w:tcBorders>
            <w:noWrap/>
            <w:vAlign w:val="bottom"/>
          </w:tcPr>
          <w:p w:rsidR="00920BB3" w:rsidRPr="00883EC9" w:rsidRDefault="00920BB3" w:rsidP="00920BB3">
            <w:pPr>
              <w:jc w:val="right"/>
              <w:rPr>
                <w:szCs w:val="22"/>
              </w:rPr>
            </w:pPr>
            <w:r w:rsidRPr="00883EC9">
              <w:rPr>
                <w:szCs w:val="22"/>
              </w:rPr>
              <w:t xml:space="preserve"> ezer Ft</w:t>
            </w:r>
          </w:p>
        </w:tc>
      </w:tr>
      <w:tr w:rsidR="00920BB3" w:rsidRPr="00883EC9" w:rsidTr="00920BB3">
        <w:trPr>
          <w:gridBefore w:val="1"/>
          <w:wBefore w:w="141" w:type="dxa"/>
          <w:trHeight w:val="588"/>
        </w:trPr>
        <w:tc>
          <w:tcPr>
            <w:tcW w:w="3364" w:type="dxa"/>
            <w:gridSpan w:val="2"/>
            <w:tcBorders>
              <w:top w:val="single" w:sz="4" w:space="0" w:color="auto"/>
              <w:left w:val="nil"/>
              <w:bottom w:val="single" w:sz="4" w:space="0" w:color="auto"/>
              <w:right w:val="nil"/>
            </w:tcBorders>
            <w:vAlign w:val="center"/>
          </w:tcPr>
          <w:p w:rsidR="00920BB3" w:rsidRPr="00883EC9" w:rsidRDefault="00920BB3" w:rsidP="00920BB3">
            <w:pPr>
              <w:rPr>
                <w:szCs w:val="21"/>
              </w:rPr>
            </w:pPr>
            <w:r w:rsidRPr="00883EC9">
              <w:rPr>
                <w:szCs w:val="21"/>
              </w:rPr>
              <w:t>Tev</w:t>
            </w:r>
            <w:r w:rsidRPr="00883EC9">
              <w:rPr>
                <w:rFonts w:hint="eastAsia"/>
                <w:szCs w:val="21"/>
              </w:rPr>
              <w:t>é</w:t>
            </w:r>
            <w:r w:rsidRPr="00883EC9">
              <w:rPr>
                <w:szCs w:val="21"/>
              </w:rPr>
              <w:t>kenys</w:t>
            </w:r>
            <w:r w:rsidRPr="00883EC9">
              <w:rPr>
                <w:rFonts w:hint="eastAsia"/>
                <w:szCs w:val="21"/>
              </w:rPr>
              <w:t>é</w:t>
            </w:r>
            <w:r w:rsidRPr="00883EC9">
              <w:rPr>
                <w:szCs w:val="21"/>
              </w:rPr>
              <w:t>g</w:t>
            </w:r>
          </w:p>
        </w:tc>
        <w:tc>
          <w:tcPr>
            <w:tcW w:w="1282" w:type="dxa"/>
            <w:gridSpan w:val="2"/>
            <w:tcBorders>
              <w:top w:val="single" w:sz="4" w:space="0" w:color="auto"/>
              <w:left w:val="nil"/>
              <w:bottom w:val="single" w:sz="4" w:space="0" w:color="auto"/>
              <w:right w:val="nil"/>
            </w:tcBorders>
            <w:vAlign w:val="center"/>
          </w:tcPr>
          <w:p w:rsidR="00920BB3" w:rsidRPr="00883EC9" w:rsidRDefault="00920BB3" w:rsidP="00920BB3">
            <w:pPr>
              <w:jc w:val="center"/>
              <w:rPr>
                <w:szCs w:val="21"/>
              </w:rPr>
            </w:pPr>
            <w:r w:rsidRPr="00883EC9">
              <w:rPr>
                <w:szCs w:val="22"/>
              </w:rPr>
              <w:t>2017. év</w:t>
            </w:r>
            <w:r w:rsidRPr="00883EC9">
              <w:rPr>
                <w:szCs w:val="21"/>
              </w:rPr>
              <w:t xml:space="preserve"> </w:t>
            </w:r>
          </w:p>
          <w:p w:rsidR="00920BB3" w:rsidRPr="00883EC9" w:rsidRDefault="00920BB3" w:rsidP="00920BB3">
            <w:pPr>
              <w:jc w:val="center"/>
              <w:rPr>
                <w:szCs w:val="21"/>
              </w:rPr>
            </w:pPr>
            <w:r w:rsidRPr="00883EC9">
              <w:rPr>
                <w:szCs w:val="21"/>
              </w:rPr>
              <w:t>tervezett</w:t>
            </w:r>
            <w:r w:rsidRPr="00883EC9">
              <w:rPr>
                <w:szCs w:val="21"/>
              </w:rPr>
              <w:br/>
              <w:t>eredm</w:t>
            </w:r>
            <w:r w:rsidRPr="00883EC9">
              <w:rPr>
                <w:rFonts w:hint="eastAsia"/>
                <w:szCs w:val="21"/>
              </w:rPr>
              <w:t>é</w:t>
            </w:r>
            <w:r w:rsidRPr="00883EC9">
              <w:rPr>
                <w:szCs w:val="21"/>
              </w:rPr>
              <w:t>ny</w:t>
            </w:r>
          </w:p>
        </w:tc>
        <w:tc>
          <w:tcPr>
            <w:tcW w:w="1391" w:type="dxa"/>
            <w:gridSpan w:val="4"/>
            <w:tcBorders>
              <w:top w:val="single" w:sz="4" w:space="0" w:color="auto"/>
              <w:left w:val="nil"/>
              <w:bottom w:val="single" w:sz="4" w:space="0" w:color="auto"/>
              <w:right w:val="nil"/>
            </w:tcBorders>
            <w:vAlign w:val="center"/>
          </w:tcPr>
          <w:p w:rsidR="00920BB3" w:rsidRPr="00883EC9" w:rsidRDefault="00920BB3" w:rsidP="00920BB3">
            <w:pPr>
              <w:jc w:val="center"/>
              <w:rPr>
                <w:szCs w:val="21"/>
              </w:rPr>
            </w:pPr>
            <w:r w:rsidRPr="00883EC9">
              <w:rPr>
                <w:szCs w:val="21"/>
              </w:rPr>
              <w:t>2017.I.félév</w:t>
            </w:r>
          </w:p>
          <w:p w:rsidR="00920BB3" w:rsidRPr="00883EC9" w:rsidRDefault="00920BB3" w:rsidP="00920BB3">
            <w:pPr>
              <w:jc w:val="center"/>
              <w:rPr>
                <w:szCs w:val="21"/>
              </w:rPr>
            </w:pPr>
            <w:r w:rsidRPr="00883EC9">
              <w:rPr>
                <w:rFonts w:hint="eastAsia"/>
                <w:szCs w:val="21"/>
              </w:rPr>
              <w:t>Ö</w:t>
            </w:r>
            <w:r w:rsidRPr="00883EC9">
              <w:rPr>
                <w:szCs w:val="21"/>
              </w:rPr>
              <w:t>sszes</w:t>
            </w:r>
            <w:r w:rsidRPr="00883EC9">
              <w:rPr>
                <w:szCs w:val="21"/>
              </w:rPr>
              <w:br/>
              <w:t>bev</w:t>
            </w:r>
            <w:r w:rsidRPr="00883EC9">
              <w:rPr>
                <w:rFonts w:hint="eastAsia"/>
                <w:szCs w:val="21"/>
              </w:rPr>
              <w:t>é</w:t>
            </w:r>
            <w:r w:rsidRPr="00883EC9">
              <w:rPr>
                <w:szCs w:val="21"/>
              </w:rPr>
              <w:t>tel</w:t>
            </w:r>
          </w:p>
        </w:tc>
        <w:tc>
          <w:tcPr>
            <w:tcW w:w="1217" w:type="dxa"/>
            <w:gridSpan w:val="2"/>
            <w:tcBorders>
              <w:top w:val="single" w:sz="4" w:space="0" w:color="auto"/>
              <w:left w:val="nil"/>
              <w:bottom w:val="single" w:sz="4" w:space="0" w:color="auto"/>
              <w:right w:val="nil"/>
            </w:tcBorders>
            <w:vAlign w:val="center"/>
          </w:tcPr>
          <w:p w:rsidR="00920BB3" w:rsidRPr="00883EC9" w:rsidRDefault="00920BB3" w:rsidP="00920BB3">
            <w:pPr>
              <w:jc w:val="center"/>
              <w:rPr>
                <w:szCs w:val="21"/>
              </w:rPr>
            </w:pPr>
            <w:r w:rsidRPr="00883EC9">
              <w:rPr>
                <w:szCs w:val="21"/>
              </w:rPr>
              <w:t>2017.I.félév K</w:t>
            </w:r>
            <w:r w:rsidRPr="00883EC9">
              <w:rPr>
                <w:rFonts w:hint="eastAsia"/>
                <w:szCs w:val="21"/>
              </w:rPr>
              <w:t>ö</w:t>
            </w:r>
            <w:r w:rsidRPr="00883EC9">
              <w:rPr>
                <w:szCs w:val="21"/>
              </w:rPr>
              <w:t>lts</w:t>
            </w:r>
            <w:r w:rsidRPr="00883EC9">
              <w:rPr>
                <w:rFonts w:hint="eastAsia"/>
                <w:szCs w:val="21"/>
              </w:rPr>
              <w:t>é</w:t>
            </w:r>
            <w:r w:rsidRPr="00883EC9">
              <w:rPr>
                <w:szCs w:val="21"/>
              </w:rPr>
              <w:t xml:space="preserve">g </w:t>
            </w:r>
            <w:r w:rsidRPr="00883EC9">
              <w:rPr>
                <w:rFonts w:hint="eastAsia"/>
                <w:szCs w:val="21"/>
              </w:rPr>
              <w:t>é</w:t>
            </w:r>
            <w:r w:rsidRPr="00883EC9">
              <w:rPr>
                <w:szCs w:val="21"/>
              </w:rPr>
              <w:t>s</w:t>
            </w:r>
            <w:r w:rsidRPr="00883EC9">
              <w:rPr>
                <w:szCs w:val="21"/>
              </w:rPr>
              <w:br/>
              <w:t>r</w:t>
            </w:r>
            <w:r w:rsidRPr="00883EC9">
              <w:rPr>
                <w:rFonts w:hint="eastAsia"/>
                <w:szCs w:val="21"/>
              </w:rPr>
              <w:t>á</w:t>
            </w:r>
            <w:r w:rsidRPr="00883EC9">
              <w:rPr>
                <w:szCs w:val="21"/>
              </w:rPr>
              <w:t>ford</w:t>
            </w:r>
            <w:r w:rsidRPr="00883EC9">
              <w:rPr>
                <w:rFonts w:hint="eastAsia"/>
                <w:szCs w:val="21"/>
              </w:rPr>
              <w:t>í</w:t>
            </w:r>
            <w:r w:rsidRPr="00883EC9">
              <w:rPr>
                <w:szCs w:val="21"/>
              </w:rPr>
              <w:t>t</w:t>
            </w:r>
            <w:r w:rsidRPr="00883EC9">
              <w:rPr>
                <w:rFonts w:hint="eastAsia"/>
                <w:szCs w:val="21"/>
              </w:rPr>
              <w:t>á</w:t>
            </w:r>
            <w:r w:rsidRPr="00883EC9">
              <w:rPr>
                <w:szCs w:val="21"/>
              </w:rPr>
              <w:t>s</w:t>
            </w:r>
          </w:p>
        </w:tc>
        <w:tc>
          <w:tcPr>
            <w:tcW w:w="1029" w:type="dxa"/>
            <w:gridSpan w:val="4"/>
            <w:tcBorders>
              <w:top w:val="single" w:sz="4" w:space="0" w:color="auto"/>
              <w:left w:val="nil"/>
              <w:bottom w:val="single" w:sz="4" w:space="0" w:color="auto"/>
              <w:right w:val="nil"/>
            </w:tcBorders>
            <w:vAlign w:val="center"/>
          </w:tcPr>
          <w:p w:rsidR="00920BB3" w:rsidRPr="00883EC9" w:rsidRDefault="00920BB3" w:rsidP="00920BB3">
            <w:pPr>
              <w:jc w:val="center"/>
              <w:rPr>
                <w:szCs w:val="21"/>
              </w:rPr>
            </w:pPr>
            <w:r w:rsidRPr="00883EC9">
              <w:rPr>
                <w:szCs w:val="21"/>
              </w:rPr>
              <w:t>2017.I.félév Eredm</w:t>
            </w:r>
            <w:r w:rsidRPr="00883EC9">
              <w:rPr>
                <w:rFonts w:hint="eastAsia"/>
                <w:szCs w:val="21"/>
              </w:rPr>
              <w:t>é</w:t>
            </w:r>
            <w:r w:rsidRPr="00883EC9">
              <w:rPr>
                <w:szCs w:val="21"/>
              </w:rPr>
              <w:t>ny</w:t>
            </w:r>
          </w:p>
        </w:tc>
        <w:tc>
          <w:tcPr>
            <w:tcW w:w="1562" w:type="dxa"/>
            <w:gridSpan w:val="5"/>
            <w:tcBorders>
              <w:top w:val="single" w:sz="4" w:space="0" w:color="auto"/>
              <w:left w:val="nil"/>
              <w:bottom w:val="single" w:sz="4" w:space="0" w:color="auto"/>
              <w:right w:val="nil"/>
            </w:tcBorders>
            <w:vAlign w:val="center"/>
          </w:tcPr>
          <w:p w:rsidR="00920BB3" w:rsidRPr="00883EC9" w:rsidRDefault="00920BB3" w:rsidP="00920BB3">
            <w:pPr>
              <w:jc w:val="center"/>
              <w:rPr>
                <w:szCs w:val="21"/>
              </w:rPr>
            </w:pPr>
            <w:r w:rsidRPr="00883EC9">
              <w:rPr>
                <w:szCs w:val="21"/>
              </w:rPr>
              <w:t>Eredm</w:t>
            </w:r>
            <w:r w:rsidRPr="00883EC9">
              <w:rPr>
                <w:rFonts w:hint="eastAsia"/>
                <w:szCs w:val="21"/>
              </w:rPr>
              <w:t>é</w:t>
            </w:r>
            <w:r w:rsidRPr="00883EC9">
              <w:rPr>
                <w:szCs w:val="21"/>
              </w:rPr>
              <w:t xml:space="preserve">ny </w:t>
            </w:r>
          </w:p>
          <w:p w:rsidR="00920BB3" w:rsidRPr="00883EC9" w:rsidRDefault="00920BB3" w:rsidP="00920BB3">
            <w:pPr>
              <w:jc w:val="center"/>
              <w:rPr>
                <w:szCs w:val="21"/>
              </w:rPr>
            </w:pPr>
            <w:r w:rsidRPr="00883EC9">
              <w:rPr>
                <w:szCs w:val="21"/>
              </w:rPr>
              <w:t>elt</w:t>
            </w:r>
            <w:r w:rsidRPr="00883EC9">
              <w:rPr>
                <w:rFonts w:hint="eastAsia"/>
                <w:szCs w:val="21"/>
              </w:rPr>
              <w:t>é</w:t>
            </w:r>
            <w:r w:rsidRPr="00883EC9">
              <w:rPr>
                <w:szCs w:val="21"/>
              </w:rPr>
              <w:t>r</w:t>
            </w:r>
            <w:r w:rsidRPr="00883EC9">
              <w:rPr>
                <w:rFonts w:hint="eastAsia"/>
                <w:szCs w:val="21"/>
              </w:rPr>
              <w:t>é</w:t>
            </w:r>
            <w:r w:rsidRPr="00883EC9">
              <w:rPr>
                <w:szCs w:val="21"/>
              </w:rPr>
              <w:t>se az</w:t>
            </w:r>
            <w:r w:rsidRPr="00883EC9">
              <w:rPr>
                <w:szCs w:val="21"/>
              </w:rPr>
              <w:br/>
              <w:t>id</w:t>
            </w:r>
            <w:r w:rsidRPr="00883EC9">
              <w:rPr>
                <w:rFonts w:hint="eastAsia"/>
                <w:szCs w:val="21"/>
              </w:rPr>
              <w:t>ő</w:t>
            </w:r>
            <w:r w:rsidRPr="00883EC9">
              <w:rPr>
                <w:szCs w:val="21"/>
              </w:rPr>
              <w:t>ar</w:t>
            </w:r>
            <w:r w:rsidRPr="00883EC9">
              <w:rPr>
                <w:rFonts w:hint="eastAsia"/>
                <w:szCs w:val="21"/>
              </w:rPr>
              <w:t>á</w:t>
            </w:r>
            <w:r w:rsidRPr="00883EC9">
              <w:rPr>
                <w:szCs w:val="21"/>
              </w:rPr>
              <w:t>nyos tervt</w:t>
            </w:r>
            <w:r w:rsidRPr="00883EC9">
              <w:rPr>
                <w:rFonts w:hint="eastAsia"/>
                <w:szCs w:val="21"/>
              </w:rPr>
              <w:t>ő</w:t>
            </w:r>
            <w:r w:rsidRPr="00883EC9">
              <w:rPr>
                <w:szCs w:val="21"/>
              </w:rPr>
              <w:t>l</w:t>
            </w:r>
          </w:p>
        </w:tc>
      </w:tr>
      <w:tr w:rsidR="00920BB3" w:rsidRPr="00883EC9" w:rsidTr="00920BB3">
        <w:tblPrEx>
          <w:tblCellMar>
            <w:left w:w="70" w:type="dxa"/>
            <w:right w:w="70" w:type="dxa"/>
          </w:tblCellMar>
          <w:tblLook w:val="04A0" w:firstRow="1" w:lastRow="0" w:firstColumn="1" w:lastColumn="0" w:noHBand="0" w:noVBand="1"/>
        </w:tblPrEx>
        <w:trPr>
          <w:gridBefore w:val="1"/>
          <w:gridAfter w:val="1"/>
          <w:wBefore w:w="141" w:type="dxa"/>
          <w:wAfter w:w="283" w:type="dxa"/>
          <w:trHeight w:val="300"/>
        </w:trPr>
        <w:tc>
          <w:tcPr>
            <w:tcW w:w="3180" w:type="dxa"/>
            <w:tcBorders>
              <w:top w:val="nil"/>
              <w:left w:val="nil"/>
              <w:right w:val="nil"/>
            </w:tcBorders>
            <w:shd w:val="clear" w:color="auto" w:fill="auto"/>
            <w:noWrap/>
            <w:vAlign w:val="bottom"/>
            <w:hideMark/>
          </w:tcPr>
          <w:p w:rsidR="00920BB3" w:rsidRPr="00883EC9" w:rsidRDefault="00920BB3" w:rsidP="00920BB3">
            <w:pPr>
              <w:rPr>
                <w:sz w:val="22"/>
                <w:szCs w:val="22"/>
              </w:rPr>
            </w:pPr>
            <w:r w:rsidRPr="00883EC9">
              <w:rPr>
                <w:sz w:val="22"/>
                <w:szCs w:val="22"/>
              </w:rPr>
              <w:t xml:space="preserve">Ivóvíz termelés és </w:t>
            </w:r>
            <w:proofErr w:type="spellStart"/>
            <w:r w:rsidRPr="00883EC9">
              <w:rPr>
                <w:sz w:val="22"/>
                <w:szCs w:val="22"/>
              </w:rPr>
              <w:t>-szolg</w:t>
            </w:r>
            <w:proofErr w:type="spellEnd"/>
            <w:r w:rsidRPr="00883EC9">
              <w:rPr>
                <w:sz w:val="22"/>
                <w:szCs w:val="22"/>
              </w:rPr>
              <w:t>.</w:t>
            </w:r>
          </w:p>
        </w:tc>
        <w:tc>
          <w:tcPr>
            <w:tcW w:w="1258" w:type="dxa"/>
            <w:gridSpan w:val="2"/>
            <w:tcBorders>
              <w:top w:val="nil"/>
              <w:left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-71 726</w:t>
            </w:r>
          </w:p>
        </w:tc>
        <w:tc>
          <w:tcPr>
            <w:tcW w:w="1300" w:type="dxa"/>
            <w:gridSpan w:val="3"/>
            <w:tcBorders>
              <w:top w:val="nil"/>
              <w:left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1 410 999</w:t>
            </w:r>
          </w:p>
        </w:tc>
        <w:tc>
          <w:tcPr>
            <w:tcW w:w="1280" w:type="dxa"/>
            <w:gridSpan w:val="3"/>
            <w:tcBorders>
              <w:top w:val="nil"/>
              <w:left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1 473 769</w:t>
            </w:r>
          </w:p>
        </w:tc>
        <w:tc>
          <w:tcPr>
            <w:tcW w:w="1265" w:type="dxa"/>
            <w:gridSpan w:val="5"/>
            <w:tcBorders>
              <w:top w:val="nil"/>
              <w:left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-62 770</w:t>
            </w:r>
          </w:p>
        </w:tc>
        <w:tc>
          <w:tcPr>
            <w:tcW w:w="1279" w:type="dxa"/>
            <w:gridSpan w:val="4"/>
            <w:tcBorders>
              <w:top w:val="nil"/>
              <w:left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-26 907</w:t>
            </w:r>
          </w:p>
        </w:tc>
      </w:tr>
      <w:tr w:rsidR="00920BB3" w:rsidRPr="00883EC9" w:rsidTr="00920BB3">
        <w:tblPrEx>
          <w:tblCellMar>
            <w:left w:w="70" w:type="dxa"/>
            <w:right w:w="70" w:type="dxa"/>
          </w:tblCellMar>
          <w:tblLook w:val="04A0" w:firstRow="1" w:lastRow="0" w:firstColumn="1" w:lastColumn="0" w:noHBand="0" w:noVBand="1"/>
        </w:tblPrEx>
        <w:trPr>
          <w:gridBefore w:val="1"/>
          <w:gridAfter w:val="1"/>
          <w:wBefore w:w="141" w:type="dxa"/>
          <w:wAfter w:w="283" w:type="dxa"/>
          <w:trHeight w:val="300"/>
        </w:trPr>
        <w:tc>
          <w:tcPr>
            <w:tcW w:w="3180" w:type="dxa"/>
            <w:tcBorders>
              <w:top w:val="nil"/>
              <w:left w:val="nil"/>
              <w:bottom w:val="single" w:sz="4" w:space="0" w:color="auto"/>
              <w:right w:val="nil"/>
            </w:tcBorders>
            <w:shd w:val="clear" w:color="auto" w:fill="auto"/>
            <w:noWrap/>
            <w:vAlign w:val="bottom"/>
            <w:hideMark/>
          </w:tcPr>
          <w:p w:rsidR="00920BB3" w:rsidRPr="00883EC9" w:rsidRDefault="00920BB3" w:rsidP="00920BB3">
            <w:pPr>
              <w:rPr>
                <w:sz w:val="22"/>
                <w:szCs w:val="22"/>
              </w:rPr>
            </w:pPr>
            <w:r w:rsidRPr="00883EC9">
              <w:rPr>
                <w:sz w:val="22"/>
                <w:szCs w:val="22"/>
              </w:rPr>
              <w:t xml:space="preserve">Szennyvízelvezetés és </w:t>
            </w:r>
            <w:proofErr w:type="spellStart"/>
            <w:r w:rsidRPr="00883EC9">
              <w:rPr>
                <w:sz w:val="22"/>
                <w:szCs w:val="22"/>
              </w:rPr>
              <w:t>-tiszt</w:t>
            </w:r>
            <w:proofErr w:type="spellEnd"/>
            <w:r w:rsidRPr="00883EC9">
              <w:rPr>
                <w:sz w:val="22"/>
                <w:szCs w:val="22"/>
              </w:rPr>
              <w:t>.</w:t>
            </w:r>
          </w:p>
        </w:tc>
        <w:tc>
          <w:tcPr>
            <w:tcW w:w="1258" w:type="dxa"/>
            <w:gridSpan w:val="2"/>
            <w:tcBorders>
              <w:top w:val="nil"/>
              <w:left w:val="nil"/>
              <w:bottom w:val="single" w:sz="4" w:space="0" w:color="auto"/>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-58 531</w:t>
            </w:r>
          </w:p>
        </w:tc>
        <w:tc>
          <w:tcPr>
            <w:tcW w:w="1300" w:type="dxa"/>
            <w:gridSpan w:val="3"/>
            <w:tcBorders>
              <w:top w:val="nil"/>
              <w:left w:val="nil"/>
              <w:bottom w:val="single" w:sz="4" w:space="0" w:color="auto"/>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1 554 792</w:t>
            </w:r>
          </w:p>
        </w:tc>
        <w:tc>
          <w:tcPr>
            <w:tcW w:w="1280" w:type="dxa"/>
            <w:gridSpan w:val="3"/>
            <w:tcBorders>
              <w:top w:val="nil"/>
              <w:left w:val="nil"/>
              <w:bottom w:val="single" w:sz="4" w:space="0" w:color="auto"/>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1 591 558</w:t>
            </w:r>
          </w:p>
        </w:tc>
        <w:tc>
          <w:tcPr>
            <w:tcW w:w="1265" w:type="dxa"/>
            <w:gridSpan w:val="5"/>
            <w:tcBorders>
              <w:top w:val="nil"/>
              <w:left w:val="nil"/>
              <w:bottom w:val="single" w:sz="4" w:space="0" w:color="auto"/>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-36 766</w:t>
            </w:r>
          </w:p>
        </w:tc>
        <w:tc>
          <w:tcPr>
            <w:tcW w:w="1279" w:type="dxa"/>
            <w:gridSpan w:val="4"/>
            <w:tcBorders>
              <w:top w:val="nil"/>
              <w:left w:val="nil"/>
              <w:bottom w:val="single" w:sz="4" w:space="0" w:color="auto"/>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-7 501</w:t>
            </w:r>
          </w:p>
        </w:tc>
      </w:tr>
      <w:tr w:rsidR="00920BB3" w:rsidRPr="00883EC9" w:rsidTr="00920BB3">
        <w:tblPrEx>
          <w:tblCellMar>
            <w:left w:w="70" w:type="dxa"/>
            <w:right w:w="70" w:type="dxa"/>
          </w:tblCellMar>
          <w:tblLook w:val="04A0" w:firstRow="1" w:lastRow="0" w:firstColumn="1" w:lastColumn="0" w:noHBand="0" w:noVBand="1"/>
        </w:tblPrEx>
        <w:trPr>
          <w:gridBefore w:val="1"/>
          <w:gridAfter w:val="1"/>
          <w:wBefore w:w="141" w:type="dxa"/>
          <w:wAfter w:w="283" w:type="dxa"/>
          <w:trHeight w:val="300"/>
        </w:trPr>
        <w:tc>
          <w:tcPr>
            <w:tcW w:w="3180" w:type="dxa"/>
            <w:tcBorders>
              <w:top w:val="single" w:sz="4" w:space="0" w:color="auto"/>
              <w:left w:val="nil"/>
              <w:bottom w:val="nil"/>
              <w:right w:val="nil"/>
            </w:tcBorders>
            <w:shd w:val="clear" w:color="auto" w:fill="auto"/>
            <w:noWrap/>
            <w:vAlign w:val="bottom"/>
            <w:hideMark/>
          </w:tcPr>
          <w:p w:rsidR="00920BB3" w:rsidRPr="00883EC9" w:rsidRDefault="00920BB3" w:rsidP="00920BB3">
            <w:pPr>
              <w:rPr>
                <w:i/>
                <w:iCs/>
                <w:sz w:val="22"/>
                <w:szCs w:val="22"/>
              </w:rPr>
            </w:pPr>
            <w:r w:rsidRPr="00883EC9">
              <w:rPr>
                <w:i/>
                <w:iCs/>
                <w:sz w:val="22"/>
                <w:szCs w:val="22"/>
              </w:rPr>
              <w:t>Elsődleges tevékenységek</w:t>
            </w:r>
          </w:p>
        </w:tc>
        <w:tc>
          <w:tcPr>
            <w:tcW w:w="1258" w:type="dxa"/>
            <w:gridSpan w:val="2"/>
            <w:tcBorders>
              <w:top w:val="single" w:sz="4" w:space="0" w:color="auto"/>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-130 257</w:t>
            </w:r>
          </w:p>
        </w:tc>
        <w:tc>
          <w:tcPr>
            <w:tcW w:w="1300" w:type="dxa"/>
            <w:gridSpan w:val="3"/>
            <w:tcBorders>
              <w:top w:val="single" w:sz="4" w:space="0" w:color="auto"/>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2 965 791</w:t>
            </w:r>
          </w:p>
        </w:tc>
        <w:tc>
          <w:tcPr>
            <w:tcW w:w="1280" w:type="dxa"/>
            <w:gridSpan w:val="3"/>
            <w:tcBorders>
              <w:top w:val="single" w:sz="4" w:space="0" w:color="auto"/>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3 065 327</w:t>
            </w:r>
          </w:p>
        </w:tc>
        <w:tc>
          <w:tcPr>
            <w:tcW w:w="1265" w:type="dxa"/>
            <w:gridSpan w:val="5"/>
            <w:tcBorders>
              <w:top w:val="single" w:sz="4" w:space="0" w:color="auto"/>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-99 536</w:t>
            </w:r>
          </w:p>
        </w:tc>
        <w:tc>
          <w:tcPr>
            <w:tcW w:w="1279" w:type="dxa"/>
            <w:gridSpan w:val="4"/>
            <w:tcBorders>
              <w:top w:val="single" w:sz="4" w:space="0" w:color="auto"/>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-34 408</w:t>
            </w:r>
          </w:p>
        </w:tc>
      </w:tr>
      <w:tr w:rsidR="00920BB3" w:rsidRPr="00883EC9" w:rsidTr="00920BB3">
        <w:tblPrEx>
          <w:tblCellMar>
            <w:left w:w="70" w:type="dxa"/>
            <w:right w:w="70" w:type="dxa"/>
          </w:tblCellMar>
          <w:tblLook w:val="04A0" w:firstRow="1" w:lastRow="0" w:firstColumn="1" w:lastColumn="0" w:noHBand="0" w:noVBand="1"/>
        </w:tblPrEx>
        <w:trPr>
          <w:gridBefore w:val="1"/>
          <w:gridAfter w:val="1"/>
          <w:wBefore w:w="141" w:type="dxa"/>
          <w:wAfter w:w="283" w:type="dxa"/>
          <w:trHeight w:val="300"/>
        </w:trPr>
        <w:tc>
          <w:tcPr>
            <w:tcW w:w="3180" w:type="dxa"/>
            <w:tcBorders>
              <w:top w:val="nil"/>
              <w:left w:val="nil"/>
              <w:bottom w:val="nil"/>
              <w:right w:val="nil"/>
            </w:tcBorders>
            <w:shd w:val="clear" w:color="auto" w:fill="auto"/>
            <w:noWrap/>
            <w:vAlign w:val="bottom"/>
            <w:hideMark/>
          </w:tcPr>
          <w:p w:rsidR="00920BB3" w:rsidRPr="00883EC9" w:rsidRDefault="00920BB3" w:rsidP="00920BB3">
            <w:pPr>
              <w:rPr>
                <w:sz w:val="22"/>
                <w:szCs w:val="22"/>
              </w:rPr>
            </w:pPr>
            <w:r w:rsidRPr="00883EC9">
              <w:rPr>
                <w:sz w:val="22"/>
                <w:szCs w:val="22"/>
              </w:rPr>
              <w:t xml:space="preserve">Ipari víz termelés és </w:t>
            </w:r>
            <w:proofErr w:type="spellStart"/>
            <w:r w:rsidRPr="00883EC9">
              <w:rPr>
                <w:sz w:val="22"/>
                <w:szCs w:val="22"/>
              </w:rPr>
              <w:t>-szolg</w:t>
            </w:r>
            <w:proofErr w:type="spellEnd"/>
            <w:r w:rsidRPr="00883EC9">
              <w:rPr>
                <w:sz w:val="22"/>
                <w:szCs w:val="22"/>
              </w:rPr>
              <w:t>.</w:t>
            </w:r>
          </w:p>
        </w:tc>
        <w:tc>
          <w:tcPr>
            <w:tcW w:w="1258" w:type="dxa"/>
            <w:gridSpan w:val="2"/>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6 800</w:t>
            </w:r>
          </w:p>
        </w:tc>
        <w:tc>
          <w:tcPr>
            <w:tcW w:w="1300" w:type="dxa"/>
            <w:gridSpan w:val="3"/>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1 636</w:t>
            </w:r>
          </w:p>
        </w:tc>
        <w:tc>
          <w:tcPr>
            <w:tcW w:w="1280" w:type="dxa"/>
            <w:gridSpan w:val="3"/>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1 253</w:t>
            </w:r>
          </w:p>
        </w:tc>
        <w:tc>
          <w:tcPr>
            <w:tcW w:w="1265" w:type="dxa"/>
            <w:gridSpan w:val="5"/>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383</w:t>
            </w:r>
          </w:p>
        </w:tc>
        <w:tc>
          <w:tcPr>
            <w:tcW w:w="1279" w:type="dxa"/>
            <w:gridSpan w:val="4"/>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-3 017</w:t>
            </w:r>
          </w:p>
        </w:tc>
      </w:tr>
      <w:tr w:rsidR="00920BB3" w:rsidRPr="00883EC9" w:rsidTr="00920BB3">
        <w:tblPrEx>
          <w:tblCellMar>
            <w:left w:w="70" w:type="dxa"/>
            <w:right w:w="70" w:type="dxa"/>
          </w:tblCellMar>
          <w:tblLook w:val="04A0" w:firstRow="1" w:lastRow="0" w:firstColumn="1" w:lastColumn="0" w:noHBand="0" w:noVBand="1"/>
        </w:tblPrEx>
        <w:trPr>
          <w:gridBefore w:val="1"/>
          <w:gridAfter w:val="1"/>
          <w:wBefore w:w="141" w:type="dxa"/>
          <w:wAfter w:w="283" w:type="dxa"/>
          <w:trHeight w:val="300"/>
        </w:trPr>
        <w:tc>
          <w:tcPr>
            <w:tcW w:w="3180" w:type="dxa"/>
            <w:tcBorders>
              <w:top w:val="nil"/>
              <w:left w:val="nil"/>
              <w:bottom w:val="nil"/>
              <w:right w:val="nil"/>
            </w:tcBorders>
            <w:shd w:val="clear" w:color="auto" w:fill="auto"/>
            <w:noWrap/>
            <w:vAlign w:val="bottom"/>
            <w:hideMark/>
          </w:tcPr>
          <w:p w:rsidR="00920BB3" w:rsidRPr="00883EC9" w:rsidRDefault="00920BB3" w:rsidP="00920BB3">
            <w:pPr>
              <w:rPr>
                <w:sz w:val="22"/>
                <w:szCs w:val="22"/>
              </w:rPr>
            </w:pPr>
            <w:r w:rsidRPr="00883EC9">
              <w:rPr>
                <w:sz w:val="22"/>
                <w:szCs w:val="22"/>
              </w:rPr>
              <w:t>Fürdő szolgáltatás</w:t>
            </w:r>
          </w:p>
        </w:tc>
        <w:tc>
          <w:tcPr>
            <w:tcW w:w="1258" w:type="dxa"/>
            <w:gridSpan w:val="2"/>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-92 681</w:t>
            </w:r>
          </w:p>
        </w:tc>
        <w:tc>
          <w:tcPr>
            <w:tcW w:w="1300" w:type="dxa"/>
            <w:gridSpan w:val="3"/>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40 821</w:t>
            </w:r>
          </w:p>
        </w:tc>
        <w:tc>
          <w:tcPr>
            <w:tcW w:w="1280" w:type="dxa"/>
            <w:gridSpan w:val="3"/>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128 529</w:t>
            </w:r>
          </w:p>
        </w:tc>
        <w:tc>
          <w:tcPr>
            <w:tcW w:w="1265" w:type="dxa"/>
            <w:gridSpan w:val="5"/>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-87 708</w:t>
            </w:r>
          </w:p>
        </w:tc>
        <w:tc>
          <w:tcPr>
            <w:tcW w:w="1279" w:type="dxa"/>
            <w:gridSpan w:val="4"/>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-41 368</w:t>
            </w:r>
          </w:p>
        </w:tc>
      </w:tr>
      <w:tr w:rsidR="00920BB3" w:rsidRPr="00883EC9" w:rsidTr="00920BB3">
        <w:tblPrEx>
          <w:tblCellMar>
            <w:left w:w="70" w:type="dxa"/>
            <w:right w:w="70" w:type="dxa"/>
          </w:tblCellMar>
          <w:tblLook w:val="04A0" w:firstRow="1" w:lastRow="0" w:firstColumn="1" w:lastColumn="0" w:noHBand="0" w:noVBand="1"/>
        </w:tblPrEx>
        <w:trPr>
          <w:gridBefore w:val="1"/>
          <w:gridAfter w:val="1"/>
          <w:wBefore w:w="141" w:type="dxa"/>
          <w:wAfter w:w="283" w:type="dxa"/>
          <w:trHeight w:val="300"/>
        </w:trPr>
        <w:tc>
          <w:tcPr>
            <w:tcW w:w="3180" w:type="dxa"/>
            <w:tcBorders>
              <w:top w:val="nil"/>
              <w:left w:val="nil"/>
              <w:bottom w:val="nil"/>
              <w:right w:val="nil"/>
            </w:tcBorders>
            <w:shd w:val="clear" w:color="auto" w:fill="auto"/>
            <w:noWrap/>
            <w:vAlign w:val="bottom"/>
            <w:hideMark/>
          </w:tcPr>
          <w:p w:rsidR="00920BB3" w:rsidRPr="00883EC9" w:rsidRDefault="00920BB3" w:rsidP="00920BB3">
            <w:pPr>
              <w:rPr>
                <w:sz w:val="22"/>
                <w:szCs w:val="22"/>
              </w:rPr>
            </w:pPr>
            <w:r w:rsidRPr="00883EC9">
              <w:rPr>
                <w:sz w:val="22"/>
                <w:szCs w:val="22"/>
              </w:rPr>
              <w:t>Építőipari tevékenység*</w:t>
            </w:r>
          </w:p>
        </w:tc>
        <w:tc>
          <w:tcPr>
            <w:tcW w:w="1258" w:type="dxa"/>
            <w:gridSpan w:val="2"/>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92 225</w:t>
            </w:r>
          </w:p>
        </w:tc>
        <w:tc>
          <w:tcPr>
            <w:tcW w:w="1300" w:type="dxa"/>
            <w:gridSpan w:val="3"/>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297 574</w:t>
            </w:r>
          </w:p>
        </w:tc>
        <w:tc>
          <w:tcPr>
            <w:tcW w:w="1280" w:type="dxa"/>
            <w:gridSpan w:val="3"/>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247 741</w:t>
            </w:r>
          </w:p>
        </w:tc>
        <w:tc>
          <w:tcPr>
            <w:tcW w:w="1265" w:type="dxa"/>
            <w:gridSpan w:val="5"/>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49 833</w:t>
            </w:r>
          </w:p>
        </w:tc>
        <w:tc>
          <w:tcPr>
            <w:tcW w:w="1279" w:type="dxa"/>
            <w:gridSpan w:val="4"/>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3 721</w:t>
            </w:r>
          </w:p>
        </w:tc>
      </w:tr>
      <w:tr w:rsidR="00920BB3" w:rsidRPr="00883EC9" w:rsidTr="00920BB3">
        <w:tblPrEx>
          <w:tblCellMar>
            <w:left w:w="70" w:type="dxa"/>
            <w:right w:w="70" w:type="dxa"/>
          </w:tblCellMar>
          <w:tblLook w:val="04A0" w:firstRow="1" w:lastRow="0" w:firstColumn="1" w:lastColumn="0" w:noHBand="0" w:noVBand="1"/>
        </w:tblPrEx>
        <w:trPr>
          <w:gridBefore w:val="1"/>
          <w:gridAfter w:val="1"/>
          <w:wBefore w:w="141" w:type="dxa"/>
          <w:wAfter w:w="283" w:type="dxa"/>
          <w:trHeight w:val="300"/>
        </w:trPr>
        <w:tc>
          <w:tcPr>
            <w:tcW w:w="3180" w:type="dxa"/>
            <w:tcBorders>
              <w:top w:val="nil"/>
              <w:left w:val="nil"/>
              <w:bottom w:val="nil"/>
              <w:right w:val="nil"/>
            </w:tcBorders>
            <w:shd w:val="clear" w:color="auto" w:fill="auto"/>
            <w:noWrap/>
            <w:vAlign w:val="bottom"/>
            <w:hideMark/>
          </w:tcPr>
          <w:p w:rsidR="00920BB3" w:rsidRPr="00883EC9" w:rsidRDefault="00920BB3" w:rsidP="00920BB3">
            <w:pPr>
              <w:rPr>
                <w:sz w:val="22"/>
                <w:szCs w:val="22"/>
              </w:rPr>
            </w:pPr>
            <w:proofErr w:type="spellStart"/>
            <w:r w:rsidRPr="00883EC9">
              <w:rPr>
                <w:sz w:val="22"/>
                <w:szCs w:val="22"/>
              </w:rPr>
              <w:t>Alaptev.-hez</w:t>
            </w:r>
            <w:proofErr w:type="spellEnd"/>
            <w:r w:rsidRPr="00883EC9">
              <w:rPr>
                <w:sz w:val="22"/>
                <w:szCs w:val="22"/>
              </w:rPr>
              <w:t xml:space="preserve"> </w:t>
            </w:r>
            <w:proofErr w:type="spellStart"/>
            <w:r w:rsidRPr="00883EC9">
              <w:rPr>
                <w:sz w:val="22"/>
                <w:szCs w:val="22"/>
              </w:rPr>
              <w:t>kapcs</w:t>
            </w:r>
            <w:proofErr w:type="spellEnd"/>
            <w:r w:rsidRPr="00883EC9">
              <w:rPr>
                <w:sz w:val="22"/>
                <w:szCs w:val="22"/>
              </w:rPr>
              <w:t xml:space="preserve">. egyéb </w:t>
            </w:r>
            <w:proofErr w:type="spellStart"/>
            <w:r w:rsidRPr="00883EC9">
              <w:rPr>
                <w:sz w:val="22"/>
                <w:szCs w:val="22"/>
              </w:rPr>
              <w:t>szolg</w:t>
            </w:r>
            <w:proofErr w:type="spellEnd"/>
            <w:r w:rsidRPr="00883EC9">
              <w:rPr>
                <w:sz w:val="22"/>
                <w:szCs w:val="22"/>
              </w:rPr>
              <w:t>.</w:t>
            </w:r>
          </w:p>
        </w:tc>
        <w:tc>
          <w:tcPr>
            <w:tcW w:w="1258" w:type="dxa"/>
            <w:gridSpan w:val="2"/>
            <w:tcBorders>
              <w:top w:val="nil"/>
              <w:left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40 933</w:t>
            </w:r>
          </w:p>
        </w:tc>
        <w:tc>
          <w:tcPr>
            <w:tcW w:w="1300" w:type="dxa"/>
            <w:gridSpan w:val="3"/>
            <w:tcBorders>
              <w:top w:val="nil"/>
              <w:left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51 481</w:t>
            </w:r>
          </w:p>
        </w:tc>
        <w:tc>
          <w:tcPr>
            <w:tcW w:w="1280" w:type="dxa"/>
            <w:gridSpan w:val="3"/>
            <w:tcBorders>
              <w:top w:val="nil"/>
              <w:left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26 045</w:t>
            </w:r>
          </w:p>
        </w:tc>
        <w:tc>
          <w:tcPr>
            <w:tcW w:w="1265" w:type="dxa"/>
            <w:gridSpan w:val="5"/>
            <w:tcBorders>
              <w:top w:val="nil"/>
              <w:left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25 436</w:t>
            </w:r>
          </w:p>
        </w:tc>
        <w:tc>
          <w:tcPr>
            <w:tcW w:w="1279" w:type="dxa"/>
            <w:gridSpan w:val="4"/>
            <w:tcBorders>
              <w:top w:val="nil"/>
              <w:left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4 970</w:t>
            </w:r>
          </w:p>
        </w:tc>
      </w:tr>
      <w:tr w:rsidR="00920BB3" w:rsidRPr="00883EC9" w:rsidTr="00920BB3">
        <w:tblPrEx>
          <w:tblCellMar>
            <w:left w:w="70" w:type="dxa"/>
            <w:right w:w="70" w:type="dxa"/>
          </w:tblCellMar>
          <w:tblLook w:val="04A0" w:firstRow="1" w:lastRow="0" w:firstColumn="1" w:lastColumn="0" w:noHBand="0" w:noVBand="1"/>
        </w:tblPrEx>
        <w:trPr>
          <w:gridBefore w:val="1"/>
          <w:gridAfter w:val="1"/>
          <w:wBefore w:w="141" w:type="dxa"/>
          <w:wAfter w:w="283" w:type="dxa"/>
          <w:trHeight w:val="300"/>
        </w:trPr>
        <w:tc>
          <w:tcPr>
            <w:tcW w:w="3180" w:type="dxa"/>
            <w:tcBorders>
              <w:top w:val="nil"/>
              <w:left w:val="nil"/>
              <w:bottom w:val="single" w:sz="4" w:space="0" w:color="auto"/>
              <w:right w:val="nil"/>
            </w:tcBorders>
            <w:shd w:val="clear" w:color="auto" w:fill="auto"/>
            <w:noWrap/>
            <w:vAlign w:val="bottom"/>
            <w:hideMark/>
          </w:tcPr>
          <w:p w:rsidR="00920BB3" w:rsidRPr="00883EC9" w:rsidRDefault="00920BB3" w:rsidP="00920BB3">
            <w:pPr>
              <w:rPr>
                <w:sz w:val="22"/>
                <w:szCs w:val="22"/>
              </w:rPr>
            </w:pPr>
            <w:proofErr w:type="spellStart"/>
            <w:r w:rsidRPr="00883EC9">
              <w:rPr>
                <w:sz w:val="22"/>
                <w:szCs w:val="22"/>
              </w:rPr>
              <w:t>Alaptev.-en</w:t>
            </w:r>
            <w:proofErr w:type="spellEnd"/>
            <w:r w:rsidRPr="00883EC9">
              <w:rPr>
                <w:sz w:val="22"/>
                <w:szCs w:val="22"/>
              </w:rPr>
              <w:t xml:space="preserve"> kívüli egyéb </w:t>
            </w:r>
            <w:proofErr w:type="spellStart"/>
            <w:r w:rsidRPr="00883EC9">
              <w:rPr>
                <w:sz w:val="22"/>
                <w:szCs w:val="22"/>
              </w:rPr>
              <w:t>tev</w:t>
            </w:r>
            <w:proofErr w:type="spellEnd"/>
            <w:r w:rsidRPr="00883EC9">
              <w:rPr>
                <w:sz w:val="22"/>
                <w:szCs w:val="22"/>
              </w:rPr>
              <w:t>.</w:t>
            </w:r>
          </w:p>
        </w:tc>
        <w:tc>
          <w:tcPr>
            <w:tcW w:w="1258" w:type="dxa"/>
            <w:gridSpan w:val="2"/>
            <w:tcBorders>
              <w:top w:val="nil"/>
              <w:left w:val="nil"/>
              <w:bottom w:val="single" w:sz="4" w:space="0" w:color="auto"/>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77 200</w:t>
            </w:r>
          </w:p>
        </w:tc>
        <w:tc>
          <w:tcPr>
            <w:tcW w:w="1300" w:type="dxa"/>
            <w:gridSpan w:val="3"/>
            <w:tcBorders>
              <w:top w:val="nil"/>
              <w:left w:val="nil"/>
              <w:bottom w:val="single" w:sz="4" w:space="0" w:color="auto"/>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50 839</w:t>
            </w:r>
          </w:p>
        </w:tc>
        <w:tc>
          <w:tcPr>
            <w:tcW w:w="1280" w:type="dxa"/>
            <w:gridSpan w:val="3"/>
            <w:tcBorders>
              <w:top w:val="nil"/>
              <w:left w:val="nil"/>
              <w:bottom w:val="single" w:sz="4" w:space="0" w:color="auto"/>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2 227</w:t>
            </w:r>
          </w:p>
        </w:tc>
        <w:tc>
          <w:tcPr>
            <w:tcW w:w="1265" w:type="dxa"/>
            <w:gridSpan w:val="5"/>
            <w:tcBorders>
              <w:top w:val="nil"/>
              <w:left w:val="nil"/>
              <w:bottom w:val="single" w:sz="4" w:space="0" w:color="auto"/>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48 612</w:t>
            </w:r>
          </w:p>
        </w:tc>
        <w:tc>
          <w:tcPr>
            <w:tcW w:w="1279" w:type="dxa"/>
            <w:gridSpan w:val="4"/>
            <w:tcBorders>
              <w:top w:val="nil"/>
              <w:left w:val="nil"/>
              <w:bottom w:val="single" w:sz="4" w:space="0" w:color="auto"/>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10 012</w:t>
            </w:r>
          </w:p>
        </w:tc>
      </w:tr>
      <w:tr w:rsidR="00920BB3" w:rsidRPr="00883EC9" w:rsidTr="00920BB3">
        <w:tblPrEx>
          <w:tblCellMar>
            <w:left w:w="70" w:type="dxa"/>
            <w:right w:w="70" w:type="dxa"/>
          </w:tblCellMar>
          <w:tblLook w:val="04A0" w:firstRow="1" w:lastRow="0" w:firstColumn="1" w:lastColumn="0" w:noHBand="0" w:noVBand="1"/>
        </w:tblPrEx>
        <w:trPr>
          <w:gridBefore w:val="1"/>
          <w:gridAfter w:val="1"/>
          <w:wBefore w:w="141" w:type="dxa"/>
          <w:wAfter w:w="283" w:type="dxa"/>
          <w:trHeight w:val="300"/>
        </w:trPr>
        <w:tc>
          <w:tcPr>
            <w:tcW w:w="3180" w:type="dxa"/>
            <w:tcBorders>
              <w:top w:val="single" w:sz="4" w:space="0" w:color="auto"/>
              <w:left w:val="nil"/>
              <w:bottom w:val="single" w:sz="4" w:space="0" w:color="auto"/>
              <w:right w:val="nil"/>
            </w:tcBorders>
            <w:shd w:val="clear" w:color="auto" w:fill="auto"/>
            <w:noWrap/>
            <w:vAlign w:val="bottom"/>
            <w:hideMark/>
          </w:tcPr>
          <w:p w:rsidR="00920BB3" w:rsidRPr="00883EC9" w:rsidRDefault="00920BB3" w:rsidP="00920BB3">
            <w:pPr>
              <w:rPr>
                <w:i/>
                <w:iCs/>
                <w:sz w:val="22"/>
                <w:szCs w:val="22"/>
              </w:rPr>
            </w:pPr>
            <w:r w:rsidRPr="00883EC9">
              <w:rPr>
                <w:i/>
                <w:iCs/>
                <w:sz w:val="22"/>
                <w:szCs w:val="22"/>
              </w:rPr>
              <w:t>Másodlagos tevékenységek</w:t>
            </w:r>
          </w:p>
        </w:tc>
        <w:tc>
          <w:tcPr>
            <w:tcW w:w="1258" w:type="dxa"/>
            <w:gridSpan w:val="2"/>
            <w:tcBorders>
              <w:top w:val="single" w:sz="4" w:space="0" w:color="auto"/>
              <w:left w:val="nil"/>
              <w:bottom w:val="single" w:sz="4" w:space="0" w:color="auto"/>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124 477</w:t>
            </w:r>
          </w:p>
        </w:tc>
        <w:tc>
          <w:tcPr>
            <w:tcW w:w="1300" w:type="dxa"/>
            <w:gridSpan w:val="3"/>
            <w:tcBorders>
              <w:top w:val="single" w:sz="4" w:space="0" w:color="auto"/>
              <w:left w:val="nil"/>
              <w:bottom w:val="single" w:sz="4" w:space="0" w:color="auto"/>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442 351</w:t>
            </w:r>
          </w:p>
        </w:tc>
        <w:tc>
          <w:tcPr>
            <w:tcW w:w="1280" w:type="dxa"/>
            <w:gridSpan w:val="3"/>
            <w:tcBorders>
              <w:top w:val="single" w:sz="4" w:space="0" w:color="auto"/>
              <w:left w:val="nil"/>
              <w:bottom w:val="single" w:sz="4" w:space="0" w:color="auto"/>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405 795</w:t>
            </w:r>
          </w:p>
        </w:tc>
        <w:tc>
          <w:tcPr>
            <w:tcW w:w="1265" w:type="dxa"/>
            <w:gridSpan w:val="5"/>
            <w:tcBorders>
              <w:top w:val="single" w:sz="4" w:space="0" w:color="auto"/>
              <w:left w:val="nil"/>
              <w:bottom w:val="single" w:sz="4" w:space="0" w:color="auto"/>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36 556</w:t>
            </w:r>
          </w:p>
        </w:tc>
        <w:tc>
          <w:tcPr>
            <w:tcW w:w="1279" w:type="dxa"/>
            <w:gridSpan w:val="4"/>
            <w:tcBorders>
              <w:top w:val="single" w:sz="4" w:space="0" w:color="auto"/>
              <w:left w:val="nil"/>
              <w:bottom w:val="single" w:sz="4" w:space="0" w:color="auto"/>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-25 683</w:t>
            </w:r>
          </w:p>
        </w:tc>
      </w:tr>
      <w:tr w:rsidR="00920BB3" w:rsidRPr="00883EC9" w:rsidTr="00920BB3">
        <w:tblPrEx>
          <w:tblCellMar>
            <w:left w:w="70" w:type="dxa"/>
            <w:right w:w="70" w:type="dxa"/>
          </w:tblCellMar>
          <w:tblLook w:val="04A0" w:firstRow="1" w:lastRow="0" w:firstColumn="1" w:lastColumn="0" w:noHBand="0" w:noVBand="1"/>
        </w:tblPrEx>
        <w:trPr>
          <w:gridBefore w:val="1"/>
          <w:gridAfter w:val="1"/>
          <w:wBefore w:w="141" w:type="dxa"/>
          <w:wAfter w:w="283" w:type="dxa"/>
          <w:trHeight w:val="300"/>
        </w:trPr>
        <w:tc>
          <w:tcPr>
            <w:tcW w:w="3180" w:type="dxa"/>
            <w:tcBorders>
              <w:top w:val="nil"/>
              <w:left w:val="nil"/>
              <w:bottom w:val="nil"/>
              <w:right w:val="nil"/>
            </w:tcBorders>
            <w:shd w:val="clear" w:color="auto" w:fill="auto"/>
            <w:noWrap/>
            <w:vAlign w:val="bottom"/>
            <w:hideMark/>
          </w:tcPr>
          <w:p w:rsidR="00920BB3" w:rsidRPr="00883EC9" w:rsidRDefault="00920BB3" w:rsidP="00920BB3">
            <w:pPr>
              <w:rPr>
                <w:b/>
                <w:bCs/>
                <w:i/>
                <w:iCs/>
                <w:sz w:val="22"/>
                <w:szCs w:val="22"/>
              </w:rPr>
            </w:pPr>
            <w:r w:rsidRPr="00883EC9">
              <w:rPr>
                <w:b/>
                <w:bCs/>
                <w:i/>
                <w:iCs/>
                <w:sz w:val="22"/>
                <w:szCs w:val="22"/>
              </w:rPr>
              <w:t>Üzemi (üzleti) tevékenység</w:t>
            </w:r>
          </w:p>
        </w:tc>
        <w:tc>
          <w:tcPr>
            <w:tcW w:w="1258" w:type="dxa"/>
            <w:gridSpan w:val="2"/>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b/>
                <w:bCs/>
                <w:i/>
                <w:iCs/>
                <w:sz w:val="22"/>
                <w:szCs w:val="22"/>
              </w:rPr>
            </w:pPr>
            <w:r w:rsidRPr="00883EC9">
              <w:rPr>
                <w:rFonts w:ascii="Times New Roman CE" w:hAnsi="Times New Roman CE" w:cs="Times New Roman CE"/>
                <w:b/>
                <w:bCs/>
                <w:i/>
                <w:iCs/>
                <w:sz w:val="22"/>
                <w:szCs w:val="22"/>
              </w:rPr>
              <w:t>-5 780</w:t>
            </w:r>
          </w:p>
        </w:tc>
        <w:tc>
          <w:tcPr>
            <w:tcW w:w="1300" w:type="dxa"/>
            <w:gridSpan w:val="3"/>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b/>
                <w:bCs/>
                <w:i/>
                <w:iCs/>
                <w:sz w:val="22"/>
                <w:szCs w:val="22"/>
              </w:rPr>
            </w:pPr>
            <w:r w:rsidRPr="00883EC9">
              <w:rPr>
                <w:rFonts w:ascii="Times New Roman CE" w:hAnsi="Times New Roman CE" w:cs="Times New Roman CE"/>
                <w:b/>
                <w:bCs/>
                <w:i/>
                <w:iCs/>
                <w:sz w:val="22"/>
                <w:szCs w:val="22"/>
              </w:rPr>
              <w:t>3 408 142</w:t>
            </w:r>
          </w:p>
        </w:tc>
        <w:tc>
          <w:tcPr>
            <w:tcW w:w="1280" w:type="dxa"/>
            <w:gridSpan w:val="3"/>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b/>
                <w:bCs/>
                <w:i/>
                <w:iCs/>
                <w:sz w:val="22"/>
                <w:szCs w:val="22"/>
              </w:rPr>
            </w:pPr>
            <w:r w:rsidRPr="00883EC9">
              <w:rPr>
                <w:rFonts w:ascii="Times New Roman CE" w:hAnsi="Times New Roman CE" w:cs="Times New Roman CE"/>
                <w:b/>
                <w:bCs/>
                <w:i/>
                <w:iCs/>
                <w:sz w:val="22"/>
                <w:szCs w:val="22"/>
              </w:rPr>
              <w:t>3 471 122</w:t>
            </w:r>
          </w:p>
        </w:tc>
        <w:tc>
          <w:tcPr>
            <w:tcW w:w="1265" w:type="dxa"/>
            <w:gridSpan w:val="5"/>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b/>
                <w:bCs/>
                <w:i/>
                <w:iCs/>
                <w:sz w:val="22"/>
                <w:szCs w:val="22"/>
              </w:rPr>
            </w:pPr>
            <w:r w:rsidRPr="00883EC9">
              <w:rPr>
                <w:rFonts w:ascii="Times New Roman CE" w:hAnsi="Times New Roman CE" w:cs="Times New Roman CE"/>
                <w:b/>
                <w:bCs/>
                <w:i/>
                <w:iCs/>
                <w:sz w:val="22"/>
                <w:szCs w:val="22"/>
              </w:rPr>
              <w:t>-62 980</w:t>
            </w:r>
          </w:p>
        </w:tc>
        <w:tc>
          <w:tcPr>
            <w:tcW w:w="1279" w:type="dxa"/>
            <w:gridSpan w:val="4"/>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b/>
                <w:bCs/>
                <w:i/>
                <w:iCs/>
                <w:sz w:val="22"/>
                <w:szCs w:val="22"/>
              </w:rPr>
            </w:pPr>
            <w:r w:rsidRPr="00883EC9">
              <w:rPr>
                <w:rFonts w:ascii="Times New Roman CE" w:hAnsi="Times New Roman CE" w:cs="Times New Roman CE"/>
                <w:b/>
                <w:bCs/>
                <w:i/>
                <w:iCs/>
                <w:sz w:val="22"/>
                <w:szCs w:val="22"/>
              </w:rPr>
              <w:t>-60 090</w:t>
            </w:r>
          </w:p>
        </w:tc>
      </w:tr>
      <w:tr w:rsidR="00920BB3" w:rsidRPr="00883EC9" w:rsidTr="00920BB3">
        <w:tblPrEx>
          <w:tblCellMar>
            <w:left w:w="70" w:type="dxa"/>
            <w:right w:w="70" w:type="dxa"/>
          </w:tblCellMar>
          <w:tblLook w:val="04A0" w:firstRow="1" w:lastRow="0" w:firstColumn="1" w:lastColumn="0" w:noHBand="0" w:noVBand="1"/>
        </w:tblPrEx>
        <w:trPr>
          <w:gridBefore w:val="1"/>
          <w:gridAfter w:val="1"/>
          <w:wBefore w:w="141" w:type="dxa"/>
          <w:wAfter w:w="283" w:type="dxa"/>
          <w:trHeight w:val="300"/>
        </w:trPr>
        <w:tc>
          <w:tcPr>
            <w:tcW w:w="3180" w:type="dxa"/>
            <w:tcBorders>
              <w:top w:val="nil"/>
              <w:left w:val="nil"/>
              <w:bottom w:val="nil"/>
              <w:right w:val="nil"/>
            </w:tcBorders>
            <w:shd w:val="clear" w:color="auto" w:fill="auto"/>
            <w:noWrap/>
            <w:vAlign w:val="bottom"/>
            <w:hideMark/>
          </w:tcPr>
          <w:p w:rsidR="00920BB3" w:rsidRPr="00883EC9" w:rsidRDefault="00920BB3" w:rsidP="00920BB3">
            <w:pPr>
              <w:rPr>
                <w:sz w:val="22"/>
                <w:szCs w:val="22"/>
              </w:rPr>
            </w:pPr>
            <w:r w:rsidRPr="00883EC9">
              <w:rPr>
                <w:sz w:val="22"/>
                <w:szCs w:val="22"/>
              </w:rPr>
              <w:t>Pénzügyi műveletek</w:t>
            </w:r>
          </w:p>
        </w:tc>
        <w:tc>
          <w:tcPr>
            <w:tcW w:w="1258" w:type="dxa"/>
            <w:gridSpan w:val="2"/>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5 780</w:t>
            </w:r>
          </w:p>
        </w:tc>
        <w:tc>
          <w:tcPr>
            <w:tcW w:w="1300" w:type="dxa"/>
            <w:gridSpan w:val="3"/>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457</w:t>
            </w:r>
          </w:p>
        </w:tc>
        <w:tc>
          <w:tcPr>
            <w:tcW w:w="1280" w:type="dxa"/>
            <w:gridSpan w:val="3"/>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128</w:t>
            </w:r>
          </w:p>
        </w:tc>
        <w:tc>
          <w:tcPr>
            <w:tcW w:w="1265" w:type="dxa"/>
            <w:gridSpan w:val="5"/>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329</w:t>
            </w:r>
          </w:p>
        </w:tc>
        <w:tc>
          <w:tcPr>
            <w:tcW w:w="1279" w:type="dxa"/>
            <w:gridSpan w:val="4"/>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sz w:val="22"/>
                <w:szCs w:val="22"/>
              </w:rPr>
            </w:pPr>
            <w:r w:rsidRPr="00883EC9">
              <w:rPr>
                <w:rFonts w:ascii="Times New Roman CE" w:hAnsi="Times New Roman CE" w:cs="Times New Roman CE"/>
                <w:sz w:val="22"/>
                <w:szCs w:val="22"/>
              </w:rPr>
              <w:t>-2 561</w:t>
            </w:r>
          </w:p>
        </w:tc>
      </w:tr>
      <w:tr w:rsidR="00920BB3" w:rsidRPr="00883EC9" w:rsidTr="00920BB3">
        <w:tblPrEx>
          <w:tblCellMar>
            <w:left w:w="70" w:type="dxa"/>
            <w:right w:w="70" w:type="dxa"/>
          </w:tblCellMar>
          <w:tblLook w:val="04A0" w:firstRow="1" w:lastRow="0" w:firstColumn="1" w:lastColumn="0" w:noHBand="0" w:noVBand="1"/>
        </w:tblPrEx>
        <w:trPr>
          <w:gridBefore w:val="1"/>
          <w:gridAfter w:val="1"/>
          <w:wBefore w:w="141" w:type="dxa"/>
          <w:wAfter w:w="283" w:type="dxa"/>
          <w:trHeight w:val="300"/>
        </w:trPr>
        <w:tc>
          <w:tcPr>
            <w:tcW w:w="3180" w:type="dxa"/>
            <w:tcBorders>
              <w:top w:val="nil"/>
              <w:left w:val="nil"/>
              <w:bottom w:val="nil"/>
              <w:right w:val="nil"/>
            </w:tcBorders>
            <w:shd w:val="clear" w:color="auto" w:fill="auto"/>
            <w:noWrap/>
            <w:vAlign w:val="bottom"/>
            <w:hideMark/>
          </w:tcPr>
          <w:p w:rsidR="00920BB3" w:rsidRPr="00883EC9" w:rsidRDefault="00920BB3" w:rsidP="00920BB3">
            <w:pPr>
              <w:rPr>
                <w:b/>
                <w:bCs/>
                <w:i/>
                <w:iCs/>
                <w:sz w:val="22"/>
                <w:szCs w:val="22"/>
              </w:rPr>
            </w:pPr>
            <w:r w:rsidRPr="00883EC9">
              <w:rPr>
                <w:b/>
                <w:bCs/>
                <w:i/>
                <w:iCs/>
                <w:sz w:val="22"/>
                <w:szCs w:val="22"/>
              </w:rPr>
              <w:t xml:space="preserve">Szokásos vállalkozási </w:t>
            </w:r>
            <w:proofErr w:type="spellStart"/>
            <w:r w:rsidRPr="00883EC9">
              <w:rPr>
                <w:b/>
                <w:bCs/>
                <w:i/>
                <w:iCs/>
                <w:sz w:val="22"/>
                <w:szCs w:val="22"/>
              </w:rPr>
              <w:t>tev</w:t>
            </w:r>
            <w:proofErr w:type="spellEnd"/>
            <w:r w:rsidRPr="00883EC9">
              <w:rPr>
                <w:b/>
                <w:bCs/>
                <w:i/>
                <w:iCs/>
                <w:sz w:val="22"/>
                <w:szCs w:val="22"/>
              </w:rPr>
              <w:t>.</w:t>
            </w:r>
          </w:p>
        </w:tc>
        <w:tc>
          <w:tcPr>
            <w:tcW w:w="1258" w:type="dxa"/>
            <w:gridSpan w:val="2"/>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b/>
                <w:bCs/>
                <w:i/>
                <w:iCs/>
                <w:sz w:val="22"/>
                <w:szCs w:val="22"/>
              </w:rPr>
            </w:pPr>
            <w:r w:rsidRPr="00883EC9">
              <w:rPr>
                <w:rFonts w:ascii="Times New Roman CE" w:hAnsi="Times New Roman CE" w:cs="Times New Roman CE"/>
                <w:b/>
                <w:bCs/>
                <w:i/>
                <w:iCs/>
                <w:sz w:val="22"/>
                <w:szCs w:val="22"/>
              </w:rPr>
              <w:t>0</w:t>
            </w:r>
          </w:p>
        </w:tc>
        <w:tc>
          <w:tcPr>
            <w:tcW w:w="1300" w:type="dxa"/>
            <w:gridSpan w:val="3"/>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b/>
                <w:bCs/>
                <w:i/>
                <w:iCs/>
                <w:sz w:val="22"/>
                <w:szCs w:val="22"/>
              </w:rPr>
            </w:pPr>
            <w:r w:rsidRPr="00883EC9">
              <w:rPr>
                <w:rFonts w:ascii="Times New Roman CE" w:hAnsi="Times New Roman CE" w:cs="Times New Roman CE"/>
                <w:b/>
                <w:bCs/>
                <w:i/>
                <w:iCs/>
                <w:sz w:val="22"/>
                <w:szCs w:val="22"/>
              </w:rPr>
              <w:t>3 408 599</w:t>
            </w:r>
          </w:p>
        </w:tc>
        <w:tc>
          <w:tcPr>
            <w:tcW w:w="1280" w:type="dxa"/>
            <w:gridSpan w:val="3"/>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b/>
                <w:bCs/>
                <w:i/>
                <w:iCs/>
                <w:sz w:val="22"/>
                <w:szCs w:val="22"/>
              </w:rPr>
            </w:pPr>
            <w:r w:rsidRPr="00883EC9">
              <w:rPr>
                <w:rFonts w:ascii="Times New Roman CE" w:hAnsi="Times New Roman CE" w:cs="Times New Roman CE"/>
                <w:b/>
                <w:bCs/>
                <w:i/>
                <w:iCs/>
                <w:sz w:val="22"/>
                <w:szCs w:val="22"/>
              </w:rPr>
              <w:t>3 471 250</w:t>
            </w:r>
          </w:p>
        </w:tc>
        <w:tc>
          <w:tcPr>
            <w:tcW w:w="1265" w:type="dxa"/>
            <w:gridSpan w:val="5"/>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b/>
                <w:bCs/>
                <w:i/>
                <w:iCs/>
                <w:sz w:val="22"/>
                <w:szCs w:val="22"/>
              </w:rPr>
            </w:pPr>
            <w:r w:rsidRPr="00883EC9">
              <w:rPr>
                <w:rFonts w:ascii="Times New Roman CE" w:hAnsi="Times New Roman CE" w:cs="Times New Roman CE"/>
                <w:b/>
                <w:bCs/>
                <w:i/>
                <w:iCs/>
                <w:sz w:val="22"/>
                <w:szCs w:val="22"/>
              </w:rPr>
              <w:t>-62 651</w:t>
            </w:r>
          </w:p>
        </w:tc>
        <w:tc>
          <w:tcPr>
            <w:tcW w:w="1279" w:type="dxa"/>
            <w:gridSpan w:val="4"/>
            <w:tcBorders>
              <w:top w:val="nil"/>
              <w:left w:val="nil"/>
              <w:bottom w:val="nil"/>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b/>
                <w:bCs/>
                <w:i/>
                <w:iCs/>
                <w:sz w:val="22"/>
                <w:szCs w:val="22"/>
              </w:rPr>
            </w:pPr>
            <w:r w:rsidRPr="00883EC9">
              <w:rPr>
                <w:rFonts w:ascii="Times New Roman CE" w:hAnsi="Times New Roman CE" w:cs="Times New Roman CE"/>
                <w:b/>
                <w:bCs/>
                <w:i/>
                <w:iCs/>
                <w:sz w:val="22"/>
                <w:szCs w:val="22"/>
              </w:rPr>
              <w:t>-62 651</w:t>
            </w:r>
          </w:p>
        </w:tc>
      </w:tr>
      <w:tr w:rsidR="00920BB3" w:rsidRPr="00883EC9" w:rsidTr="00920BB3">
        <w:tblPrEx>
          <w:tblCellMar>
            <w:left w:w="70" w:type="dxa"/>
            <w:right w:w="70" w:type="dxa"/>
          </w:tblCellMar>
          <w:tblLook w:val="04A0" w:firstRow="1" w:lastRow="0" w:firstColumn="1" w:lastColumn="0" w:noHBand="0" w:noVBand="1"/>
        </w:tblPrEx>
        <w:trPr>
          <w:gridBefore w:val="1"/>
          <w:gridAfter w:val="1"/>
          <w:wBefore w:w="141" w:type="dxa"/>
          <w:wAfter w:w="283" w:type="dxa"/>
          <w:trHeight w:val="300"/>
        </w:trPr>
        <w:tc>
          <w:tcPr>
            <w:tcW w:w="3180" w:type="dxa"/>
            <w:tcBorders>
              <w:top w:val="single" w:sz="4" w:space="0" w:color="auto"/>
              <w:left w:val="nil"/>
              <w:bottom w:val="single" w:sz="4" w:space="0" w:color="auto"/>
              <w:right w:val="nil"/>
            </w:tcBorders>
            <w:shd w:val="clear" w:color="auto" w:fill="auto"/>
            <w:noWrap/>
            <w:vAlign w:val="bottom"/>
            <w:hideMark/>
          </w:tcPr>
          <w:p w:rsidR="00920BB3" w:rsidRPr="00883EC9" w:rsidRDefault="00920BB3" w:rsidP="00920BB3">
            <w:pPr>
              <w:rPr>
                <w:b/>
                <w:bCs/>
                <w:i/>
                <w:iCs/>
                <w:sz w:val="22"/>
                <w:szCs w:val="22"/>
              </w:rPr>
            </w:pPr>
            <w:r w:rsidRPr="00883EC9">
              <w:rPr>
                <w:b/>
                <w:bCs/>
                <w:i/>
                <w:iCs/>
                <w:sz w:val="22"/>
                <w:szCs w:val="22"/>
              </w:rPr>
              <w:t>Adózás előtti eredmény</w:t>
            </w:r>
          </w:p>
        </w:tc>
        <w:tc>
          <w:tcPr>
            <w:tcW w:w="1258" w:type="dxa"/>
            <w:gridSpan w:val="2"/>
            <w:tcBorders>
              <w:top w:val="single" w:sz="4" w:space="0" w:color="auto"/>
              <w:left w:val="nil"/>
              <w:bottom w:val="single" w:sz="4" w:space="0" w:color="auto"/>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b/>
                <w:bCs/>
                <w:i/>
                <w:iCs/>
                <w:sz w:val="22"/>
                <w:szCs w:val="22"/>
              </w:rPr>
            </w:pPr>
            <w:r w:rsidRPr="00883EC9">
              <w:rPr>
                <w:rFonts w:ascii="Times New Roman CE" w:hAnsi="Times New Roman CE" w:cs="Times New Roman CE"/>
                <w:b/>
                <w:bCs/>
                <w:i/>
                <w:iCs/>
                <w:sz w:val="22"/>
                <w:szCs w:val="22"/>
              </w:rPr>
              <w:t>0</w:t>
            </w:r>
          </w:p>
        </w:tc>
        <w:tc>
          <w:tcPr>
            <w:tcW w:w="1300" w:type="dxa"/>
            <w:gridSpan w:val="3"/>
            <w:tcBorders>
              <w:top w:val="single" w:sz="4" w:space="0" w:color="auto"/>
              <w:left w:val="nil"/>
              <w:bottom w:val="single" w:sz="4" w:space="0" w:color="auto"/>
              <w:right w:val="nil"/>
            </w:tcBorders>
            <w:shd w:val="clear" w:color="auto" w:fill="auto"/>
            <w:noWrap/>
            <w:vAlign w:val="bottom"/>
            <w:hideMark/>
          </w:tcPr>
          <w:p w:rsidR="00920BB3" w:rsidRPr="00883EC9" w:rsidRDefault="00E42436" w:rsidP="00920BB3">
            <w:pPr>
              <w:jc w:val="right"/>
              <w:rPr>
                <w:rFonts w:ascii="Times New Roman CE" w:hAnsi="Times New Roman CE" w:cs="Times New Roman CE"/>
                <w:b/>
                <w:bCs/>
                <w:i/>
                <w:iCs/>
                <w:sz w:val="22"/>
                <w:szCs w:val="22"/>
              </w:rPr>
            </w:pPr>
            <w:r>
              <w:rPr>
                <w:rFonts w:ascii="Times New Roman CE" w:hAnsi="Times New Roman CE" w:cs="Times New Roman CE"/>
                <w:b/>
                <w:bCs/>
                <w:i/>
                <w:iCs/>
                <w:sz w:val="22"/>
                <w:szCs w:val="22"/>
              </w:rPr>
              <w:t>0</w:t>
            </w:r>
          </w:p>
        </w:tc>
        <w:tc>
          <w:tcPr>
            <w:tcW w:w="1280" w:type="dxa"/>
            <w:gridSpan w:val="3"/>
            <w:tcBorders>
              <w:top w:val="single" w:sz="4" w:space="0" w:color="auto"/>
              <w:left w:val="nil"/>
              <w:bottom w:val="single" w:sz="4" w:space="0" w:color="auto"/>
              <w:right w:val="nil"/>
            </w:tcBorders>
            <w:shd w:val="clear" w:color="auto" w:fill="auto"/>
            <w:noWrap/>
            <w:vAlign w:val="bottom"/>
            <w:hideMark/>
          </w:tcPr>
          <w:p w:rsidR="00920BB3" w:rsidRPr="00883EC9" w:rsidRDefault="00E42436" w:rsidP="00920BB3">
            <w:pPr>
              <w:jc w:val="right"/>
              <w:rPr>
                <w:rFonts w:ascii="Times New Roman CE" w:hAnsi="Times New Roman CE" w:cs="Times New Roman CE"/>
                <w:b/>
                <w:bCs/>
                <w:i/>
                <w:iCs/>
                <w:sz w:val="22"/>
                <w:szCs w:val="22"/>
              </w:rPr>
            </w:pPr>
            <w:r>
              <w:rPr>
                <w:rFonts w:ascii="Times New Roman CE" w:hAnsi="Times New Roman CE" w:cs="Times New Roman CE"/>
                <w:b/>
                <w:bCs/>
                <w:i/>
                <w:iCs/>
                <w:sz w:val="22"/>
                <w:szCs w:val="22"/>
              </w:rPr>
              <w:t>0</w:t>
            </w:r>
          </w:p>
        </w:tc>
        <w:tc>
          <w:tcPr>
            <w:tcW w:w="1265" w:type="dxa"/>
            <w:gridSpan w:val="5"/>
            <w:tcBorders>
              <w:top w:val="single" w:sz="4" w:space="0" w:color="auto"/>
              <w:left w:val="nil"/>
              <w:bottom w:val="single" w:sz="4" w:space="0" w:color="auto"/>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b/>
                <w:bCs/>
                <w:i/>
                <w:iCs/>
                <w:sz w:val="22"/>
                <w:szCs w:val="22"/>
              </w:rPr>
            </w:pPr>
            <w:r w:rsidRPr="00883EC9">
              <w:rPr>
                <w:rFonts w:ascii="Times New Roman CE" w:hAnsi="Times New Roman CE" w:cs="Times New Roman CE"/>
                <w:b/>
                <w:bCs/>
                <w:i/>
                <w:iCs/>
                <w:sz w:val="22"/>
                <w:szCs w:val="22"/>
              </w:rPr>
              <w:t>-62 651</w:t>
            </w:r>
          </w:p>
        </w:tc>
        <w:tc>
          <w:tcPr>
            <w:tcW w:w="1279" w:type="dxa"/>
            <w:gridSpan w:val="4"/>
            <w:tcBorders>
              <w:top w:val="single" w:sz="4" w:space="0" w:color="auto"/>
              <w:left w:val="nil"/>
              <w:bottom w:val="single" w:sz="4" w:space="0" w:color="auto"/>
              <w:right w:val="nil"/>
            </w:tcBorders>
            <w:shd w:val="clear" w:color="auto" w:fill="auto"/>
            <w:noWrap/>
            <w:vAlign w:val="bottom"/>
            <w:hideMark/>
          </w:tcPr>
          <w:p w:rsidR="00920BB3" w:rsidRPr="00883EC9" w:rsidRDefault="00920BB3" w:rsidP="00920BB3">
            <w:pPr>
              <w:jc w:val="right"/>
              <w:rPr>
                <w:rFonts w:ascii="Times New Roman CE" w:hAnsi="Times New Roman CE" w:cs="Times New Roman CE"/>
                <w:b/>
                <w:bCs/>
                <w:i/>
                <w:iCs/>
                <w:sz w:val="22"/>
                <w:szCs w:val="22"/>
              </w:rPr>
            </w:pPr>
            <w:r w:rsidRPr="00883EC9">
              <w:rPr>
                <w:rFonts w:ascii="Times New Roman CE" w:hAnsi="Times New Roman CE" w:cs="Times New Roman CE"/>
                <w:b/>
                <w:bCs/>
                <w:i/>
                <w:iCs/>
                <w:sz w:val="22"/>
                <w:szCs w:val="22"/>
              </w:rPr>
              <w:t>-62 651</w:t>
            </w:r>
          </w:p>
        </w:tc>
      </w:tr>
      <w:tr w:rsidR="00920BB3" w:rsidRPr="00883EC9" w:rsidTr="00920BB3">
        <w:tblPrEx>
          <w:tblCellMar>
            <w:left w:w="70" w:type="dxa"/>
            <w:right w:w="70" w:type="dxa"/>
          </w:tblCellMar>
          <w:tblLook w:val="04A0" w:firstRow="1" w:lastRow="0" w:firstColumn="1" w:lastColumn="0" w:noHBand="0" w:noVBand="1"/>
        </w:tblPrEx>
        <w:trPr>
          <w:gridAfter w:val="2"/>
          <w:wAfter w:w="701" w:type="dxa"/>
          <w:trHeight w:val="255"/>
        </w:trPr>
        <w:tc>
          <w:tcPr>
            <w:tcW w:w="4888" w:type="dxa"/>
            <w:gridSpan w:val="6"/>
            <w:tcBorders>
              <w:top w:val="nil"/>
              <w:left w:val="nil"/>
              <w:bottom w:val="nil"/>
              <w:right w:val="nil"/>
            </w:tcBorders>
            <w:shd w:val="clear" w:color="auto" w:fill="auto"/>
            <w:noWrap/>
            <w:vAlign w:val="bottom"/>
            <w:hideMark/>
          </w:tcPr>
          <w:p w:rsidR="00920BB3" w:rsidRPr="00883EC9" w:rsidRDefault="00920BB3" w:rsidP="00920BB3">
            <w:pPr>
              <w:rPr>
                <w:sz w:val="10"/>
                <w:szCs w:val="10"/>
              </w:rPr>
            </w:pPr>
          </w:p>
          <w:p w:rsidR="00920BB3" w:rsidRPr="00883EC9" w:rsidRDefault="00920BB3" w:rsidP="00920BB3">
            <w:r w:rsidRPr="00883EC9">
              <w:t>*saját részre végzett építési tevékenységet is tartalmazza</w:t>
            </w:r>
          </w:p>
        </w:tc>
        <w:tc>
          <w:tcPr>
            <w:tcW w:w="1260" w:type="dxa"/>
            <w:gridSpan w:val="2"/>
            <w:tcBorders>
              <w:top w:val="nil"/>
              <w:left w:val="nil"/>
              <w:bottom w:val="nil"/>
              <w:right w:val="nil"/>
            </w:tcBorders>
            <w:shd w:val="clear" w:color="auto" w:fill="auto"/>
            <w:noWrap/>
            <w:vAlign w:val="bottom"/>
            <w:hideMark/>
          </w:tcPr>
          <w:p w:rsidR="00920BB3" w:rsidRPr="00883EC9" w:rsidRDefault="00920BB3" w:rsidP="00920BB3"/>
        </w:tc>
        <w:tc>
          <w:tcPr>
            <w:tcW w:w="1300" w:type="dxa"/>
            <w:gridSpan w:val="4"/>
            <w:tcBorders>
              <w:top w:val="nil"/>
              <w:left w:val="nil"/>
              <w:bottom w:val="nil"/>
              <w:right w:val="nil"/>
            </w:tcBorders>
            <w:shd w:val="clear" w:color="auto" w:fill="auto"/>
            <w:noWrap/>
            <w:vAlign w:val="bottom"/>
            <w:hideMark/>
          </w:tcPr>
          <w:p w:rsidR="00920BB3" w:rsidRPr="00883EC9" w:rsidRDefault="00920BB3" w:rsidP="00920BB3"/>
        </w:tc>
        <w:tc>
          <w:tcPr>
            <w:tcW w:w="160" w:type="dxa"/>
            <w:gridSpan w:val="2"/>
            <w:tcBorders>
              <w:top w:val="nil"/>
              <w:left w:val="nil"/>
              <w:bottom w:val="nil"/>
              <w:right w:val="nil"/>
            </w:tcBorders>
            <w:shd w:val="clear" w:color="auto" w:fill="auto"/>
            <w:noWrap/>
            <w:vAlign w:val="bottom"/>
            <w:hideMark/>
          </w:tcPr>
          <w:p w:rsidR="00920BB3" w:rsidRPr="00883EC9" w:rsidRDefault="00920BB3" w:rsidP="00920BB3"/>
        </w:tc>
        <w:tc>
          <w:tcPr>
            <w:tcW w:w="1260" w:type="dxa"/>
            <w:gridSpan w:val="3"/>
            <w:tcBorders>
              <w:top w:val="nil"/>
              <w:left w:val="nil"/>
              <w:bottom w:val="nil"/>
              <w:right w:val="nil"/>
            </w:tcBorders>
            <w:shd w:val="clear" w:color="auto" w:fill="auto"/>
            <w:noWrap/>
            <w:vAlign w:val="bottom"/>
            <w:hideMark/>
          </w:tcPr>
          <w:p w:rsidR="00920BB3" w:rsidRPr="00883EC9" w:rsidRDefault="00920BB3" w:rsidP="00920BB3"/>
        </w:tc>
        <w:tc>
          <w:tcPr>
            <w:tcW w:w="417" w:type="dxa"/>
            <w:tcBorders>
              <w:top w:val="nil"/>
              <w:left w:val="nil"/>
              <w:bottom w:val="nil"/>
              <w:right w:val="nil"/>
            </w:tcBorders>
            <w:shd w:val="clear" w:color="auto" w:fill="auto"/>
            <w:noWrap/>
            <w:vAlign w:val="bottom"/>
            <w:hideMark/>
          </w:tcPr>
          <w:p w:rsidR="00920BB3" w:rsidRPr="00883EC9" w:rsidRDefault="00920BB3" w:rsidP="00920BB3"/>
        </w:tc>
      </w:tr>
    </w:tbl>
    <w:p w:rsidR="00920BB3" w:rsidRPr="00883EC9" w:rsidRDefault="00920BB3" w:rsidP="00920BB3">
      <w:pPr>
        <w:autoSpaceDE w:val="0"/>
        <w:autoSpaceDN w:val="0"/>
        <w:adjustRightInd w:val="0"/>
        <w:ind w:right="142"/>
        <w:jc w:val="both"/>
        <w:rPr>
          <w:sz w:val="24"/>
          <w:szCs w:val="23"/>
        </w:rPr>
      </w:pPr>
    </w:p>
    <w:p w:rsidR="00920BB3" w:rsidRPr="00883EC9" w:rsidRDefault="00920BB3" w:rsidP="004359FC">
      <w:pPr>
        <w:autoSpaceDE w:val="0"/>
        <w:autoSpaceDN w:val="0"/>
        <w:adjustRightInd w:val="0"/>
        <w:ind w:right="-1"/>
        <w:jc w:val="both"/>
        <w:rPr>
          <w:sz w:val="24"/>
          <w:szCs w:val="23"/>
        </w:rPr>
      </w:pPr>
      <w:r w:rsidRPr="00883EC9">
        <w:rPr>
          <w:sz w:val="24"/>
          <w:szCs w:val="23"/>
        </w:rPr>
        <w:t xml:space="preserve">Az összes korrigált bevétel és a saját előállítású eszközök értéke, valamint a költségek, ráfordítások különbözeteként az eredmény 2017. I. félévben – 62 651 </w:t>
      </w:r>
      <w:proofErr w:type="spellStart"/>
      <w:r w:rsidRPr="00883EC9">
        <w:rPr>
          <w:sz w:val="24"/>
          <w:szCs w:val="23"/>
        </w:rPr>
        <w:t>eFt</w:t>
      </w:r>
      <w:proofErr w:type="spellEnd"/>
      <w:r w:rsidRPr="00883EC9">
        <w:rPr>
          <w:sz w:val="24"/>
          <w:szCs w:val="23"/>
        </w:rPr>
        <w:t xml:space="preserve">, a 2017. évre meghatározott terv időarányos részénél magasabb. Az időarányos tervtől való eltérést az okozza, hogy az I. félév működésből származó összes bevétele 3,5 %-kal, a működésből eredő összes költség, ráfordítás </w:t>
      </w:r>
      <w:r w:rsidR="004359FC">
        <w:rPr>
          <w:sz w:val="24"/>
          <w:szCs w:val="23"/>
        </w:rPr>
        <w:t xml:space="preserve">                </w:t>
      </w:r>
      <w:r w:rsidRPr="00883EC9">
        <w:rPr>
          <w:sz w:val="24"/>
          <w:szCs w:val="23"/>
        </w:rPr>
        <w:t>2,4 %-kal kevesebb a tervezettnél. Az elmúlt évek mennyiségi adatai alapján a II. félév számláiban megjelenő fogyasztás átlagosan 5 %-kal magasabb az I. félévnél.</w:t>
      </w:r>
    </w:p>
    <w:p w:rsidR="00920BB3" w:rsidRPr="00883EC9" w:rsidRDefault="00920BB3" w:rsidP="004359FC">
      <w:pPr>
        <w:pStyle w:val="Szvegtrzs"/>
        <w:ind w:right="-1"/>
        <w:rPr>
          <w:szCs w:val="23"/>
        </w:rPr>
      </w:pPr>
      <w:r w:rsidRPr="00883EC9">
        <w:rPr>
          <w:szCs w:val="23"/>
        </w:rPr>
        <w:t>Az</w:t>
      </w:r>
      <w:r w:rsidRPr="00883EC9">
        <w:rPr>
          <w:i/>
          <w:iCs/>
          <w:szCs w:val="23"/>
        </w:rPr>
        <w:t xml:space="preserve"> elsődleges tevékenységek – pénzügyi műveletek eredményét is tartalmazó - együttes eredménye</w:t>
      </w:r>
      <w:r w:rsidRPr="00883EC9">
        <w:rPr>
          <w:szCs w:val="23"/>
        </w:rPr>
        <w:t xml:space="preserve"> – 99 536 </w:t>
      </w:r>
      <w:proofErr w:type="spellStart"/>
      <w:r w:rsidRPr="00883EC9">
        <w:rPr>
          <w:szCs w:val="23"/>
        </w:rPr>
        <w:t>eFt</w:t>
      </w:r>
      <w:proofErr w:type="spellEnd"/>
      <w:r w:rsidRPr="00883EC9">
        <w:rPr>
          <w:szCs w:val="23"/>
        </w:rPr>
        <w:t xml:space="preserve">, amely 34 408 </w:t>
      </w:r>
      <w:proofErr w:type="spellStart"/>
      <w:r w:rsidRPr="00883EC9">
        <w:rPr>
          <w:szCs w:val="23"/>
        </w:rPr>
        <w:t>eFt-tal</w:t>
      </w:r>
      <w:proofErr w:type="spellEnd"/>
      <w:r w:rsidRPr="00883EC9">
        <w:rPr>
          <w:szCs w:val="23"/>
        </w:rPr>
        <w:t xml:space="preserve"> alacsonyabb a 2017. évi üzleti terv időarányos célértékénél.</w:t>
      </w:r>
    </w:p>
    <w:p w:rsidR="003151BB" w:rsidRDefault="00920BB3" w:rsidP="004359FC">
      <w:pPr>
        <w:pStyle w:val="Szvegtrzs"/>
        <w:ind w:right="-1"/>
        <w:rPr>
          <w:sz w:val="23"/>
          <w:szCs w:val="23"/>
        </w:rPr>
      </w:pPr>
      <w:r w:rsidRPr="00883EC9">
        <w:t xml:space="preserve">A </w:t>
      </w:r>
      <w:r w:rsidRPr="00883EC9">
        <w:rPr>
          <w:i/>
          <w:iCs/>
        </w:rPr>
        <w:t xml:space="preserve">másodlagos tevékenységekből </w:t>
      </w:r>
      <w:r w:rsidRPr="00883EC9">
        <w:rPr>
          <w:i/>
          <w:iCs/>
          <w:szCs w:val="23"/>
        </w:rPr>
        <w:t>– a pénzügyi műveletek eredményét is</w:t>
      </w:r>
      <w:r w:rsidRPr="00883EC9">
        <w:rPr>
          <w:i/>
          <w:iCs/>
        </w:rPr>
        <w:t xml:space="preserve"> figyelembe véve - együttesen</w:t>
      </w:r>
      <w:r w:rsidRPr="00883EC9">
        <w:t xml:space="preserve"> mintegy 36 556 </w:t>
      </w:r>
      <w:proofErr w:type="spellStart"/>
      <w:r w:rsidRPr="00883EC9">
        <w:t>eFt</w:t>
      </w:r>
      <w:proofErr w:type="spellEnd"/>
      <w:r w:rsidRPr="00883EC9">
        <w:t xml:space="preserve"> nyereség származik, ezen belül a fürdő szolgáltatás vesztesége </w:t>
      </w:r>
      <w:r w:rsidRPr="00883EC9">
        <w:rPr>
          <w:sz w:val="23"/>
          <w:szCs w:val="23"/>
        </w:rPr>
        <w:t xml:space="preserve">80 427 </w:t>
      </w:r>
      <w:proofErr w:type="spellStart"/>
      <w:r w:rsidRPr="00883EC9">
        <w:rPr>
          <w:sz w:val="23"/>
          <w:szCs w:val="23"/>
        </w:rPr>
        <w:t>eFt</w:t>
      </w:r>
      <w:proofErr w:type="spellEnd"/>
      <w:r w:rsidRPr="00883EC9">
        <w:rPr>
          <w:sz w:val="23"/>
          <w:szCs w:val="23"/>
        </w:rPr>
        <w:t xml:space="preserve">. </w:t>
      </w:r>
    </w:p>
    <w:p w:rsidR="003151BB" w:rsidRDefault="003151BB">
      <w:pPr>
        <w:rPr>
          <w:sz w:val="23"/>
          <w:szCs w:val="23"/>
        </w:rPr>
      </w:pPr>
      <w:r>
        <w:rPr>
          <w:sz w:val="23"/>
          <w:szCs w:val="23"/>
        </w:rPr>
        <w:br w:type="page"/>
      </w:r>
    </w:p>
    <w:p w:rsidR="00920BB3" w:rsidRDefault="00920BB3" w:rsidP="00920BB3">
      <w:pPr>
        <w:pStyle w:val="Szvegtrzs"/>
        <w:rPr>
          <w:sz w:val="23"/>
          <w:szCs w:val="23"/>
        </w:rPr>
      </w:pPr>
    </w:p>
    <w:p w:rsidR="00D654D8" w:rsidRPr="00883EC9" w:rsidRDefault="00D654D8" w:rsidP="00D654D8">
      <w:pPr>
        <w:tabs>
          <w:tab w:val="center" w:pos="9356"/>
        </w:tabs>
        <w:ind w:right="141"/>
        <w:jc w:val="both"/>
        <w:rPr>
          <w:sz w:val="24"/>
          <w:szCs w:val="24"/>
        </w:rPr>
      </w:pPr>
      <w:r w:rsidRPr="00883EC9">
        <w:rPr>
          <w:sz w:val="24"/>
          <w:szCs w:val="24"/>
        </w:rPr>
        <w:t xml:space="preserve">Az </w:t>
      </w:r>
      <w:r>
        <w:rPr>
          <w:sz w:val="24"/>
          <w:szCs w:val="24"/>
        </w:rPr>
        <w:t>üzleti terv tartalmazza a</w:t>
      </w:r>
      <w:r w:rsidRPr="00883EC9">
        <w:rPr>
          <w:sz w:val="24"/>
          <w:szCs w:val="24"/>
        </w:rPr>
        <w:t xml:space="preserve"> Szombathely MJV Önkormányzatától az uszoda veszteség finanszírozására várható 90 </w:t>
      </w:r>
      <w:proofErr w:type="spellStart"/>
      <w:r w:rsidRPr="00883EC9">
        <w:rPr>
          <w:sz w:val="24"/>
          <w:szCs w:val="24"/>
        </w:rPr>
        <w:t>mFt</w:t>
      </w:r>
      <w:proofErr w:type="spellEnd"/>
      <w:r w:rsidRPr="00883EC9">
        <w:rPr>
          <w:sz w:val="24"/>
          <w:szCs w:val="24"/>
        </w:rPr>
        <w:t xml:space="preserve"> </w:t>
      </w:r>
      <w:r w:rsidRPr="00883EC9">
        <w:rPr>
          <w:i/>
          <w:sz w:val="24"/>
          <w:szCs w:val="24"/>
        </w:rPr>
        <w:t>támogatás</w:t>
      </w:r>
      <w:r>
        <w:rPr>
          <w:i/>
          <w:sz w:val="24"/>
          <w:szCs w:val="24"/>
        </w:rPr>
        <w:t>t</w:t>
      </w:r>
      <w:r w:rsidRPr="00883EC9">
        <w:rPr>
          <w:sz w:val="24"/>
          <w:szCs w:val="24"/>
        </w:rPr>
        <w:t xml:space="preserve">, </w:t>
      </w:r>
      <w:r>
        <w:rPr>
          <w:sz w:val="24"/>
          <w:szCs w:val="24"/>
        </w:rPr>
        <w:t>a</w:t>
      </w:r>
      <w:r w:rsidRPr="00883EC9">
        <w:rPr>
          <w:sz w:val="24"/>
          <w:szCs w:val="24"/>
        </w:rPr>
        <w:t>melynek pénzügyi megvalósulása az év végén várható.</w:t>
      </w:r>
    </w:p>
    <w:p w:rsidR="00E42436" w:rsidRDefault="00E42436" w:rsidP="00920BB3">
      <w:pPr>
        <w:pStyle w:val="Szvegtrzs"/>
      </w:pPr>
    </w:p>
    <w:p w:rsidR="00920BB3" w:rsidRPr="00883EC9" w:rsidRDefault="00920BB3" w:rsidP="00920BB3">
      <w:pPr>
        <w:pStyle w:val="Szvegtrzs"/>
      </w:pPr>
      <w:r w:rsidRPr="00883EC9">
        <w:t>Az elsődleges tevékenységek árbevétele együttesen 1</w:t>
      </w:r>
      <w:r w:rsidR="00820ED3">
        <w:t>-</w:t>
      </w:r>
      <w:r w:rsidRPr="00883EC9">
        <w:t xml:space="preserve">%-kal maradt el az időarányos tervtől, amely a költségek elmaradását is magával vonhatja – nem minden esetben egyenes arányban. </w:t>
      </w:r>
    </w:p>
    <w:p w:rsidR="00920BB3" w:rsidRPr="00883EC9" w:rsidRDefault="00920BB3" w:rsidP="00920BB3">
      <w:pPr>
        <w:pStyle w:val="Szvegtrzs"/>
      </w:pPr>
      <w:r w:rsidRPr="00883EC9">
        <w:t>A másodlagos tevékenységeken belül az építőipar</w:t>
      </w:r>
      <w:r w:rsidR="0042587E">
        <w:t xml:space="preserve"> árbevétele maradt el az időarányos tervtől. Ennek oka, hogy az építési munkák jelentős része a nyári hónapokban zajlik, ezek árbevétele várhatóan a következő negyedévben realizálódik. </w:t>
      </w:r>
      <w:r w:rsidRPr="00883EC9">
        <w:t xml:space="preserve">Az önkormányzati </w:t>
      </w:r>
      <w:proofErr w:type="spellStart"/>
      <w:r w:rsidRPr="00883EC9">
        <w:t>víziközmű</w:t>
      </w:r>
      <w:proofErr w:type="spellEnd"/>
      <w:r w:rsidRPr="00883EC9">
        <w:t xml:space="preserve"> építési-szerelési munkák tervezett összege 2017. évben 725 694 </w:t>
      </w:r>
      <w:proofErr w:type="spellStart"/>
      <w:r w:rsidRPr="00883EC9">
        <w:t>eFt</w:t>
      </w:r>
      <w:proofErr w:type="spellEnd"/>
      <w:r w:rsidRPr="00883EC9">
        <w:t xml:space="preserve">, amelyből I. félévben a leszámlázott összeg 123 417 </w:t>
      </w:r>
      <w:proofErr w:type="spellStart"/>
      <w:r w:rsidRPr="00883EC9">
        <w:t>eFt</w:t>
      </w:r>
      <w:proofErr w:type="spellEnd"/>
      <w:r w:rsidRPr="00883EC9">
        <w:t>. Az árbevétel tervezettől való elmaradásának költség oldalon is van hatása, elsősorban anyagköltség és igénybevett építőipari szolgáltatások vonatkozásában.</w:t>
      </w:r>
    </w:p>
    <w:p w:rsidR="00920BB3" w:rsidRPr="00883EC9" w:rsidRDefault="00920BB3" w:rsidP="00920BB3">
      <w:pPr>
        <w:pStyle w:val="Szvegtrzs"/>
      </w:pPr>
      <w:r w:rsidRPr="00883EC9">
        <w:t xml:space="preserve">Az építőipari teljesítményt javítja a leszámlázásra nem </w:t>
      </w:r>
      <w:r w:rsidRPr="00E23E68">
        <w:t>kerül</w:t>
      </w:r>
      <w:r w:rsidR="00E23E68" w:rsidRPr="00E23E68">
        <w:t>t</w:t>
      </w:r>
      <w:r w:rsidRPr="00E23E68">
        <w:t xml:space="preserve"> </w:t>
      </w:r>
      <w:r w:rsidRPr="00883EC9">
        <w:t xml:space="preserve">befejezetlen építőipari munkák önköltsége, amely 2017. I. félévben 37 480 </w:t>
      </w:r>
      <w:proofErr w:type="spellStart"/>
      <w:r w:rsidRPr="00883EC9">
        <w:t>eFt</w:t>
      </w:r>
      <w:proofErr w:type="spellEnd"/>
      <w:r w:rsidRPr="00883EC9">
        <w:t>.</w:t>
      </w:r>
    </w:p>
    <w:p w:rsidR="00920BB3" w:rsidRPr="00883EC9" w:rsidRDefault="00920BB3" w:rsidP="00920BB3">
      <w:pPr>
        <w:pStyle w:val="Szvegtrzs"/>
        <w:rPr>
          <w:sz w:val="12"/>
          <w:szCs w:val="12"/>
        </w:rPr>
      </w:pPr>
    </w:p>
    <w:p w:rsidR="00920BB3" w:rsidRPr="00883EC9" w:rsidRDefault="00920BB3" w:rsidP="00920BB3">
      <w:pPr>
        <w:pStyle w:val="Szvegtrzs"/>
        <w:rPr>
          <w:b/>
          <w:i/>
        </w:rPr>
      </w:pPr>
      <w:r w:rsidRPr="00883EC9">
        <w:rPr>
          <w:b/>
          <w:i/>
        </w:rPr>
        <w:t xml:space="preserve">A korrigált bevételekből és költségekből származó eredmény 2017. I. félévben -62 651 </w:t>
      </w:r>
      <w:proofErr w:type="spellStart"/>
      <w:r w:rsidRPr="00883EC9">
        <w:rPr>
          <w:b/>
          <w:i/>
        </w:rPr>
        <w:t>eFt</w:t>
      </w:r>
      <w:proofErr w:type="spellEnd"/>
      <w:r w:rsidRPr="00883EC9">
        <w:rPr>
          <w:b/>
          <w:i/>
        </w:rPr>
        <w:t>.</w:t>
      </w:r>
    </w:p>
    <w:p w:rsidR="00820ED3" w:rsidRDefault="00820ED3">
      <w:pPr>
        <w:pStyle w:val="Cmsor1"/>
        <w:ind w:left="0"/>
        <w:rPr>
          <w:bCs/>
          <w:iCs/>
          <w:szCs w:val="24"/>
        </w:rPr>
      </w:pPr>
      <w:bookmarkStart w:id="12" w:name="_Toc330999131"/>
      <w:bookmarkStart w:id="13" w:name="_Toc331589981"/>
      <w:bookmarkEnd w:id="10"/>
    </w:p>
    <w:p w:rsidR="00820ED3" w:rsidRDefault="00820ED3" w:rsidP="00820ED3"/>
    <w:p w:rsidR="003151BB" w:rsidRPr="00820ED3" w:rsidRDefault="003151BB" w:rsidP="00820ED3"/>
    <w:p w:rsidR="00E8097E" w:rsidRPr="00124846" w:rsidRDefault="00E8097E">
      <w:pPr>
        <w:pStyle w:val="Cmsor1"/>
        <w:ind w:left="0"/>
        <w:rPr>
          <w:b/>
          <w:bCs/>
          <w:i/>
          <w:iCs/>
          <w:sz w:val="28"/>
          <w:szCs w:val="28"/>
        </w:rPr>
      </w:pPr>
      <w:bookmarkStart w:id="14" w:name="_Toc489278848"/>
      <w:r w:rsidRPr="00124846">
        <w:rPr>
          <w:b/>
          <w:bCs/>
          <w:i/>
          <w:iCs/>
          <w:sz w:val="28"/>
          <w:szCs w:val="28"/>
        </w:rPr>
        <w:t>Fejlesztések, beruházások</w:t>
      </w:r>
      <w:bookmarkEnd w:id="12"/>
      <w:bookmarkEnd w:id="13"/>
      <w:bookmarkEnd w:id="14"/>
    </w:p>
    <w:p w:rsidR="00E8097E" w:rsidRPr="00883EC9" w:rsidRDefault="00E8097E">
      <w:pPr>
        <w:pStyle w:val="Szvegtrzs31"/>
        <w:widowControl/>
        <w:overflowPunct/>
        <w:autoSpaceDE/>
        <w:autoSpaceDN/>
        <w:adjustRightInd/>
        <w:textAlignment w:val="auto"/>
        <w:rPr>
          <w:sz w:val="12"/>
        </w:rPr>
      </w:pPr>
    </w:p>
    <w:p w:rsidR="00E8097E" w:rsidRPr="00883EC9" w:rsidRDefault="00E8097E">
      <w:pPr>
        <w:pStyle w:val="Nincstrkz"/>
        <w:jc w:val="both"/>
        <w:rPr>
          <w:sz w:val="24"/>
          <w:szCs w:val="24"/>
        </w:rPr>
      </w:pPr>
      <w:r w:rsidRPr="00883EC9">
        <w:rPr>
          <w:sz w:val="24"/>
          <w:szCs w:val="24"/>
        </w:rPr>
        <w:t xml:space="preserve">A víziközmű-szolgáltatóktól 2013. január 1-jén a </w:t>
      </w:r>
      <w:proofErr w:type="spellStart"/>
      <w:r w:rsidRPr="00883EC9">
        <w:rPr>
          <w:sz w:val="24"/>
          <w:szCs w:val="24"/>
        </w:rPr>
        <w:t>Vksztv</w:t>
      </w:r>
      <w:proofErr w:type="spellEnd"/>
      <w:r w:rsidRPr="00883EC9">
        <w:rPr>
          <w:sz w:val="24"/>
          <w:szCs w:val="24"/>
        </w:rPr>
        <w:t xml:space="preserve">. </w:t>
      </w:r>
      <w:r w:rsidR="00E906F1" w:rsidRPr="00883EC9">
        <w:rPr>
          <w:sz w:val="24"/>
          <w:szCs w:val="24"/>
        </w:rPr>
        <w:t>előírása alapján</w:t>
      </w:r>
      <w:r w:rsidRPr="00883EC9">
        <w:rPr>
          <w:sz w:val="24"/>
          <w:szCs w:val="24"/>
        </w:rPr>
        <w:t xml:space="preserve"> az ellátásért felelős települési önkormányzatokra átszállt víziközmű-vagyon fejlesztéséről az ellátásért felelősöknek kell gondoskodniuk. </w:t>
      </w:r>
    </w:p>
    <w:p w:rsidR="00E8097E" w:rsidRPr="00883EC9" w:rsidRDefault="00E8097E">
      <w:pPr>
        <w:pStyle w:val="Nincstrkz"/>
        <w:jc w:val="both"/>
        <w:rPr>
          <w:sz w:val="24"/>
          <w:szCs w:val="24"/>
        </w:rPr>
      </w:pPr>
      <w:r w:rsidRPr="00883EC9">
        <w:rPr>
          <w:sz w:val="24"/>
          <w:szCs w:val="24"/>
        </w:rPr>
        <w:t>Társaságunk 201</w:t>
      </w:r>
      <w:r w:rsidR="003332D3" w:rsidRPr="00883EC9">
        <w:rPr>
          <w:sz w:val="24"/>
          <w:szCs w:val="24"/>
        </w:rPr>
        <w:t>7</w:t>
      </w:r>
      <w:r w:rsidRPr="00883EC9">
        <w:rPr>
          <w:sz w:val="24"/>
          <w:szCs w:val="24"/>
        </w:rPr>
        <w:t xml:space="preserve">. évre a működtető vagyon és </w:t>
      </w:r>
      <w:proofErr w:type="spellStart"/>
      <w:r w:rsidRPr="00883EC9">
        <w:rPr>
          <w:sz w:val="24"/>
          <w:szCs w:val="24"/>
        </w:rPr>
        <w:t>rendszerfüggetlen</w:t>
      </w:r>
      <w:proofErr w:type="spellEnd"/>
      <w:r w:rsidRPr="00883EC9">
        <w:rPr>
          <w:sz w:val="24"/>
          <w:szCs w:val="24"/>
        </w:rPr>
        <w:t xml:space="preserve"> </w:t>
      </w:r>
      <w:proofErr w:type="spellStart"/>
      <w:r w:rsidRPr="00883EC9">
        <w:rPr>
          <w:sz w:val="24"/>
          <w:szCs w:val="24"/>
        </w:rPr>
        <w:t>víziközmű</w:t>
      </w:r>
      <w:proofErr w:type="spellEnd"/>
      <w:r w:rsidRPr="00883EC9">
        <w:rPr>
          <w:sz w:val="24"/>
          <w:szCs w:val="24"/>
        </w:rPr>
        <w:t xml:space="preserve"> vagyon amortizációjából az előző évről áthúzódó beruházásokkal együtt </w:t>
      </w:r>
      <w:r w:rsidR="00FC4DCF" w:rsidRPr="00883EC9">
        <w:rPr>
          <w:sz w:val="24"/>
          <w:szCs w:val="24"/>
        </w:rPr>
        <w:t>521</w:t>
      </w:r>
      <w:r w:rsidRPr="00883EC9">
        <w:rPr>
          <w:sz w:val="24"/>
          <w:szCs w:val="24"/>
        </w:rPr>
        <w:t xml:space="preserve"> </w:t>
      </w:r>
      <w:proofErr w:type="spellStart"/>
      <w:r w:rsidRPr="00883EC9">
        <w:rPr>
          <w:sz w:val="24"/>
          <w:szCs w:val="24"/>
        </w:rPr>
        <w:t>mFt</w:t>
      </w:r>
      <w:proofErr w:type="spellEnd"/>
      <w:r w:rsidRPr="00883EC9">
        <w:rPr>
          <w:sz w:val="24"/>
          <w:szCs w:val="24"/>
        </w:rPr>
        <w:t xml:space="preserve">, 2012. év végéig képződött és fel nem használt ISPA/KA használati díjból </w:t>
      </w:r>
      <w:r w:rsidR="00FC4DCF" w:rsidRPr="00883EC9">
        <w:rPr>
          <w:sz w:val="24"/>
          <w:szCs w:val="24"/>
        </w:rPr>
        <w:t>22</w:t>
      </w:r>
      <w:r w:rsidRPr="00883EC9">
        <w:rPr>
          <w:sz w:val="24"/>
          <w:szCs w:val="24"/>
        </w:rPr>
        <w:t xml:space="preserve"> </w:t>
      </w:r>
      <w:proofErr w:type="spellStart"/>
      <w:r w:rsidRPr="00883EC9">
        <w:rPr>
          <w:sz w:val="24"/>
          <w:szCs w:val="24"/>
        </w:rPr>
        <w:t>mFt</w:t>
      </w:r>
      <w:proofErr w:type="spellEnd"/>
      <w:r w:rsidRPr="00883EC9">
        <w:rPr>
          <w:sz w:val="24"/>
          <w:szCs w:val="24"/>
        </w:rPr>
        <w:t>, k</w:t>
      </w:r>
      <w:r w:rsidRPr="00883EC9">
        <w:rPr>
          <w:rFonts w:hint="eastAsia"/>
          <w:sz w:val="24"/>
          <w:szCs w:val="24"/>
        </w:rPr>
        <w:t>özműfejlesztési hozzájárulás</w:t>
      </w:r>
      <w:r w:rsidRPr="00883EC9">
        <w:rPr>
          <w:sz w:val="24"/>
          <w:szCs w:val="24"/>
        </w:rPr>
        <w:t xml:space="preserve">ból </w:t>
      </w:r>
      <w:r w:rsidR="00FC4DCF" w:rsidRPr="00883EC9">
        <w:rPr>
          <w:sz w:val="24"/>
          <w:szCs w:val="24"/>
        </w:rPr>
        <w:t>9</w:t>
      </w:r>
      <w:r w:rsidRPr="00883EC9">
        <w:rPr>
          <w:sz w:val="24"/>
          <w:szCs w:val="24"/>
        </w:rPr>
        <w:t xml:space="preserve"> </w:t>
      </w:r>
      <w:proofErr w:type="spellStart"/>
      <w:r w:rsidRPr="00883EC9">
        <w:rPr>
          <w:sz w:val="24"/>
          <w:szCs w:val="24"/>
        </w:rPr>
        <w:t>mFt</w:t>
      </w:r>
      <w:proofErr w:type="spellEnd"/>
      <w:r w:rsidRPr="00883EC9">
        <w:rPr>
          <w:sz w:val="24"/>
          <w:szCs w:val="24"/>
        </w:rPr>
        <w:t xml:space="preserve">, </w:t>
      </w:r>
      <w:r w:rsidR="00FC4DCF" w:rsidRPr="00883EC9">
        <w:rPr>
          <w:sz w:val="24"/>
          <w:szCs w:val="24"/>
        </w:rPr>
        <w:t>eredmény</w:t>
      </w:r>
      <w:r w:rsidRPr="00883EC9">
        <w:rPr>
          <w:rFonts w:hint="eastAsia"/>
          <w:sz w:val="24"/>
          <w:szCs w:val="24"/>
        </w:rPr>
        <w:t>tartalék</w:t>
      </w:r>
      <w:r w:rsidRPr="00883EC9">
        <w:rPr>
          <w:sz w:val="24"/>
          <w:szCs w:val="24"/>
        </w:rPr>
        <w:t xml:space="preserve">ból </w:t>
      </w:r>
      <w:r w:rsidR="00FC4DCF" w:rsidRPr="00883EC9">
        <w:rPr>
          <w:sz w:val="24"/>
          <w:szCs w:val="24"/>
        </w:rPr>
        <w:t>30</w:t>
      </w:r>
      <w:r w:rsidRPr="00883EC9">
        <w:rPr>
          <w:sz w:val="24"/>
          <w:szCs w:val="24"/>
        </w:rPr>
        <w:t xml:space="preserve"> </w:t>
      </w:r>
      <w:proofErr w:type="spellStart"/>
      <w:r w:rsidRPr="00883EC9">
        <w:rPr>
          <w:sz w:val="24"/>
          <w:szCs w:val="24"/>
        </w:rPr>
        <w:t>mFt</w:t>
      </w:r>
      <w:proofErr w:type="spellEnd"/>
      <w:r w:rsidRPr="00883EC9">
        <w:rPr>
          <w:sz w:val="24"/>
          <w:szCs w:val="24"/>
        </w:rPr>
        <w:t xml:space="preserve">, összesen </w:t>
      </w:r>
      <w:r w:rsidR="009F0180" w:rsidRPr="00883EC9">
        <w:rPr>
          <w:sz w:val="24"/>
          <w:szCs w:val="24"/>
        </w:rPr>
        <w:t>5</w:t>
      </w:r>
      <w:r w:rsidR="00FC4DCF" w:rsidRPr="00883EC9">
        <w:rPr>
          <w:sz w:val="24"/>
          <w:szCs w:val="24"/>
        </w:rPr>
        <w:t>82</w:t>
      </w:r>
      <w:r w:rsidRPr="00883EC9">
        <w:rPr>
          <w:sz w:val="24"/>
          <w:szCs w:val="24"/>
        </w:rPr>
        <w:t xml:space="preserve"> </w:t>
      </w:r>
      <w:proofErr w:type="spellStart"/>
      <w:r w:rsidRPr="00883EC9">
        <w:rPr>
          <w:sz w:val="24"/>
          <w:szCs w:val="24"/>
        </w:rPr>
        <w:t>mFt</w:t>
      </w:r>
      <w:proofErr w:type="spellEnd"/>
      <w:r w:rsidRPr="00883EC9">
        <w:rPr>
          <w:sz w:val="24"/>
          <w:szCs w:val="24"/>
        </w:rPr>
        <w:t xml:space="preserve"> értékű beruházást tervezett.</w:t>
      </w:r>
    </w:p>
    <w:p w:rsidR="00E8097E" w:rsidRPr="00883EC9" w:rsidRDefault="00E8097E">
      <w:pPr>
        <w:pStyle w:val="Szvegtrzs"/>
        <w:rPr>
          <w:szCs w:val="24"/>
        </w:rPr>
      </w:pPr>
      <w:r w:rsidRPr="00883EC9">
        <w:rPr>
          <w:szCs w:val="24"/>
        </w:rPr>
        <w:t>201</w:t>
      </w:r>
      <w:r w:rsidR="00FC4DCF" w:rsidRPr="00883EC9">
        <w:rPr>
          <w:szCs w:val="24"/>
        </w:rPr>
        <w:t>7</w:t>
      </w:r>
      <w:r w:rsidRPr="00883EC9">
        <w:rPr>
          <w:szCs w:val="24"/>
        </w:rPr>
        <w:t xml:space="preserve">. I. félévben megrendelt beruházások értéke </w:t>
      </w:r>
      <w:r w:rsidR="00FC4DCF" w:rsidRPr="00883EC9">
        <w:rPr>
          <w:szCs w:val="24"/>
        </w:rPr>
        <w:t xml:space="preserve">412 793 </w:t>
      </w:r>
      <w:proofErr w:type="spellStart"/>
      <w:r w:rsidR="00FC4DCF" w:rsidRPr="00883EC9">
        <w:rPr>
          <w:szCs w:val="24"/>
        </w:rPr>
        <w:t>e</w:t>
      </w:r>
      <w:r w:rsidRPr="00883EC9">
        <w:rPr>
          <w:szCs w:val="24"/>
        </w:rPr>
        <w:t>Ft</w:t>
      </w:r>
      <w:proofErr w:type="spellEnd"/>
      <w:r w:rsidRPr="00883EC9">
        <w:rPr>
          <w:szCs w:val="24"/>
        </w:rPr>
        <w:t xml:space="preserve">, a terv </w:t>
      </w:r>
      <w:r w:rsidR="00FC4DCF" w:rsidRPr="00883EC9">
        <w:rPr>
          <w:szCs w:val="24"/>
        </w:rPr>
        <w:t>70,9</w:t>
      </w:r>
      <w:r w:rsidRPr="00883EC9">
        <w:rPr>
          <w:szCs w:val="24"/>
        </w:rPr>
        <w:t xml:space="preserve"> %-a, kifizetett összeg       </w:t>
      </w:r>
      <w:r w:rsidR="00FC4DCF" w:rsidRPr="00883EC9">
        <w:rPr>
          <w:szCs w:val="24"/>
        </w:rPr>
        <w:t>152 394</w:t>
      </w:r>
      <w:r w:rsidR="009F0180" w:rsidRPr="00883EC9">
        <w:rPr>
          <w:szCs w:val="24"/>
        </w:rPr>
        <w:t xml:space="preserve"> </w:t>
      </w:r>
      <w:proofErr w:type="spellStart"/>
      <w:r w:rsidRPr="00883EC9">
        <w:rPr>
          <w:szCs w:val="24"/>
        </w:rPr>
        <w:t>eFt</w:t>
      </w:r>
      <w:proofErr w:type="spellEnd"/>
      <w:r w:rsidRPr="00883EC9">
        <w:rPr>
          <w:szCs w:val="24"/>
        </w:rPr>
        <w:t xml:space="preserve">, a tervezett összeg </w:t>
      </w:r>
      <w:r w:rsidR="00FC4DCF" w:rsidRPr="00883EC9">
        <w:rPr>
          <w:szCs w:val="24"/>
        </w:rPr>
        <w:t>26,2</w:t>
      </w:r>
      <w:r w:rsidRPr="00883EC9">
        <w:rPr>
          <w:szCs w:val="24"/>
        </w:rPr>
        <w:t xml:space="preserve"> %-a.</w:t>
      </w:r>
    </w:p>
    <w:p w:rsidR="00FC4DCF" w:rsidRPr="00883EC9" w:rsidRDefault="00E8097E">
      <w:pPr>
        <w:tabs>
          <w:tab w:val="left" w:pos="9214"/>
        </w:tabs>
        <w:rPr>
          <w:sz w:val="24"/>
          <w:szCs w:val="24"/>
        </w:rPr>
      </w:pPr>
      <w:r w:rsidRPr="00883EC9">
        <w:rPr>
          <w:sz w:val="24"/>
          <w:szCs w:val="24"/>
        </w:rPr>
        <w:t xml:space="preserve">Saját kivitelezésben végzett beruházások aktivált értéke </w:t>
      </w:r>
      <w:r w:rsidR="00FC2FD1" w:rsidRPr="00883EC9">
        <w:rPr>
          <w:sz w:val="24"/>
          <w:szCs w:val="24"/>
        </w:rPr>
        <w:t>2 823</w:t>
      </w:r>
      <w:r w:rsidRPr="00883EC9">
        <w:rPr>
          <w:sz w:val="24"/>
          <w:szCs w:val="24"/>
        </w:rPr>
        <w:t xml:space="preserve"> </w:t>
      </w:r>
      <w:proofErr w:type="spellStart"/>
      <w:r w:rsidRPr="00883EC9">
        <w:rPr>
          <w:sz w:val="24"/>
          <w:szCs w:val="24"/>
        </w:rPr>
        <w:t>eFt</w:t>
      </w:r>
      <w:proofErr w:type="spellEnd"/>
      <w:r w:rsidRPr="00883EC9">
        <w:rPr>
          <w:sz w:val="24"/>
          <w:szCs w:val="24"/>
        </w:rPr>
        <w:t>.</w:t>
      </w:r>
      <w:r w:rsidR="00FC4DCF" w:rsidRPr="00883EC9">
        <w:rPr>
          <w:sz w:val="24"/>
          <w:szCs w:val="24"/>
        </w:rPr>
        <w:t xml:space="preserve">  </w:t>
      </w:r>
    </w:p>
    <w:p w:rsidR="00E8097E" w:rsidRPr="00883EC9" w:rsidRDefault="00E8097E">
      <w:pPr>
        <w:pStyle w:val="Cmsor4"/>
        <w:numPr>
          <w:ilvl w:val="0"/>
          <w:numId w:val="0"/>
        </w:numPr>
        <w:tabs>
          <w:tab w:val="clear" w:pos="3402"/>
          <w:tab w:val="clear" w:pos="5103"/>
          <w:tab w:val="clear" w:pos="6804"/>
          <w:tab w:val="right" w:pos="4678"/>
          <w:tab w:val="right" w:pos="6237"/>
          <w:tab w:val="right" w:pos="6379"/>
          <w:tab w:val="right" w:pos="7513"/>
          <w:tab w:val="right" w:pos="7655"/>
        </w:tabs>
        <w:rPr>
          <w:szCs w:val="24"/>
        </w:rPr>
      </w:pPr>
    </w:p>
    <w:p w:rsidR="00E8097E" w:rsidRPr="00D2714A" w:rsidRDefault="00E8097E" w:rsidP="00DF270C">
      <w:pPr>
        <w:pStyle w:val="Cmsor2"/>
        <w:rPr>
          <w:i/>
          <w:color w:val="auto"/>
        </w:rPr>
      </w:pPr>
      <w:bookmarkStart w:id="15" w:name="_Toc489278849"/>
      <w:r w:rsidRPr="00D2714A">
        <w:rPr>
          <w:i/>
          <w:color w:val="auto"/>
        </w:rPr>
        <w:t>Beruházási pénzeszközök források szerinti felhasználása</w:t>
      </w:r>
      <w:bookmarkEnd w:id="15"/>
    </w:p>
    <w:tbl>
      <w:tblPr>
        <w:tblW w:w="15562" w:type="dxa"/>
        <w:tblInd w:w="-142" w:type="dxa"/>
        <w:tblLayout w:type="fixed"/>
        <w:tblCellMar>
          <w:left w:w="0" w:type="dxa"/>
          <w:right w:w="0" w:type="dxa"/>
        </w:tblCellMar>
        <w:tblLook w:val="0000" w:firstRow="0" w:lastRow="0" w:firstColumn="0" w:lastColumn="0" w:noHBand="0" w:noVBand="0"/>
      </w:tblPr>
      <w:tblGrid>
        <w:gridCol w:w="71"/>
        <w:gridCol w:w="3398"/>
        <w:gridCol w:w="217"/>
        <w:gridCol w:w="1100"/>
        <w:gridCol w:w="26"/>
        <w:gridCol w:w="217"/>
        <w:gridCol w:w="1059"/>
        <w:gridCol w:w="78"/>
        <w:gridCol w:w="139"/>
        <w:gridCol w:w="1067"/>
        <w:gridCol w:w="133"/>
        <w:gridCol w:w="217"/>
        <w:gridCol w:w="890"/>
        <w:gridCol w:w="27"/>
        <w:gridCol w:w="217"/>
        <w:gridCol w:w="936"/>
        <w:gridCol w:w="59"/>
        <w:gridCol w:w="217"/>
        <w:gridCol w:w="4309"/>
        <w:gridCol w:w="1185"/>
      </w:tblGrid>
      <w:tr w:rsidR="00FF12CC" w:rsidRPr="00883EC9" w:rsidTr="00FC4DCF">
        <w:trPr>
          <w:gridBefore w:val="1"/>
          <w:gridAfter w:val="3"/>
          <w:wBefore w:w="71" w:type="dxa"/>
          <w:wAfter w:w="5711" w:type="dxa"/>
          <w:trHeight w:val="315"/>
        </w:trPr>
        <w:tc>
          <w:tcPr>
            <w:tcW w:w="3398" w:type="dxa"/>
            <w:tcBorders>
              <w:top w:val="nil"/>
              <w:left w:val="nil"/>
              <w:bottom w:val="single" w:sz="4" w:space="0" w:color="auto"/>
              <w:right w:val="nil"/>
            </w:tcBorders>
            <w:noWrap/>
            <w:vAlign w:val="bottom"/>
          </w:tcPr>
          <w:p w:rsidR="00E8097E" w:rsidRPr="00883EC9" w:rsidRDefault="00E8097E">
            <w:pPr>
              <w:rPr>
                <w:rFonts w:eastAsia="Arial Unicode MS" w:cs="Arial Unicode MS"/>
                <w:szCs w:val="24"/>
              </w:rPr>
            </w:pPr>
            <w:r w:rsidRPr="00883EC9">
              <w:rPr>
                <w:rFonts w:hint="eastAsia"/>
              </w:rPr>
              <w:t> </w:t>
            </w:r>
          </w:p>
        </w:tc>
        <w:tc>
          <w:tcPr>
            <w:tcW w:w="1343" w:type="dxa"/>
            <w:gridSpan w:val="3"/>
            <w:tcBorders>
              <w:top w:val="nil"/>
              <w:left w:val="nil"/>
              <w:bottom w:val="single" w:sz="4" w:space="0" w:color="auto"/>
              <w:right w:val="nil"/>
            </w:tcBorders>
            <w:noWrap/>
            <w:vAlign w:val="bottom"/>
          </w:tcPr>
          <w:p w:rsidR="00E8097E" w:rsidRPr="00883EC9" w:rsidRDefault="00E8097E">
            <w:pPr>
              <w:rPr>
                <w:rFonts w:eastAsia="Arial Unicode MS" w:cs="Arial Unicode MS"/>
                <w:szCs w:val="24"/>
              </w:rPr>
            </w:pPr>
            <w:r w:rsidRPr="00883EC9">
              <w:rPr>
                <w:rFonts w:hint="eastAsia"/>
              </w:rPr>
              <w:t> </w:t>
            </w:r>
          </w:p>
        </w:tc>
        <w:tc>
          <w:tcPr>
            <w:tcW w:w="1276" w:type="dxa"/>
            <w:gridSpan w:val="2"/>
            <w:tcBorders>
              <w:top w:val="nil"/>
              <w:left w:val="nil"/>
              <w:bottom w:val="single" w:sz="4" w:space="0" w:color="auto"/>
              <w:right w:val="nil"/>
            </w:tcBorders>
            <w:noWrap/>
            <w:vAlign w:val="bottom"/>
          </w:tcPr>
          <w:p w:rsidR="00E8097E" w:rsidRPr="00883EC9" w:rsidRDefault="00E8097E">
            <w:pPr>
              <w:rPr>
                <w:rFonts w:eastAsia="Arial Unicode MS" w:cs="Arial Unicode MS"/>
                <w:szCs w:val="24"/>
              </w:rPr>
            </w:pPr>
            <w:r w:rsidRPr="00883EC9">
              <w:rPr>
                <w:rFonts w:hint="eastAsia"/>
              </w:rPr>
              <w:t> </w:t>
            </w:r>
          </w:p>
        </w:tc>
        <w:tc>
          <w:tcPr>
            <w:tcW w:w="1417" w:type="dxa"/>
            <w:gridSpan w:val="4"/>
            <w:tcBorders>
              <w:top w:val="nil"/>
              <w:left w:val="nil"/>
              <w:bottom w:val="single" w:sz="4" w:space="0" w:color="auto"/>
              <w:right w:val="nil"/>
            </w:tcBorders>
            <w:noWrap/>
            <w:vAlign w:val="bottom"/>
          </w:tcPr>
          <w:p w:rsidR="00E8097E" w:rsidRPr="00883EC9" w:rsidRDefault="00E8097E">
            <w:pPr>
              <w:rPr>
                <w:rFonts w:eastAsia="Arial Unicode MS" w:cs="Arial Unicode MS"/>
                <w:szCs w:val="24"/>
              </w:rPr>
            </w:pPr>
            <w:r w:rsidRPr="00883EC9">
              <w:rPr>
                <w:rFonts w:hint="eastAsia"/>
              </w:rPr>
              <w:t> </w:t>
            </w:r>
          </w:p>
        </w:tc>
        <w:tc>
          <w:tcPr>
            <w:tcW w:w="1134" w:type="dxa"/>
            <w:gridSpan w:val="3"/>
            <w:tcBorders>
              <w:top w:val="nil"/>
              <w:left w:val="nil"/>
              <w:bottom w:val="single" w:sz="4" w:space="0" w:color="auto"/>
              <w:right w:val="nil"/>
            </w:tcBorders>
            <w:noWrap/>
            <w:vAlign w:val="bottom"/>
          </w:tcPr>
          <w:p w:rsidR="00E8097E" w:rsidRPr="00883EC9" w:rsidRDefault="00E8097E">
            <w:pPr>
              <w:rPr>
                <w:rFonts w:eastAsia="Arial Unicode MS" w:cs="Arial Unicode MS"/>
                <w:szCs w:val="24"/>
              </w:rPr>
            </w:pPr>
            <w:r w:rsidRPr="00883EC9">
              <w:rPr>
                <w:rFonts w:hint="eastAsia"/>
              </w:rPr>
              <w:t> </w:t>
            </w:r>
          </w:p>
        </w:tc>
        <w:tc>
          <w:tcPr>
            <w:tcW w:w="1212" w:type="dxa"/>
            <w:gridSpan w:val="3"/>
            <w:tcBorders>
              <w:top w:val="nil"/>
              <w:left w:val="nil"/>
              <w:bottom w:val="single" w:sz="4" w:space="0" w:color="auto"/>
              <w:right w:val="nil"/>
            </w:tcBorders>
            <w:noWrap/>
            <w:vAlign w:val="bottom"/>
          </w:tcPr>
          <w:p w:rsidR="00E8097E" w:rsidRPr="00883EC9" w:rsidRDefault="00E8097E">
            <w:pPr>
              <w:jc w:val="right"/>
              <w:rPr>
                <w:rFonts w:eastAsia="Arial Unicode MS" w:cs="Arial Unicode MS"/>
                <w:szCs w:val="24"/>
              </w:rPr>
            </w:pPr>
            <w:proofErr w:type="spellStart"/>
            <w:r w:rsidRPr="00883EC9">
              <w:rPr>
                <w:rFonts w:hint="eastAsia"/>
              </w:rPr>
              <w:t>eFt</w:t>
            </w:r>
            <w:proofErr w:type="spellEnd"/>
            <w:r w:rsidRPr="00883EC9">
              <w:rPr>
                <w:rFonts w:hint="eastAsia"/>
              </w:rPr>
              <w:t xml:space="preserve"> </w:t>
            </w:r>
          </w:p>
        </w:tc>
      </w:tr>
      <w:tr w:rsidR="00FF12CC" w:rsidRPr="00883EC9" w:rsidTr="00FC4DCF">
        <w:trPr>
          <w:gridBefore w:val="1"/>
          <w:gridAfter w:val="2"/>
          <w:wBefore w:w="71" w:type="dxa"/>
          <w:wAfter w:w="5494" w:type="dxa"/>
          <w:cantSplit/>
          <w:trHeight w:val="315"/>
        </w:trPr>
        <w:tc>
          <w:tcPr>
            <w:tcW w:w="3615" w:type="dxa"/>
            <w:gridSpan w:val="2"/>
            <w:vMerge w:val="restart"/>
            <w:tcBorders>
              <w:top w:val="nil"/>
              <w:left w:val="nil"/>
              <w:bottom w:val="single" w:sz="4" w:space="0" w:color="000000"/>
              <w:right w:val="nil"/>
            </w:tcBorders>
            <w:vAlign w:val="center"/>
          </w:tcPr>
          <w:p w:rsidR="00E8097E" w:rsidRPr="00883EC9" w:rsidRDefault="00E8097E">
            <w:pPr>
              <w:pStyle w:val="xl45"/>
              <w:spacing w:before="0" w:beforeAutospacing="0" w:after="0" w:afterAutospacing="0"/>
              <w:rPr>
                <w:rFonts w:eastAsia="Times New Roman" w:cs="Times New Roman"/>
              </w:rPr>
            </w:pPr>
            <w:r w:rsidRPr="00883EC9">
              <w:rPr>
                <w:rFonts w:eastAsia="Times New Roman" w:cs="Times New Roman" w:hint="eastAsia"/>
              </w:rPr>
              <w:t>Beruházás forrása</w:t>
            </w:r>
          </w:p>
        </w:tc>
        <w:tc>
          <w:tcPr>
            <w:tcW w:w="1343" w:type="dxa"/>
            <w:gridSpan w:val="3"/>
            <w:vMerge w:val="restart"/>
            <w:tcBorders>
              <w:top w:val="nil"/>
              <w:left w:val="nil"/>
              <w:bottom w:val="single" w:sz="4" w:space="0" w:color="000000"/>
              <w:right w:val="nil"/>
            </w:tcBorders>
            <w:vAlign w:val="center"/>
          </w:tcPr>
          <w:p w:rsidR="00E8097E" w:rsidRPr="00883EC9" w:rsidRDefault="00E04B40" w:rsidP="00694573">
            <w:pPr>
              <w:jc w:val="center"/>
              <w:rPr>
                <w:rFonts w:eastAsia="Arial Unicode MS" w:cs="Arial Unicode MS"/>
                <w:i/>
                <w:iCs/>
                <w:szCs w:val="22"/>
              </w:rPr>
            </w:pPr>
            <w:r w:rsidRPr="00883EC9">
              <w:rPr>
                <w:rFonts w:ascii="Times New Roman CE" w:hAnsi="Times New Roman CE" w:cs="Times New Roman CE"/>
                <w:i/>
                <w:iCs/>
                <w:sz w:val="22"/>
                <w:szCs w:val="22"/>
              </w:rPr>
              <w:t>2017. évi</w:t>
            </w:r>
            <w:r w:rsidRPr="00883EC9">
              <w:rPr>
                <w:rFonts w:ascii="Times New Roman CE" w:hAnsi="Times New Roman CE" w:cs="Times New Roman CE"/>
                <w:i/>
                <w:iCs/>
                <w:sz w:val="22"/>
                <w:szCs w:val="22"/>
              </w:rPr>
              <w:br/>
              <w:t>1. sz. mód. terv*</w:t>
            </w:r>
          </w:p>
        </w:tc>
        <w:tc>
          <w:tcPr>
            <w:tcW w:w="5039" w:type="dxa"/>
            <w:gridSpan w:val="12"/>
            <w:tcBorders>
              <w:top w:val="single" w:sz="4" w:space="0" w:color="auto"/>
              <w:left w:val="nil"/>
              <w:bottom w:val="single" w:sz="4" w:space="0" w:color="auto"/>
              <w:right w:val="nil"/>
            </w:tcBorders>
            <w:noWrap/>
            <w:vAlign w:val="bottom"/>
          </w:tcPr>
          <w:p w:rsidR="00E8097E" w:rsidRPr="00883EC9" w:rsidRDefault="00E8097E" w:rsidP="00983081">
            <w:pPr>
              <w:jc w:val="center"/>
              <w:rPr>
                <w:rFonts w:eastAsia="Arial Unicode MS" w:cs="Arial Unicode MS"/>
                <w:i/>
                <w:iCs/>
                <w:szCs w:val="24"/>
              </w:rPr>
            </w:pPr>
            <w:r w:rsidRPr="00883EC9">
              <w:rPr>
                <w:rFonts w:hint="eastAsia"/>
                <w:i/>
                <w:iCs/>
              </w:rPr>
              <w:t>201</w:t>
            </w:r>
            <w:r w:rsidR="00983081">
              <w:rPr>
                <w:i/>
                <w:iCs/>
              </w:rPr>
              <w:t>7</w:t>
            </w:r>
            <w:r w:rsidRPr="00883EC9">
              <w:rPr>
                <w:rFonts w:hint="eastAsia"/>
                <w:i/>
                <w:iCs/>
              </w:rPr>
              <w:t>. I. félév</w:t>
            </w:r>
          </w:p>
        </w:tc>
      </w:tr>
      <w:tr w:rsidR="00FF12CC" w:rsidRPr="00883EC9" w:rsidTr="00FC4DCF">
        <w:trPr>
          <w:gridBefore w:val="1"/>
          <w:gridAfter w:val="2"/>
          <w:wBefore w:w="71" w:type="dxa"/>
          <w:wAfter w:w="5494" w:type="dxa"/>
          <w:cantSplit/>
          <w:trHeight w:val="787"/>
        </w:trPr>
        <w:tc>
          <w:tcPr>
            <w:tcW w:w="3615" w:type="dxa"/>
            <w:gridSpan w:val="2"/>
            <w:vMerge/>
            <w:tcBorders>
              <w:top w:val="nil"/>
              <w:left w:val="nil"/>
              <w:bottom w:val="single" w:sz="4" w:space="0" w:color="000000"/>
              <w:right w:val="nil"/>
            </w:tcBorders>
            <w:vAlign w:val="center"/>
          </w:tcPr>
          <w:p w:rsidR="00E8097E" w:rsidRPr="00883EC9" w:rsidRDefault="00E8097E">
            <w:pPr>
              <w:rPr>
                <w:rFonts w:eastAsia="Arial Unicode MS" w:cs="Arial Unicode MS"/>
                <w:i/>
                <w:iCs/>
                <w:szCs w:val="22"/>
              </w:rPr>
            </w:pPr>
          </w:p>
        </w:tc>
        <w:tc>
          <w:tcPr>
            <w:tcW w:w="1343" w:type="dxa"/>
            <w:gridSpan w:val="3"/>
            <w:vMerge/>
            <w:tcBorders>
              <w:top w:val="nil"/>
              <w:left w:val="nil"/>
              <w:bottom w:val="single" w:sz="4" w:space="0" w:color="000000"/>
              <w:right w:val="nil"/>
            </w:tcBorders>
            <w:vAlign w:val="center"/>
          </w:tcPr>
          <w:p w:rsidR="00E8097E" w:rsidRPr="00883EC9" w:rsidRDefault="00E8097E">
            <w:pPr>
              <w:rPr>
                <w:rFonts w:eastAsia="Arial Unicode MS" w:cs="Arial Unicode MS"/>
                <w:i/>
                <w:iCs/>
                <w:szCs w:val="22"/>
              </w:rPr>
            </w:pPr>
          </w:p>
        </w:tc>
        <w:tc>
          <w:tcPr>
            <w:tcW w:w="1276" w:type="dxa"/>
            <w:gridSpan w:val="3"/>
            <w:tcBorders>
              <w:top w:val="nil"/>
              <w:left w:val="nil"/>
              <w:bottom w:val="single" w:sz="4" w:space="0" w:color="auto"/>
              <w:right w:val="nil"/>
            </w:tcBorders>
            <w:vAlign w:val="center"/>
          </w:tcPr>
          <w:p w:rsidR="00E8097E" w:rsidRPr="00883EC9" w:rsidRDefault="00E8097E">
            <w:pPr>
              <w:jc w:val="center"/>
              <w:rPr>
                <w:rFonts w:eastAsia="Arial Unicode MS" w:cs="Arial Unicode MS"/>
                <w:i/>
                <w:iCs/>
                <w:szCs w:val="22"/>
              </w:rPr>
            </w:pPr>
            <w:r w:rsidRPr="00883EC9">
              <w:rPr>
                <w:rFonts w:hint="eastAsia"/>
                <w:i/>
                <w:iCs/>
                <w:szCs w:val="22"/>
              </w:rPr>
              <w:t>Ténylegesen*</w:t>
            </w:r>
            <w:r w:rsidRPr="00883EC9">
              <w:rPr>
                <w:rFonts w:hint="eastAsia"/>
                <w:i/>
                <w:iCs/>
                <w:szCs w:val="22"/>
              </w:rPr>
              <w:br/>
              <w:t>rendelkezésre</w:t>
            </w:r>
            <w:r w:rsidRPr="00883EC9">
              <w:rPr>
                <w:rFonts w:hint="eastAsia"/>
                <w:i/>
                <w:iCs/>
                <w:szCs w:val="22"/>
              </w:rPr>
              <w:br/>
              <w:t>álló forrás</w:t>
            </w:r>
          </w:p>
        </w:tc>
        <w:tc>
          <w:tcPr>
            <w:tcW w:w="1417" w:type="dxa"/>
            <w:gridSpan w:val="3"/>
            <w:tcBorders>
              <w:top w:val="nil"/>
              <w:left w:val="nil"/>
              <w:bottom w:val="single" w:sz="4" w:space="0" w:color="auto"/>
              <w:right w:val="nil"/>
            </w:tcBorders>
            <w:vAlign w:val="center"/>
          </w:tcPr>
          <w:p w:rsidR="00E8097E" w:rsidRPr="00883EC9" w:rsidRDefault="00E8097E">
            <w:pPr>
              <w:jc w:val="center"/>
              <w:rPr>
                <w:i/>
                <w:iCs/>
                <w:szCs w:val="22"/>
              </w:rPr>
            </w:pPr>
            <w:r w:rsidRPr="00883EC9">
              <w:rPr>
                <w:rFonts w:hint="eastAsia"/>
                <w:i/>
                <w:iCs/>
                <w:szCs w:val="22"/>
              </w:rPr>
              <w:t xml:space="preserve">Lekötött </w:t>
            </w:r>
          </w:p>
          <w:p w:rsidR="00E8097E" w:rsidRPr="00883EC9" w:rsidRDefault="00E8097E">
            <w:pPr>
              <w:jc w:val="center"/>
              <w:rPr>
                <w:rFonts w:eastAsia="Arial Unicode MS" w:cs="Arial Unicode MS"/>
                <w:i/>
                <w:iCs/>
                <w:szCs w:val="22"/>
              </w:rPr>
            </w:pPr>
            <w:r w:rsidRPr="00883EC9">
              <w:rPr>
                <w:rFonts w:hint="eastAsia"/>
                <w:i/>
                <w:iCs/>
                <w:szCs w:val="22"/>
              </w:rPr>
              <w:t>összeg</w:t>
            </w:r>
            <w:r w:rsidRPr="00883EC9">
              <w:rPr>
                <w:rFonts w:hint="eastAsia"/>
                <w:i/>
                <w:iCs/>
                <w:szCs w:val="22"/>
              </w:rPr>
              <w:br/>
              <w:t>(</w:t>
            </w:r>
            <w:proofErr w:type="spellStart"/>
            <w:r w:rsidRPr="00883EC9">
              <w:rPr>
                <w:rFonts w:hint="eastAsia"/>
                <w:i/>
                <w:iCs/>
                <w:szCs w:val="22"/>
              </w:rPr>
              <w:t>ki</w:t>
            </w:r>
            <w:r w:rsidRPr="00883EC9">
              <w:rPr>
                <w:i/>
                <w:iCs/>
                <w:szCs w:val="22"/>
              </w:rPr>
              <w:t>f</w:t>
            </w:r>
            <w:r w:rsidRPr="00883EC9">
              <w:rPr>
                <w:rFonts w:hint="eastAsia"/>
                <w:i/>
                <w:iCs/>
                <w:szCs w:val="22"/>
              </w:rPr>
              <w:t>iz</w:t>
            </w:r>
            <w:r w:rsidRPr="00883EC9">
              <w:rPr>
                <w:i/>
                <w:iCs/>
                <w:szCs w:val="22"/>
              </w:rPr>
              <w:t>.</w:t>
            </w:r>
            <w:r w:rsidRPr="00883EC9">
              <w:rPr>
                <w:rFonts w:hint="eastAsia"/>
                <w:i/>
                <w:iCs/>
                <w:szCs w:val="22"/>
              </w:rPr>
              <w:t>összeggel</w:t>
            </w:r>
            <w:proofErr w:type="spellEnd"/>
            <w:r w:rsidRPr="00883EC9">
              <w:rPr>
                <w:rFonts w:hint="eastAsia"/>
                <w:i/>
                <w:iCs/>
                <w:szCs w:val="22"/>
              </w:rPr>
              <w:t>)</w:t>
            </w:r>
          </w:p>
        </w:tc>
        <w:tc>
          <w:tcPr>
            <w:tcW w:w="1134" w:type="dxa"/>
            <w:gridSpan w:val="3"/>
            <w:tcBorders>
              <w:top w:val="nil"/>
              <w:left w:val="nil"/>
              <w:bottom w:val="single" w:sz="4" w:space="0" w:color="auto"/>
              <w:right w:val="nil"/>
            </w:tcBorders>
            <w:vAlign w:val="center"/>
          </w:tcPr>
          <w:p w:rsidR="00E8097E" w:rsidRPr="00883EC9" w:rsidRDefault="00E8097E">
            <w:pPr>
              <w:jc w:val="center"/>
              <w:rPr>
                <w:rFonts w:eastAsia="Arial Unicode MS" w:cs="Arial Unicode MS"/>
                <w:i/>
                <w:iCs/>
                <w:szCs w:val="22"/>
              </w:rPr>
            </w:pPr>
            <w:r w:rsidRPr="00883EC9">
              <w:rPr>
                <w:rFonts w:hint="eastAsia"/>
                <w:i/>
                <w:iCs/>
                <w:szCs w:val="22"/>
              </w:rPr>
              <w:t>Kifizetett</w:t>
            </w:r>
            <w:r w:rsidRPr="00883EC9">
              <w:rPr>
                <w:rFonts w:hint="eastAsia"/>
                <w:i/>
                <w:iCs/>
                <w:szCs w:val="22"/>
              </w:rPr>
              <w:br/>
              <w:t>összeg</w:t>
            </w:r>
          </w:p>
        </w:tc>
        <w:tc>
          <w:tcPr>
            <w:tcW w:w="1212" w:type="dxa"/>
            <w:gridSpan w:val="3"/>
            <w:tcBorders>
              <w:top w:val="nil"/>
              <w:left w:val="nil"/>
              <w:bottom w:val="single" w:sz="4" w:space="0" w:color="auto"/>
              <w:right w:val="nil"/>
            </w:tcBorders>
            <w:vAlign w:val="center"/>
          </w:tcPr>
          <w:p w:rsidR="00E8097E" w:rsidRPr="00883EC9" w:rsidRDefault="00E8097E">
            <w:pPr>
              <w:jc w:val="center"/>
              <w:rPr>
                <w:rFonts w:eastAsia="Arial Unicode MS" w:cs="Arial Unicode MS"/>
                <w:i/>
                <w:iCs/>
                <w:szCs w:val="22"/>
              </w:rPr>
            </w:pPr>
            <w:r w:rsidRPr="00883EC9">
              <w:rPr>
                <w:rFonts w:hint="eastAsia"/>
                <w:i/>
                <w:iCs/>
                <w:szCs w:val="22"/>
              </w:rPr>
              <w:t>Lekötött</w:t>
            </w:r>
            <w:r w:rsidRPr="00883EC9">
              <w:rPr>
                <w:rFonts w:hint="eastAsia"/>
                <w:i/>
                <w:iCs/>
                <w:szCs w:val="22"/>
              </w:rPr>
              <w:br/>
              <w:t>összeg/</w:t>
            </w:r>
            <w:r w:rsidRPr="00883EC9">
              <w:rPr>
                <w:rFonts w:hint="eastAsia"/>
                <w:i/>
                <w:iCs/>
                <w:szCs w:val="22"/>
              </w:rPr>
              <w:br/>
              <w:t>terv</w:t>
            </w:r>
          </w:p>
        </w:tc>
      </w:tr>
      <w:tr w:rsidR="00E04B40" w:rsidRPr="00883EC9" w:rsidTr="00FC4DCF">
        <w:tblPrEx>
          <w:tblCellMar>
            <w:left w:w="70" w:type="dxa"/>
            <w:right w:w="70" w:type="dxa"/>
          </w:tblCellMar>
          <w:tblLook w:val="04A0" w:firstRow="1" w:lastRow="0" w:firstColumn="1" w:lastColumn="0" w:noHBand="0" w:noVBand="1"/>
        </w:tblPrEx>
        <w:trPr>
          <w:gridAfter w:val="4"/>
          <w:wAfter w:w="5770" w:type="dxa"/>
          <w:trHeight w:val="315"/>
        </w:trPr>
        <w:tc>
          <w:tcPr>
            <w:tcW w:w="3686" w:type="dxa"/>
            <w:gridSpan w:val="3"/>
            <w:tcBorders>
              <w:top w:val="nil"/>
              <w:left w:val="nil"/>
              <w:bottom w:val="nil"/>
              <w:right w:val="nil"/>
            </w:tcBorders>
            <w:shd w:val="clear" w:color="auto" w:fill="auto"/>
            <w:noWrap/>
            <w:vAlign w:val="bottom"/>
            <w:hideMark/>
          </w:tcPr>
          <w:p w:rsidR="00E04B40" w:rsidRPr="00883EC9" w:rsidRDefault="00E04B40" w:rsidP="00E04B40">
            <w:pPr>
              <w:rPr>
                <w:rFonts w:ascii="Times New Roman CE" w:hAnsi="Times New Roman CE" w:cs="Times New Roman CE"/>
                <w:sz w:val="22"/>
                <w:szCs w:val="22"/>
              </w:rPr>
            </w:pPr>
            <w:r w:rsidRPr="00883EC9">
              <w:rPr>
                <w:rFonts w:ascii="Times New Roman CE" w:hAnsi="Times New Roman CE" w:cs="Times New Roman CE"/>
                <w:sz w:val="22"/>
                <w:szCs w:val="22"/>
              </w:rPr>
              <w:t>Amortizáció</w:t>
            </w:r>
          </w:p>
        </w:tc>
        <w:tc>
          <w:tcPr>
            <w:tcW w:w="1100" w:type="dxa"/>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2"/>
                <w:szCs w:val="22"/>
              </w:rPr>
            </w:pPr>
            <w:r w:rsidRPr="00883EC9">
              <w:rPr>
                <w:rFonts w:ascii="Times New Roman CE" w:hAnsi="Times New Roman CE" w:cs="Times New Roman CE"/>
                <w:sz w:val="22"/>
                <w:szCs w:val="22"/>
              </w:rPr>
              <w:t>521 045</w:t>
            </w:r>
          </w:p>
        </w:tc>
        <w:tc>
          <w:tcPr>
            <w:tcW w:w="1380" w:type="dxa"/>
            <w:gridSpan w:val="4"/>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2"/>
                <w:szCs w:val="22"/>
              </w:rPr>
            </w:pPr>
            <w:r w:rsidRPr="00883EC9">
              <w:rPr>
                <w:rFonts w:ascii="Times New Roman CE" w:hAnsi="Times New Roman CE" w:cs="Times New Roman CE"/>
                <w:sz w:val="22"/>
                <w:szCs w:val="22"/>
              </w:rPr>
              <w:t>388 633</w:t>
            </w:r>
          </w:p>
        </w:tc>
        <w:tc>
          <w:tcPr>
            <w:tcW w:w="1206" w:type="dxa"/>
            <w:gridSpan w:val="2"/>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2"/>
                <w:szCs w:val="22"/>
              </w:rPr>
            </w:pPr>
            <w:r w:rsidRPr="00883EC9">
              <w:rPr>
                <w:rFonts w:ascii="Times New Roman CE" w:hAnsi="Times New Roman CE" w:cs="Times New Roman CE"/>
                <w:sz w:val="22"/>
                <w:szCs w:val="22"/>
              </w:rPr>
              <w:t>354 621</w:t>
            </w:r>
          </w:p>
        </w:tc>
        <w:tc>
          <w:tcPr>
            <w:tcW w:w="1240" w:type="dxa"/>
            <w:gridSpan w:val="3"/>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2"/>
                <w:szCs w:val="22"/>
              </w:rPr>
            </w:pPr>
            <w:r w:rsidRPr="00883EC9">
              <w:rPr>
                <w:rFonts w:ascii="Times New Roman CE" w:hAnsi="Times New Roman CE" w:cs="Times New Roman CE"/>
                <w:sz w:val="22"/>
                <w:szCs w:val="22"/>
              </w:rPr>
              <w:t>150 740</w:t>
            </w:r>
          </w:p>
        </w:tc>
        <w:tc>
          <w:tcPr>
            <w:tcW w:w="1180" w:type="dxa"/>
            <w:gridSpan w:val="3"/>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2"/>
                <w:szCs w:val="22"/>
              </w:rPr>
            </w:pPr>
            <w:r w:rsidRPr="00883EC9">
              <w:rPr>
                <w:rFonts w:ascii="Times New Roman CE" w:hAnsi="Times New Roman CE" w:cs="Times New Roman CE"/>
                <w:sz w:val="22"/>
                <w:szCs w:val="22"/>
              </w:rPr>
              <w:t>68,1%</w:t>
            </w:r>
          </w:p>
        </w:tc>
      </w:tr>
      <w:tr w:rsidR="00E04B40" w:rsidRPr="00883EC9" w:rsidTr="00FC4DCF">
        <w:tblPrEx>
          <w:tblCellMar>
            <w:left w:w="70" w:type="dxa"/>
            <w:right w:w="70" w:type="dxa"/>
          </w:tblCellMar>
          <w:tblLook w:val="04A0" w:firstRow="1" w:lastRow="0" w:firstColumn="1" w:lastColumn="0" w:noHBand="0" w:noVBand="1"/>
        </w:tblPrEx>
        <w:trPr>
          <w:gridAfter w:val="4"/>
          <w:wAfter w:w="5770" w:type="dxa"/>
          <w:trHeight w:val="315"/>
        </w:trPr>
        <w:tc>
          <w:tcPr>
            <w:tcW w:w="3686" w:type="dxa"/>
            <w:gridSpan w:val="3"/>
            <w:tcBorders>
              <w:top w:val="nil"/>
              <w:left w:val="nil"/>
              <w:bottom w:val="nil"/>
              <w:right w:val="nil"/>
            </w:tcBorders>
            <w:shd w:val="clear" w:color="auto" w:fill="auto"/>
            <w:noWrap/>
            <w:vAlign w:val="bottom"/>
            <w:hideMark/>
          </w:tcPr>
          <w:p w:rsidR="00E04B40" w:rsidRPr="00883EC9" w:rsidRDefault="00E04B40" w:rsidP="00E04B40">
            <w:pPr>
              <w:rPr>
                <w:sz w:val="22"/>
                <w:szCs w:val="22"/>
              </w:rPr>
            </w:pPr>
            <w:proofErr w:type="spellStart"/>
            <w:r w:rsidRPr="00883EC9">
              <w:rPr>
                <w:sz w:val="22"/>
                <w:szCs w:val="22"/>
              </w:rPr>
              <w:t>Fejl</w:t>
            </w:r>
            <w:proofErr w:type="spellEnd"/>
            <w:r w:rsidRPr="00883EC9">
              <w:rPr>
                <w:sz w:val="22"/>
                <w:szCs w:val="22"/>
              </w:rPr>
              <w:t xml:space="preserve">. támogatás </w:t>
            </w:r>
            <w:r w:rsidRPr="00883EC9">
              <w:t>(2012.évi maradvány</w:t>
            </w:r>
            <w:r w:rsidRPr="00883EC9">
              <w:rPr>
                <w:sz w:val="22"/>
                <w:szCs w:val="22"/>
              </w:rPr>
              <w:t>)</w:t>
            </w:r>
          </w:p>
        </w:tc>
        <w:tc>
          <w:tcPr>
            <w:tcW w:w="1100" w:type="dxa"/>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2"/>
                <w:szCs w:val="22"/>
              </w:rPr>
            </w:pPr>
            <w:r w:rsidRPr="00883EC9">
              <w:rPr>
                <w:rFonts w:ascii="Times New Roman CE" w:hAnsi="Times New Roman CE" w:cs="Times New Roman CE"/>
                <w:sz w:val="22"/>
                <w:szCs w:val="22"/>
              </w:rPr>
              <w:t>0</w:t>
            </w:r>
          </w:p>
        </w:tc>
        <w:tc>
          <w:tcPr>
            <w:tcW w:w="1380" w:type="dxa"/>
            <w:gridSpan w:val="4"/>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1"/>
                <w:szCs w:val="21"/>
              </w:rPr>
            </w:pPr>
            <w:r w:rsidRPr="00883EC9">
              <w:rPr>
                <w:rFonts w:ascii="Times New Roman CE" w:hAnsi="Times New Roman CE" w:cs="Times New Roman CE"/>
                <w:sz w:val="21"/>
                <w:szCs w:val="21"/>
              </w:rPr>
              <w:t>78 373</w:t>
            </w:r>
          </w:p>
        </w:tc>
        <w:tc>
          <w:tcPr>
            <w:tcW w:w="1206" w:type="dxa"/>
            <w:gridSpan w:val="2"/>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2"/>
                <w:szCs w:val="22"/>
              </w:rPr>
            </w:pPr>
            <w:r w:rsidRPr="00883EC9">
              <w:rPr>
                <w:rFonts w:ascii="Times New Roman CE" w:hAnsi="Times New Roman CE" w:cs="Times New Roman CE"/>
                <w:sz w:val="22"/>
                <w:szCs w:val="22"/>
              </w:rPr>
              <w:t>1 351</w:t>
            </w:r>
          </w:p>
        </w:tc>
        <w:tc>
          <w:tcPr>
            <w:tcW w:w="1240" w:type="dxa"/>
            <w:gridSpan w:val="3"/>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2"/>
                <w:szCs w:val="22"/>
              </w:rPr>
            </w:pPr>
            <w:r w:rsidRPr="00883EC9">
              <w:rPr>
                <w:rFonts w:ascii="Times New Roman CE" w:hAnsi="Times New Roman CE" w:cs="Times New Roman CE"/>
                <w:sz w:val="22"/>
                <w:szCs w:val="22"/>
              </w:rPr>
              <w:t>1 351</w:t>
            </w:r>
          </w:p>
        </w:tc>
        <w:tc>
          <w:tcPr>
            <w:tcW w:w="1180" w:type="dxa"/>
            <w:gridSpan w:val="3"/>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2"/>
                <w:szCs w:val="22"/>
              </w:rPr>
            </w:pPr>
            <w:r w:rsidRPr="00883EC9">
              <w:rPr>
                <w:rFonts w:ascii="Times New Roman CE" w:hAnsi="Times New Roman CE" w:cs="Times New Roman CE"/>
                <w:sz w:val="22"/>
                <w:szCs w:val="22"/>
              </w:rPr>
              <w:t xml:space="preserve"> </w:t>
            </w:r>
          </w:p>
        </w:tc>
      </w:tr>
      <w:tr w:rsidR="00E04B40" w:rsidRPr="00883EC9" w:rsidTr="00FC4DCF">
        <w:tblPrEx>
          <w:tblCellMar>
            <w:left w:w="70" w:type="dxa"/>
            <w:right w:w="70" w:type="dxa"/>
          </w:tblCellMar>
          <w:tblLook w:val="04A0" w:firstRow="1" w:lastRow="0" w:firstColumn="1" w:lastColumn="0" w:noHBand="0" w:noVBand="1"/>
        </w:tblPrEx>
        <w:trPr>
          <w:gridAfter w:val="4"/>
          <w:wAfter w:w="5770" w:type="dxa"/>
          <w:trHeight w:val="315"/>
        </w:trPr>
        <w:tc>
          <w:tcPr>
            <w:tcW w:w="3686" w:type="dxa"/>
            <w:gridSpan w:val="3"/>
            <w:tcBorders>
              <w:top w:val="nil"/>
              <w:left w:val="nil"/>
              <w:bottom w:val="nil"/>
              <w:right w:val="nil"/>
            </w:tcBorders>
            <w:shd w:val="clear" w:color="auto" w:fill="auto"/>
            <w:vAlign w:val="bottom"/>
            <w:hideMark/>
          </w:tcPr>
          <w:p w:rsidR="00E04B40" w:rsidRPr="00883EC9" w:rsidRDefault="00E04B40" w:rsidP="00E04B40">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Fejl</w:t>
            </w:r>
            <w:proofErr w:type="spellEnd"/>
            <w:r w:rsidRPr="00883EC9">
              <w:rPr>
                <w:rFonts w:ascii="Times New Roman CE" w:hAnsi="Times New Roman CE" w:cs="Times New Roman CE"/>
                <w:sz w:val="22"/>
                <w:szCs w:val="22"/>
              </w:rPr>
              <w:t xml:space="preserve">. tám. (2012.évi ISPA/KA </w:t>
            </w:r>
            <w:proofErr w:type="spellStart"/>
            <w:r w:rsidRPr="00883EC9">
              <w:rPr>
                <w:rFonts w:ascii="Times New Roman CE" w:hAnsi="Times New Roman CE" w:cs="Times New Roman CE"/>
                <w:sz w:val="22"/>
                <w:szCs w:val="22"/>
              </w:rPr>
              <w:t>maradv</w:t>
            </w:r>
            <w:proofErr w:type="spellEnd"/>
            <w:r w:rsidRPr="00883EC9">
              <w:rPr>
                <w:rFonts w:ascii="Times New Roman CE" w:hAnsi="Times New Roman CE" w:cs="Times New Roman CE"/>
                <w:sz w:val="22"/>
                <w:szCs w:val="22"/>
              </w:rPr>
              <w:t>.)</w:t>
            </w:r>
          </w:p>
        </w:tc>
        <w:tc>
          <w:tcPr>
            <w:tcW w:w="1100" w:type="dxa"/>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2"/>
                <w:szCs w:val="22"/>
              </w:rPr>
            </w:pPr>
            <w:r w:rsidRPr="00883EC9">
              <w:rPr>
                <w:rFonts w:ascii="Times New Roman CE" w:hAnsi="Times New Roman CE" w:cs="Times New Roman CE"/>
                <w:sz w:val="22"/>
                <w:szCs w:val="22"/>
              </w:rPr>
              <w:t>22 269</w:t>
            </w:r>
          </w:p>
        </w:tc>
        <w:tc>
          <w:tcPr>
            <w:tcW w:w="1380" w:type="dxa"/>
            <w:gridSpan w:val="4"/>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1"/>
                <w:szCs w:val="21"/>
              </w:rPr>
            </w:pPr>
            <w:r w:rsidRPr="00883EC9">
              <w:rPr>
                <w:rFonts w:ascii="Times New Roman CE" w:hAnsi="Times New Roman CE" w:cs="Times New Roman CE"/>
                <w:sz w:val="21"/>
                <w:szCs w:val="21"/>
              </w:rPr>
              <w:t>43 548</w:t>
            </w:r>
          </w:p>
        </w:tc>
        <w:tc>
          <w:tcPr>
            <w:tcW w:w="1206" w:type="dxa"/>
            <w:gridSpan w:val="2"/>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2"/>
                <w:szCs w:val="22"/>
              </w:rPr>
            </w:pPr>
            <w:r w:rsidRPr="00883EC9">
              <w:rPr>
                <w:rFonts w:ascii="Times New Roman CE" w:hAnsi="Times New Roman CE" w:cs="Times New Roman CE"/>
                <w:sz w:val="22"/>
                <w:szCs w:val="22"/>
              </w:rPr>
              <w:t>22 269</w:t>
            </w:r>
          </w:p>
        </w:tc>
        <w:tc>
          <w:tcPr>
            <w:tcW w:w="1240" w:type="dxa"/>
            <w:gridSpan w:val="3"/>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2"/>
                <w:szCs w:val="22"/>
              </w:rPr>
            </w:pPr>
            <w:r w:rsidRPr="00883EC9">
              <w:rPr>
                <w:rFonts w:ascii="Times New Roman CE" w:hAnsi="Times New Roman CE" w:cs="Times New Roman CE"/>
                <w:sz w:val="22"/>
                <w:szCs w:val="22"/>
              </w:rPr>
              <w:t>0</w:t>
            </w:r>
          </w:p>
        </w:tc>
        <w:tc>
          <w:tcPr>
            <w:tcW w:w="1180" w:type="dxa"/>
            <w:gridSpan w:val="3"/>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2"/>
                <w:szCs w:val="22"/>
              </w:rPr>
            </w:pPr>
            <w:r w:rsidRPr="00883EC9">
              <w:rPr>
                <w:rFonts w:ascii="Times New Roman CE" w:hAnsi="Times New Roman CE" w:cs="Times New Roman CE"/>
                <w:sz w:val="22"/>
                <w:szCs w:val="22"/>
              </w:rPr>
              <w:t>100,0%</w:t>
            </w:r>
          </w:p>
        </w:tc>
      </w:tr>
      <w:tr w:rsidR="00E04B40" w:rsidRPr="00883EC9" w:rsidTr="00FC4DCF">
        <w:tblPrEx>
          <w:tblCellMar>
            <w:left w:w="70" w:type="dxa"/>
            <w:right w:w="70" w:type="dxa"/>
          </w:tblCellMar>
          <w:tblLook w:val="04A0" w:firstRow="1" w:lastRow="0" w:firstColumn="1" w:lastColumn="0" w:noHBand="0" w:noVBand="1"/>
        </w:tblPrEx>
        <w:trPr>
          <w:gridAfter w:val="4"/>
          <w:wAfter w:w="5770" w:type="dxa"/>
          <w:trHeight w:val="315"/>
        </w:trPr>
        <w:tc>
          <w:tcPr>
            <w:tcW w:w="3686" w:type="dxa"/>
            <w:gridSpan w:val="3"/>
            <w:tcBorders>
              <w:top w:val="nil"/>
              <w:left w:val="nil"/>
              <w:bottom w:val="nil"/>
              <w:right w:val="nil"/>
            </w:tcBorders>
            <w:shd w:val="clear" w:color="auto" w:fill="auto"/>
            <w:noWrap/>
            <w:vAlign w:val="bottom"/>
            <w:hideMark/>
          </w:tcPr>
          <w:p w:rsidR="00E04B40" w:rsidRPr="00883EC9" w:rsidRDefault="00FC4DCF" w:rsidP="00FC4DCF">
            <w:pPr>
              <w:rPr>
                <w:rFonts w:ascii="Times New Roman CE" w:hAnsi="Times New Roman CE" w:cs="Times New Roman CE"/>
                <w:sz w:val="22"/>
                <w:szCs w:val="22"/>
              </w:rPr>
            </w:pPr>
            <w:r w:rsidRPr="00883EC9">
              <w:rPr>
                <w:rFonts w:ascii="Times New Roman CE" w:hAnsi="Times New Roman CE" w:cs="Times New Roman CE"/>
                <w:sz w:val="22"/>
                <w:szCs w:val="22"/>
              </w:rPr>
              <w:t>2015. évi e</w:t>
            </w:r>
            <w:r w:rsidR="00E04B40" w:rsidRPr="00883EC9">
              <w:rPr>
                <w:rFonts w:ascii="Times New Roman CE" w:hAnsi="Times New Roman CE" w:cs="Times New Roman CE"/>
                <w:sz w:val="22"/>
                <w:szCs w:val="22"/>
              </w:rPr>
              <w:t>redménytartalék</w:t>
            </w:r>
          </w:p>
        </w:tc>
        <w:tc>
          <w:tcPr>
            <w:tcW w:w="1100" w:type="dxa"/>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2"/>
                <w:szCs w:val="22"/>
              </w:rPr>
            </w:pPr>
            <w:r w:rsidRPr="00883EC9">
              <w:rPr>
                <w:rFonts w:ascii="Times New Roman CE" w:hAnsi="Times New Roman CE" w:cs="Times New Roman CE"/>
                <w:sz w:val="22"/>
                <w:szCs w:val="22"/>
              </w:rPr>
              <w:t>30 000</w:t>
            </w:r>
          </w:p>
        </w:tc>
        <w:tc>
          <w:tcPr>
            <w:tcW w:w="1380" w:type="dxa"/>
            <w:gridSpan w:val="4"/>
            <w:tcBorders>
              <w:top w:val="nil"/>
              <w:left w:val="nil"/>
              <w:bottom w:val="nil"/>
              <w:right w:val="nil"/>
            </w:tcBorders>
            <w:shd w:val="clear" w:color="auto" w:fill="auto"/>
            <w:noWrap/>
            <w:vAlign w:val="bottom"/>
            <w:hideMark/>
          </w:tcPr>
          <w:p w:rsidR="00E04B40" w:rsidRPr="00883EC9" w:rsidRDefault="002E6438" w:rsidP="00E04B40">
            <w:pPr>
              <w:jc w:val="right"/>
              <w:rPr>
                <w:rFonts w:ascii="Times New Roman CE" w:hAnsi="Times New Roman CE" w:cs="Times New Roman CE"/>
                <w:sz w:val="22"/>
                <w:szCs w:val="22"/>
              </w:rPr>
            </w:pPr>
            <w:r w:rsidRPr="00883EC9">
              <w:rPr>
                <w:rFonts w:ascii="Times New Roman CE" w:hAnsi="Times New Roman CE" w:cs="Times New Roman CE"/>
                <w:sz w:val="22"/>
                <w:szCs w:val="22"/>
              </w:rPr>
              <w:t>67 827</w:t>
            </w:r>
          </w:p>
        </w:tc>
        <w:tc>
          <w:tcPr>
            <w:tcW w:w="1206" w:type="dxa"/>
            <w:gridSpan w:val="2"/>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2"/>
                <w:szCs w:val="22"/>
              </w:rPr>
            </w:pPr>
            <w:r w:rsidRPr="00883EC9">
              <w:rPr>
                <w:rFonts w:ascii="Times New Roman CE" w:hAnsi="Times New Roman CE" w:cs="Times New Roman CE"/>
                <w:sz w:val="22"/>
                <w:szCs w:val="22"/>
              </w:rPr>
              <w:t>33 000</w:t>
            </w:r>
          </w:p>
        </w:tc>
        <w:tc>
          <w:tcPr>
            <w:tcW w:w="1240" w:type="dxa"/>
            <w:gridSpan w:val="3"/>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2"/>
                <w:szCs w:val="22"/>
              </w:rPr>
            </w:pPr>
            <w:r w:rsidRPr="00883EC9">
              <w:rPr>
                <w:rFonts w:ascii="Times New Roman CE" w:hAnsi="Times New Roman CE" w:cs="Times New Roman CE"/>
                <w:sz w:val="22"/>
                <w:szCs w:val="22"/>
              </w:rPr>
              <w:t>0</w:t>
            </w:r>
          </w:p>
        </w:tc>
        <w:tc>
          <w:tcPr>
            <w:tcW w:w="1180" w:type="dxa"/>
            <w:gridSpan w:val="3"/>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2"/>
                <w:szCs w:val="22"/>
              </w:rPr>
            </w:pPr>
            <w:r w:rsidRPr="00883EC9">
              <w:rPr>
                <w:rFonts w:ascii="Times New Roman CE" w:hAnsi="Times New Roman CE" w:cs="Times New Roman CE"/>
                <w:sz w:val="22"/>
                <w:szCs w:val="22"/>
              </w:rPr>
              <w:t>110,0%</w:t>
            </w:r>
          </w:p>
        </w:tc>
      </w:tr>
      <w:tr w:rsidR="00E04B40" w:rsidRPr="00883EC9" w:rsidTr="00FC4DCF">
        <w:tblPrEx>
          <w:tblCellMar>
            <w:left w:w="70" w:type="dxa"/>
            <w:right w:w="70" w:type="dxa"/>
          </w:tblCellMar>
          <w:tblLook w:val="04A0" w:firstRow="1" w:lastRow="0" w:firstColumn="1" w:lastColumn="0" w:noHBand="0" w:noVBand="1"/>
        </w:tblPrEx>
        <w:trPr>
          <w:gridAfter w:val="4"/>
          <w:wAfter w:w="5770" w:type="dxa"/>
          <w:trHeight w:val="315"/>
        </w:trPr>
        <w:tc>
          <w:tcPr>
            <w:tcW w:w="3686" w:type="dxa"/>
            <w:gridSpan w:val="3"/>
            <w:tcBorders>
              <w:top w:val="nil"/>
              <w:left w:val="nil"/>
              <w:bottom w:val="nil"/>
              <w:right w:val="nil"/>
            </w:tcBorders>
            <w:shd w:val="clear" w:color="auto" w:fill="auto"/>
            <w:noWrap/>
            <w:vAlign w:val="bottom"/>
            <w:hideMark/>
          </w:tcPr>
          <w:p w:rsidR="00E04B40" w:rsidRPr="00883EC9" w:rsidRDefault="00E04B40" w:rsidP="00E04B40">
            <w:pPr>
              <w:rPr>
                <w:rFonts w:ascii="Times New Roman CE" w:hAnsi="Times New Roman CE" w:cs="Times New Roman CE"/>
                <w:sz w:val="22"/>
                <w:szCs w:val="22"/>
              </w:rPr>
            </w:pPr>
            <w:r w:rsidRPr="00883EC9">
              <w:rPr>
                <w:rFonts w:ascii="Times New Roman CE" w:hAnsi="Times New Roman CE" w:cs="Times New Roman CE"/>
                <w:sz w:val="22"/>
                <w:szCs w:val="22"/>
              </w:rPr>
              <w:t>Közműfejlesztési hozzájárulás</w:t>
            </w:r>
          </w:p>
        </w:tc>
        <w:tc>
          <w:tcPr>
            <w:tcW w:w="1100" w:type="dxa"/>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2"/>
                <w:szCs w:val="22"/>
              </w:rPr>
            </w:pPr>
            <w:r w:rsidRPr="00883EC9">
              <w:rPr>
                <w:rFonts w:ascii="Times New Roman CE" w:hAnsi="Times New Roman CE" w:cs="Times New Roman CE"/>
                <w:sz w:val="22"/>
                <w:szCs w:val="22"/>
              </w:rPr>
              <w:t>9 000</w:t>
            </w:r>
          </w:p>
        </w:tc>
        <w:tc>
          <w:tcPr>
            <w:tcW w:w="1380" w:type="dxa"/>
            <w:gridSpan w:val="4"/>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2"/>
                <w:szCs w:val="22"/>
              </w:rPr>
            </w:pPr>
            <w:r w:rsidRPr="00883EC9">
              <w:rPr>
                <w:rFonts w:ascii="Times New Roman CE" w:hAnsi="Times New Roman CE" w:cs="Times New Roman CE"/>
                <w:sz w:val="22"/>
                <w:szCs w:val="22"/>
              </w:rPr>
              <w:t>199 848</w:t>
            </w:r>
          </w:p>
        </w:tc>
        <w:tc>
          <w:tcPr>
            <w:tcW w:w="1206" w:type="dxa"/>
            <w:gridSpan w:val="2"/>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2"/>
                <w:szCs w:val="22"/>
              </w:rPr>
            </w:pPr>
            <w:r w:rsidRPr="00883EC9">
              <w:rPr>
                <w:rFonts w:ascii="Times New Roman CE" w:hAnsi="Times New Roman CE" w:cs="Times New Roman CE"/>
                <w:sz w:val="22"/>
                <w:szCs w:val="22"/>
              </w:rPr>
              <w:t>1 552</w:t>
            </w:r>
          </w:p>
        </w:tc>
        <w:tc>
          <w:tcPr>
            <w:tcW w:w="1240" w:type="dxa"/>
            <w:gridSpan w:val="3"/>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2"/>
                <w:szCs w:val="22"/>
              </w:rPr>
            </w:pPr>
            <w:r w:rsidRPr="00883EC9">
              <w:rPr>
                <w:rFonts w:ascii="Times New Roman CE" w:hAnsi="Times New Roman CE" w:cs="Times New Roman CE"/>
                <w:sz w:val="22"/>
                <w:szCs w:val="22"/>
              </w:rPr>
              <w:t>303</w:t>
            </w:r>
          </w:p>
        </w:tc>
        <w:tc>
          <w:tcPr>
            <w:tcW w:w="1180" w:type="dxa"/>
            <w:gridSpan w:val="3"/>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sz w:val="22"/>
                <w:szCs w:val="22"/>
              </w:rPr>
            </w:pPr>
            <w:r w:rsidRPr="00883EC9">
              <w:rPr>
                <w:rFonts w:ascii="Times New Roman CE" w:hAnsi="Times New Roman CE" w:cs="Times New Roman CE"/>
                <w:sz w:val="22"/>
                <w:szCs w:val="22"/>
              </w:rPr>
              <w:t>17,2%</w:t>
            </w:r>
          </w:p>
        </w:tc>
      </w:tr>
      <w:tr w:rsidR="00E04B40" w:rsidRPr="00883EC9" w:rsidTr="00FC4DCF">
        <w:tblPrEx>
          <w:tblCellMar>
            <w:left w:w="70" w:type="dxa"/>
            <w:right w:w="70" w:type="dxa"/>
          </w:tblCellMar>
          <w:tblLook w:val="04A0" w:firstRow="1" w:lastRow="0" w:firstColumn="1" w:lastColumn="0" w:noHBand="0" w:noVBand="1"/>
        </w:tblPrEx>
        <w:trPr>
          <w:gridAfter w:val="4"/>
          <w:wAfter w:w="5770" w:type="dxa"/>
          <w:trHeight w:val="184"/>
        </w:trPr>
        <w:tc>
          <w:tcPr>
            <w:tcW w:w="3686" w:type="dxa"/>
            <w:gridSpan w:val="3"/>
            <w:tcBorders>
              <w:top w:val="nil"/>
              <w:left w:val="nil"/>
              <w:bottom w:val="nil"/>
              <w:right w:val="nil"/>
            </w:tcBorders>
            <w:shd w:val="clear" w:color="auto" w:fill="auto"/>
            <w:noWrap/>
            <w:vAlign w:val="bottom"/>
            <w:hideMark/>
          </w:tcPr>
          <w:p w:rsidR="00E04B40" w:rsidRPr="00883EC9" w:rsidRDefault="00E04B40" w:rsidP="00E04B40">
            <w:pPr>
              <w:rPr>
                <w:rFonts w:ascii="Times New Roman CE" w:hAnsi="Times New Roman CE" w:cs="Times New Roman CE"/>
              </w:rPr>
            </w:pPr>
            <w:r w:rsidRPr="00883EC9">
              <w:rPr>
                <w:rFonts w:ascii="Times New Roman CE" w:hAnsi="Times New Roman CE" w:cs="Times New Roman CE"/>
              </w:rPr>
              <w:t xml:space="preserve">  ebből: előző évekről</w:t>
            </w:r>
          </w:p>
        </w:tc>
        <w:tc>
          <w:tcPr>
            <w:tcW w:w="1100" w:type="dxa"/>
            <w:tcBorders>
              <w:top w:val="nil"/>
              <w:left w:val="nil"/>
              <w:bottom w:val="nil"/>
              <w:right w:val="nil"/>
            </w:tcBorders>
            <w:shd w:val="clear" w:color="auto" w:fill="auto"/>
            <w:noWrap/>
            <w:vAlign w:val="bottom"/>
            <w:hideMark/>
          </w:tcPr>
          <w:p w:rsidR="00E04B40" w:rsidRPr="00883EC9" w:rsidRDefault="00E04B40" w:rsidP="00E04B40">
            <w:pPr>
              <w:rPr>
                <w:rFonts w:ascii="Times New Roman CE" w:hAnsi="Times New Roman CE" w:cs="Times New Roman CE"/>
              </w:rPr>
            </w:pPr>
          </w:p>
        </w:tc>
        <w:tc>
          <w:tcPr>
            <w:tcW w:w="1380" w:type="dxa"/>
            <w:gridSpan w:val="4"/>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rPr>
            </w:pPr>
            <w:r w:rsidRPr="00883EC9">
              <w:rPr>
                <w:rFonts w:ascii="Times New Roman CE" w:hAnsi="Times New Roman CE" w:cs="Times New Roman CE"/>
              </w:rPr>
              <w:t>194 781</w:t>
            </w:r>
          </w:p>
        </w:tc>
        <w:tc>
          <w:tcPr>
            <w:tcW w:w="1206" w:type="dxa"/>
            <w:gridSpan w:val="2"/>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rPr>
            </w:pPr>
          </w:p>
        </w:tc>
        <w:tc>
          <w:tcPr>
            <w:tcW w:w="1240" w:type="dxa"/>
            <w:gridSpan w:val="3"/>
            <w:tcBorders>
              <w:top w:val="nil"/>
              <w:left w:val="nil"/>
              <w:bottom w:val="nil"/>
              <w:right w:val="nil"/>
            </w:tcBorders>
            <w:shd w:val="clear" w:color="auto" w:fill="auto"/>
            <w:noWrap/>
            <w:vAlign w:val="bottom"/>
            <w:hideMark/>
          </w:tcPr>
          <w:p w:rsidR="00E04B40" w:rsidRPr="00883EC9" w:rsidRDefault="00E04B40" w:rsidP="00E04B40"/>
        </w:tc>
        <w:tc>
          <w:tcPr>
            <w:tcW w:w="1180" w:type="dxa"/>
            <w:gridSpan w:val="3"/>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rPr>
            </w:pPr>
            <w:r w:rsidRPr="00883EC9">
              <w:rPr>
                <w:rFonts w:ascii="Times New Roman CE" w:hAnsi="Times New Roman CE" w:cs="Times New Roman CE"/>
              </w:rPr>
              <w:t xml:space="preserve"> </w:t>
            </w:r>
          </w:p>
        </w:tc>
      </w:tr>
      <w:tr w:rsidR="00E04B40" w:rsidRPr="00883EC9" w:rsidTr="00FC4DCF">
        <w:tblPrEx>
          <w:tblCellMar>
            <w:left w:w="70" w:type="dxa"/>
            <w:right w:w="70" w:type="dxa"/>
          </w:tblCellMar>
          <w:tblLook w:val="04A0" w:firstRow="1" w:lastRow="0" w:firstColumn="1" w:lastColumn="0" w:noHBand="0" w:noVBand="1"/>
        </w:tblPrEx>
        <w:trPr>
          <w:gridAfter w:val="4"/>
          <w:wAfter w:w="5770" w:type="dxa"/>
          <w:trHeight w:val="229"/>
        </w:trPr>
        <w:tc>
          <w:tcPr>
            <w:tcW w:w="3686" w:type="dxa"/>
            <w:gridSpan w:val="3"/>
            <w:tcBorders>
              <w:top w:val="nil"/>
              <w:left w:val="nil"/>
              <w:bottom w:val="nil"/>
              <w:right w:val="nil"/>
            </w:tcBorders>
            <w:shd w:val="clear" w:color="auto" w:fill="auto"/>
            <w:noWrap/>
            <w:vAlign w:val="bottom"/>
            <w:hideMark/>
          </w:tcPr>
          <w:p w:rsidR="00E04B40" w:rsidRPr="00883EC9" w:rsidRDefault="00E04B40" w:rsidP="00E04B40">
            <w:pPr>
              <w:rPr>
                <w:rFonts w:ascii="Times New Roman CE" w:hAnsi="Times New Roman CE" w:cs="Times New Roman CE"/>
              </w:rPr>
            </w:pPr>
            <w:r w:rsidRPr="00883EC9">
              <w:rPr>
                <w:rFonts w:ascii="Times New Roman CE" w:hAnsi="Times New Roman CE" w:cs="Times New Roman CE"/>
              </w:rPr>
              <w:t xml:space="preserve">              2017. év</w:t>
            </w:r>
          </w:p>
        </w:tc>
        <w:tc>
          <w:tcPr>
            <w:tcW w:w="1100" w:type="dxa"/>
            <w:tcBorders>
              <w:top w:val="nil"/>
              <w:left w:val="nil"/>
              <w:bottom w:val="nil"/>
              <w:right w:val="nil"/>
            </w:tcBorders>
            <w:shd w:val="clear" w:color="auto" w:fill="auto"/>
            <w:noWrap/>
            <w:vAlign w:val="bottom"/>
            <w:hideMark/>
          </w:tcPr>
          <w:p w:rsidR="00E04B40" w:rsidRPr="00883EC9" w:rsidRDefault="00E04B40" w:rsidP="00E04B40">
            <w:pPr>
              <w:rPr>
                <w:rFonts w:ascii="Times New Roman CE" w:hAnsi="Times New Roman CE" w:cs="Times New Roman CE"/>
              </w:rPr>
            </w:pPr>
          </w:p>
        </w:tc>
        <w:tc>
          <w:tcPr>
            <w:tcW w:w="1380" w:type="dxa"/>
            <w:gridSpan w:val="4"/>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rPr>
            </w:pPr>
            <w:r w:rsidRPr="00883EC9">
              <w:rPr>
                <w:rFonts w:ascii="Times New Roman CE" w:hAnsi="Times New Roman CE" w:cs="Times New Roman CE"/>
              </w:rPr>
              <w:t>5 067</w:t>
            </w:r>
          </w:p>
        </w:tc>
        <w:tc>
          <w:tcPr>
            <w:tcW w:w="1206" w:type="dxa"/>
            <w:gridSpan w:val="2"/>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rPr>
            </w:pPr>
          </w:p>
        </w:tc>
        <w:tc>
          <w:tcPr>
            <w:tcW w:w="1240" w:type="dxa"/>
            <w:gridSpan w:val="3"/>
            <w:tcBorders>
              <w:top w:val="nil"/>
              <w:left w:val="nil"/>
              <w:bottom w:val="nil"/>
              <w:right w:val="nil"/>
            </w:tcBorders>
            <w:shd w:val="clear" w:color="auto" w:fill="auto"/>
            <w:noWrap/>
            <w:vAlign w:val="bottom"/>
            <w:hideMark/>
          </w:tcPr>
          <w:p w:rsidR="00E04B40" w:rsidRPr="00883EC9" w:rsidRDefault="00E04B40" w:rsidP="00E04B40"/>
        </w:tc>
        <w:tc>
          <w:tcPr>
            <w:tcW w:w="1180" w:type="dxa"/>
            <w:gridSpan w:val="3"/>
            <w:tcBorders>
              <w:top w:val="nil"/>
              <w:left w:val="nil"/>
              <w:bottom w:val="nil"/>
              <w:right w:val="nil"/>
            </w:tcBorders>
            <w:shd w:val="clear" w:color="auto" w:fill="auto"/>
            <w:noWrap/>
            <w:vAlign w:val="bottom"/>
            <w:hideMark/>
          </w:tcPr>
          <w:p w:rsidR="00E04B40" w:rsidRPr="00883EC9" w:rsidRDefault="00E04B40" w:rsidP="00E04B40">
            <w:pPr>
              <w:jc w:val="right"/>
              <w:rPr>
                <w:rFonts w:ascii="Times New Roman CE" w:hAnsi="Times New Roman CE" w:cs="Times New Roman CE"/>
              </w:rPr>
            </w:pPr>
            <w:r w:rsidRPr="00883EC9">
              <w:rPr>
                <w:rFonts w:ascii="Times New Roman CE" w:hAnsi="Times New Roman CE" w:cs="Times New Roman CE"/>
              </w:rPr>
              <w:t xml:space="preserve"> </w:t>
            </w:r>
          </w:p>
        </w:tc>
      </w:tr>
      <w:tr w:rsidR="00E04B40" w:rsidRPr="00883EC9" w:rsidTr="00FC4DCF">
        <w:tblPrEx>
          <w:tblCellMar>
            <w:left w:w="70" w:type="dxa"/>
            <w:right w:w="70" w:type="dxa"/>
          </w:tblCellMar>
          <w:tblLook w:val="04A0" w:firstRow="1" w:lastRow="0" w:firstColumn="1" w:lastColumn="0" w:noHBand="0" w:noVBand="1"/>
        </w:tblPrEx>
        <w:trPr>
          <w:trHeight w:val="660"/>
        </w:trPr>
        <w:tc>
          <w:tcPr>
            <w:tcW w:w="14377" w:type="dxa"/>
            <w:gridSpan w:val="19"/>
            <w:tcBorders>
              <w:top w:val="nil"/>
              <w:left w:val="nil"/>
              <w:bottom w:val="nil"/>
              <w:right w:val="nil"/>
            </w:tcBorders>
            <w:shd w:val="clear" w:color="auto" w:fill="auto"/>
            <w:vAlign w:val="bottom"/>
            <w:hideMark/>
          </w:tcPr>
          <w:p w:rsidR="00E04B40" w:rsidRPr="00883EC9" w:rsidRDefault="00E04B40" w:rsidP="00820ED3">
            <w:pPr>
              <w:rPr>
                <w:rFonts w:ascii="Times New Roman CE" w:hAnsi="Times New Roman CE" w:cs="Times New Roman CE"/>
              </w:rPr>
            </w:pPr>
            <w:r w:rsidRPr="00883EC9">
              <w:rPr>
                <w:rFonts w:ascii="Times New Roman CE" w:hAnsi="Times New Roman CE" w:cs="Times New Roman CE"/>
              </w:rPr>
              <w:t xml:space="preserve">* 2017. évre áthúzódó 194,3 </w:t>
            </w:r>
            <w:proofErr w:type="spellStart"/>
            <w:r w:rsidR="00820ED3">
              <w:rPr>
                <w:rFonts w:ascii="Times New Roman CE" w:hAnsi="Times New Roman CE" w:cs="Times New Roman CE"/>
              </w:rPr>
              <w:t>m</w:t>
            </w:r>
            <w:r w:rsidRPr="00883EC9">
              <w:rPr>
                <w:rFonts w:ascii="Times New Roman CE" w:hAnsi="Times New Roman CE" w:cs="Times New Roman CE"/>
              </w:rPr>
              <w:t>Ft-ot</w:t>
            </w:r>
            <w:proofErr w:type="spellEnd"/>
            <w:r w:rsidRPr="00883EC9">
              <w:rPr>
                <w:rFonts w:ascii="Times New Roman CE" w:hAnsi="Times New Roman CE" w:cs="Times New Roman CE"/>
              </w:rPr>
              <w:t xml:space="preserve"> is tartalmazza</w:t>
            </w:r>
            <w:r w:rsidRPr="00883EC9">
              <w:rPr>
                <w:rFonts w:ascii="Times New Roman CE" w:hAnsi="Times New Roman CE" w:cs="Times New Roman CE"/>
              </w:rPr>
              <w:br/>
              <w:t xml:space="preserve">(amortizációs forrásból 171 </w:t>
            </w:r>
            <w:proofErr w:type="spellStart"/>
            <w:r w:rsidR="00820ED3">
              <w:rPr>
                <w:rFonts w:ascii="Times New Roman CE" w:hAnsi="Times New Roman CE" w:cs="Times New Roman CE"/>
              </w:rPr>
              <w:t>m</w:t>
            </w:r>
            <w:r w:rsidRPr="00883EC9">
              <w:rPr>
                <w:rFonts w:ascii="Times New Roman CE" w:hAnsi="Times New Roman CE" w:cs="Times New Roman CE"/>
              </w:rPr>
              <w:t>Ft</w:t>
            </w:r>
            <w:proofErr w:type="spellEnd"/>
            <w:r w:rsidRPr="00883EC9">
              <w:rPr>
                <w:rFonts w:ascii="Times New Roman CE" w:hAnsi="Times New Roman CE" w:cs="Times New Roman CE"/>
              </w:rPr>
              <w:t xml:space="preserve">, fejlesztési támogatásból 22,3 </w:t>
            </w:r>
            <w:proofErr w:type="spellStart"/>
            <w:r w:rsidR="00820ED3">
              <w:rPr>
                <w:rFonts w:ascii="Times New Roman CE" w:hAnsi="Times New Roman CE" w:cs="Times New Roman CE"/>
              </w:rPr>
              <w:t>m</w:t>
            </w:r>
            <w:r w:rsidRPr="00883EC9">
              <w:rPr>
                <w:rFonts w:ascii="Times New Roman CE" w:hAnsi="Times New Roman CE" w:cs="Times New Roman CE"/>
              </w:rPr>
              <w:t>Ft</w:t>
            </w:r>
            <w:proofErr w:type="spellEnd"/>
            <w:r w:rsidRPr="00883EC9">
              <w:rPr>
                <w:rFonts w:ascii="Times New Roman CE" w:hAnsi="Times New Roman CE" w:cs="Times New Roman CE"/>
              </w:rPr>
              <w:t>, közműfejlesztésből 1</w:t>
            </w:r>
            <w:r w:rsidR="00820ED3">
              <w:rPr>
                <w:rFonts w:ascii="Times New Roman CE" w:hAnsi="Times New Roman CE" w:cs="Times New Roman CE"/>
              </w:rPr>
              <w:t xml:space="preserve"> </w:t>
            </w:r>
            <w:proofErr w:type="spellStart"/>
            <w:r w:rsidR="00820ED3">
              <w:rPr>
                <w:rFonts w:ascii="Times New Roman CE" w:hAnsi="Times New Roman CE" w:cs="Times New Roman CE"/>
              </w:rPr>
              <w:t>m</w:t>
            </w:r>
            <w:r w:rsidRPr="00883EC9">
              <w:rPr>
                <w:rFonts w:ascii="Times New Roman CE" w:hAnsi="Times New Roman CE" w:cs="Times New Roman CE"/>
              </w:rPr>
              <w:t>Ft</w:t>
            </w:r>
            <w:proofErr w:type="spellEnd"/>
            <w:r w:rsidRPr="00883EC9">
              <w:rPr>
                <w:rFonts w:ascii="Times New Roman CE" w:hAnsi="Times New Roman CE" w:cs="Times New Roman CE"/>
              </w:rPr>
              <w:t>)</w:t>
            </w:r>
          </w:p>
        </w:tc>
        <w:tc>
          <w:tcPr>
            <w:tcW w:w="1185" w:type="dxa"/>
            <w:tcBorders>
              <w:top w:val="nil"/>
              <w:left w:val="nil"/>
              <w:bottom w:val="nil"/>
              <w:right w:val="nil"/>
            </w:tcBorders>
            <w:shd w:val="clear" w:color="auto" w:fill="auto"/>
            <w:vAlign w:val="bottom"/>
            <w:hideMark/>
          </w:tcPr>
          <w:p w:rsidR="00E04B40" w:rsidRPr="00883EC9" w:rsidRDefault="00E04B40" w:rsidP="00E04B40">
            <w:pPr>
              <w:rPr>
                <w:rFonts w:ascii="Times New Roman CE" w:hAnsi="Times New Roman CE" w:cs="Times New Roman CE"/>
              </w:rPr>
            </w:pPr>
          </w:p>
        </w:tc>
      </w:tr>
    </w:tbl>
    <w:p w:rsidR="00BE78D6" w:rsidRPr="00883EC9" w:rsidRDefault="00E80DC1">
      <w:pPr>
        <w:pStyle w:val="xl41"/>
        <w:pBdr>
          <w:top w:val="none" w:sz="0" w:space="0" w:color="auto"/>
          <w:bottom w:val="none" w:sz="0" w:space="0" w:color="auto"/>
        </w:pBdr>
        <w:spacing w:before="0" w:beforeAutospacing="0" w:after="0" w:afterAutospacing="0"/>
        <w:rPr>
          <w:b w:val="0"/>
          <w:bCs w:val="0"/>
          <w:i w:val="0"/>
          <w:iCs w:val="0"/>
          <w:sz w:val="20"/>
          <w:szCs w:val="20"/>
        </w:rPr>
      </w:pPr>
      <w:r w:rsidRPr="00883EC9">
        <w:rPr>
          <w:b w:val="0"/>
          <w:bCs w:val="0"/>
          <w:i w:val="0"/>
          <w:iCs w:val="0"/>
          <w:sz w:val="20"/>
          <w:szCs w:val="20"/>
        </w:rPr>
        <w:br w:type="page"/>
      </w:r>
    </w:p>
    <w:p w:rsidR="00883EC9" w:rsidRDefault="00883EC9" w:rsidP="00DF270C">
      <w:pPr>
        <w:pStyle w:val="Cmsor2"/>
        <w:rPr>
          <w:b/>
          <w:i/>
          <w:color w:val="auto"/>
        </w:rPr>
      </w:pPr>
    </w:p>
    <w:p w:rsidR="00E4030D" w:rsidRPr="00E4030D" w:rsidRDefault="00E4030D" w:rsidP="00E4030D"/>
    <w:p w:rsidR="00E8097E" w:rsidRPr="00E42BAA" w:rsidRDefault="00E8097E" w:rsidP="00DF270C">
      <w:pPr>
        <w:pStyle w:val="Cmsor2"/>
        <w:rPr>
          <w:i/>
          <w:color w:val="auto"/>
        </w:rPr>
      </w:pPr>
      <w:bookmarkStart w:id="16" w:name="_Toc489278850"/>
      <w:r w:rsidRPr="00E42BAA">
        <w:rPr>
          <w:i/>
          <w:color w:val="auto"/>
        </w:rPr>
        <w:t>A különböző forrásokból megvalósított beruházások megoszlása tevékenységekre</w:t>
      </w:r>
      <w:bookmarkEnd w:id="16"/>
    </w:p>
    <w:tbl>
      <w:tblPr>
        <w:tblW w:w="9776" w:type="dxa"/>
        <w:tblLayout w:type="fixed"/>
        <w:tblCellMar>
          <w:left w:w="70" w:type="dxa"/>
          <w:right w:w="70" w:type="dxa"/>
        </w:tblCellMar>
        <w:tblLook w:val="04A0" w:firstRow="1" w:lastRow="0" w:firstColumn="1" w:lastColumn="0" w:noHBand="0" w:noVBand="1"/>
      </w:tblPr>
      <w:tblGrid>
        <w:gridCol w:w="3828"/>
        <w:gridCol w:w="141"/>
        <w:gridCol w:w="211"/>
        <w:gridCol w:w="641"/>
        <w:gridCol w:w="619"/>
        <w:gridCol w:w="515"/>
        <w:gridCol w:w="284"/>
        <w:gridCol w:w="702"/>
        <w:gridCol w:w="75"/>
        <w:gridCol w:w="992"/>
        <w:gridCol w:w="142"/>
        <w:gridCol w:w="31"/>
        <w:gridCol w:w="135"/>
        <w:gridCol w:w="1110"/>
        <w:gridCol w:w="215"/>
        <w:gridCol w:w="135"/>
      </w:tblGrid>
      <w:tr w:rsidR="00075DB3" w:rsidRPr="00883EC9" w:rsidTr="00923C6C">
        <w:trPr>
          <w:gridAfter w:val="1"/>
          <w:wAfter w:w="135" w:type="dxa"/>
          <w:trHeight w:val="80"/>
        </w:trPr>
        <w:tc>
          <w:tcPr>
            <w:tcW w:w="4180" w:type="dxa"/>
            <w:gridSpan w:val="3"/>
            <w:tcBorders>
              <w:top w:val="nil"/>
              <w:left w:val="nil"/>
              <w:bottom w:val="single" w:sz="4" w:space="0" w:color="auto"/>
              <w:right w:val="nil"/>
            </w:tcBorders>
            <w:shd w:val="clear" w:color="auto" w:fill="auto"/>
            <w:noWrap/>
            <w:vAlign w:val="bottom"/>
            <w:hideMark/>
          </w:tcPr>
          <w:p w:rsidR="00075DB3" w:rsidRPr="00883EC9" w:rsidRDefault="00075DB3" w:rsidP="00075DB3">
            <w:pPr>
              <w:rPr>
                <w:sz w:val="22"/>
                <w:szCs w:val="22"/>
              </w:rPr>
            </w:pPr>
            <w:r w:rsidRPr="00883EC9">
              <w:rPr>
                <w:sz w:val="22"/>
                <w:szCs w:val="22"/>
              </w:rPr>
              <w:t> </w:t>
            </w:r>
          </w:p>
        </w:tc>
        <w:tc>
          <w:tcPr>
            <w:tcW w:w="1260" w:type="dxa"/>
            <w:gridSpan w:val="2"/>
            <w:tcBorders>
              <w:top w:val="nil"/>
              <w:left w:val="nil"/>
              <w:bottom w:val="single" w:sz="4" w:space="0" w:color="auto"/>
              <w:right w:val="nil"/>
            </w:tcBorders>
            <w:shd w:val="clear" w:color="auto" w:fill="auto"/>
            <w:noWrap/>
            <w:vAlign w:val="center"/>
            <w:hideMark/>
          </w:tcPr>
          <w:p w:rsidR="00075DB3" w:rsidRPr="00883EC9" w:rsidRDefault="00075DB3" w:rsidP="00075DB3">
            <w:pPr>
              <w:rPr>
                <w:sz w:val="22"/>
                <w:szCs w:val="22"/>
              </w:rPr>
            </w:pPr>
            <w:r w:rsidRPr="00883EC9">
              <w:rPr>
                <w:sz w:val="22"/>
                <w:szCs w:val="22"/>
              </w:rPr>
              <w:t> </w:t>
            </w:r>
          </w:p>
        </w:tc>
        <w:tc>
          <w:tcPr>
            <w:tcW w:w="1501" w:type="dxa"/>
            <w:gridSpan w:val="3"/>
            <w:tcBorders>
              <w:top w:val="nil"/>
              <w:left w:val="nil"/>
              <w:bottom w:val="single" w:sz="4" w:space="0" w:color="auto"/>
              <w:right w:val="nil"/>
            </w:tcBorders>
            <w:shd w:val="clear" w:color="auto" w:fill="auto"/>
            <w:noWrap/>
            <w:vAlign w:val="center"/>
            <w:hideMark/>
          </w:tcPr>
          <w:p w:rsidR="00075DB3" w:rsidRPr="00883EC9" w:rsidRDefault="00075DB3" w:rsidP="00075DB3">
            <w:pPr>
              <w:rPr>
                <w:sz w:val="22"/>
                <w:szCs w:val="22"/>
              </w:rPr>
            </w:pPr>
            <w:r w:rsidRPr="00883EC9">
              <w:rPr>
                <w:sz w:val="22"/>
                <w:szCs w:val="22"/>
              </w:rPr>
              <w:t> </w:t>
            </w:r>
          </w:p>
        </w:tc>
        <w:tc>
          <w:tcPr>
            <w:tcW w:w="1067" w:type="dxa"/>
            <w:gridSpan w:val="2"/>
            <w:tcBorders>
              <w:top w:val="nil"/>
              <w:left w:val="nil"/>
              <w:bottom w:val="single" w:sz="4" w:space="0" w:color="auto"/>
              <w:right w:val="nil"/>
            </w:tcBorders>
            <w:shd w:val="clear" w:color="auto" w:fill="auto"/>
            <w:noWrap/>
            <w:vAlign w:val="center"/>
            <w:hideMark/>
          </w:tcPr>
          <w:p w:rsidR="00075DB3" w:rsidRPr="00883EC9" w:rsidRDefault="00075DB3" w:rsidP="00075DB3">
            <w:pPr>
              <w:rPr>
                <w:sz w:val="22"/>
                <w:szCs w:val="22"/>
              </w:rPr>
            </w:pPr>
            <w:r w:rsidRPr="00883EC9">
              <w:rPr>
                <w:sz w:val="22"/>
                <w:szCs w:val="22"/>
              </w:rPr>
              <w:t> </w:t>
            </w:r>
          </w:p>
        </w:tc>
        <w:tc>
          <w:tcPr>
            <w:tcW w:w="173" w:type="dxa"/>
            <w:gridSpan w:val="2"/>
            <w:tcBorders>
              <w:top w:val="nil"/>
              <w:left w:val="nil"/>
              <w:bottom w:val="single" w:sz="4" w:space="0" w:color="auto"/>
              <w:right w:val="nil"/>
            </w:tcBorders>
            <w:shd w:val="clear" w:color="auto" w:fill="auto"/>
            <w:noWrap/>
            <w:vAlign w:val="center"/>
            <w:hideMark/>
          </w:tcPr>
          <w:p w:rsidR="00075DB3" w:rsidRPr="00883EC9" w:rsidRDefault="00075DB3" w:rsidP="00075DB3">
            <w:pPr>
              <w:rPr>
                <w:sz w:val="22"/>
                <w:szCs w:val="22"/>
              </w:rPr>
            </w:pPr>
            <w:r w:rsidRPr="00883EC9">
              <w:rPr>
                <w:sz w:val="22"/>
                <w:szCs w:val="22"/>
              </w:rPr>
              <w:t> </w:t>
            </w:r>
          </w:p>
        </w:tc>
        <w:tc>
          <w:tcPr>
            <w:tcW w:w="1460" w:type="dxa"/>
            <w:gridSpan w:val="3"/>
            <w:tcBorders>
              <w:top w:val="nil"/>
              <w:left w:val="nil"/>
              <w:bottom w:val="single" w:sz="4" w:space="0" w:color="auto"/>
              <w:right w:val="nil"/>
            </w:tcBorders>
            <w:shd w:val="clear" w:color="auto" w:fill="auto"/>
            <w:noWrap/>
            <w:vAlign w:val="center"/>
            <w:hideMark/>
          </w:tcPr>
          <w:p w:rsidR="00075DB3" w:rsidRPr="00883EC9" w:rsidRDefault="00075DB3" w:rsidP="00075DB3">
            <w:pPr>
              <w:jc w:val="right"/>
              <w:rPr>
                <w:sz w:val="22"/>
                <w:szCs w:val="22"/>
              </w:rPr>
            </w:pPr>
            <w:r w:rsidRPr="00883EC9">
              <w:rPr>
                <w:sz w:val="22"/>
                <w:szCs w:val="22"/>
              </w:rPr>
              <w:t xml:space="preserve"> e Ft </w:t>
            </w:r>
          </w:p>
        </w:tc>
      </w:tr>
      <w:tr w:rsidR="00075DB3" w:rsidRPr="00883EC9" w:rsidTr="0044104D">
        <w:trPr>
          <w:trHeight w:val="615"/>
        </w:trPr>
        <w:tc>
          <w:tcPr>
            <w:tcW w:w="3828" w:type="dxa"/>
            <w:tcBorders>
              <w:top w:val="nil"/>
              <w:left w:val="nil"/>
              <w:bottom w:val="single" w:sz="4" w:space="0" w:color="auto"/>
              <w:right w:val="nil"/>
            </w:tcBorders>
            <w:shd w:val="clear" w:color="auto" w:fill="auto"/>
            <w:vAlign w:val="center"/>
            <w:hideMark/>
          </w:tcPr>
          <w:p w:rsidR="00075DB3" w:rsidRPr="00883EC9" w:rsidRDefault="00075DB3" w:rsidP="00075DB3">
            <w:pPr>
              <w:rPr>
                <w:i/>
                <w:iCs/>
                <w:sz w:val="21"/>
                <w:szCs w:val="21"/>
              </w:rPr>
            </w:pPr>
            <w:r w:rsidRPr="00883EC9">
              <w:rPr>
                <w:i/>
                <w:iCs/>
                <w:sz w:val="21"/>
                <w:szCs w:val="21"/>
              </w:rPr>
              <w:t>Fejlesztési forrás</w:t>
            </w:r>
          </w:p>
        </w:tc>
        <w:tc>
          <w:tcPr>
            <w:tcW w:w="993" w:type="dxa"/>
            <w:gridSpan w:val="3"/>
            <w:tcBorders>
              <w:top w:val="nil"/>
              <w:left w:val="nil"/>
              <w:bottom w:val="single" w:sz="4" w:space="0" w:color="auto"/>
              <w:right w:val="nil"/>
            </w:tcBorders>
            <w:shd w:val="clear" w:color="auto" w:fill="auto"/>
            <w:vAlign w:val="center"/>
            <w:hideMark/>
          </w:tcPr>
          <w:p w:rsidR="00075DB3" w:rsidRPr="00883EC9" w:rsidRDefault="00075DB3" w:rsidP="00075DB3">
            <w:pPr>
              <w:jc w:val="center"/>
              <w:rPr>
                <w:i/>
                <w:iCs/>
                <w:sz w:val="21"/>
                <w:szCs w:val="21"/>
              </w:rPr>
            </w:pPr>
            <w:r w:rsidRPr="00883EC9">
              <w:rPr>
                <w:i/>
                <w:iCs/>
                <w:sz w:val="21"/>
                <w:szCs w:val="21"/>
              </w:rPr>
              <w:t>Vízellátás</w:t>
            </w:r>
          </w:p>
        </w:tc>
        <w:tc>
          <w:tcPr>
            <w:tcW w:w="1418" w:type="dxa"/>
            <w:gridSpan w:val="3"/>
            <w:tcBorders>
              <w:top w:val="nil"/>
              <w:left w:val="nil"/>
              <w:bottom w:val="single" w:sz="4" w:space="0" w:color="auto"/>
              <w:right w:val="nil"/>
            </w:tcBorders>
            <w:shd w:val="clear" w:color="auto" w:fill="auto"/>
            <w:vAlign w:val="center"/>
            <w:hideMark/>
          </w:tcPr>
          <w:p w:rsidR="00075DB3" w:rsidRPr="00883EC9" w:rsidRDefault="00075DB3" w:rsidP="00075DB3">
            <w:pPr>
              <w:jc w:val="center"/>
              <w:rPr>
                <w:i/>
                <w:iCs/>
                <w:sz w:val="21"/>
                <w:szCs w:val="21"/>
              </w:rPr>
            </w:pPr>
            <w:r w:rsidRPr="00883EC9">
              <w:rPr>
                <w:i/>
                <w:iCs/>
                <w:sz w:val="21"/>
                <w:szCs w:val="21"/>
              </w:rPr>
              <w:t>Szennyvízelv.,</w:t>
            </w:r>
            <w:r w:rsidRPr="00883EC9">
              <w:rPr>
                <w:i/>
                <w:iCs/>
                <w:sz w:val="21"/>
                <w:szCs w:val="21"/>
              </w:rPr>
              <w:br/>
            </w:r>
            <w:proofErr w:type="spellStart"/>
            <w:r w:rsidRPr="00883EC9">
              <w:rPr>
                <w:i/>
                <w:iCs/>
                <w:sz w:val="21"/>
                <w:szCs w:val="21"/>
              </w:rPr>
              <w:t>-tisztítás</w:t>
            </w:r>
            <w:proofErr w:type="spellEnd"/>
          </w:p>
        </w:tc>
        <w:tc>
          <w:tcPr>
            <w:tcW w:w="777" w:type="dxa"/>
            <w:gridSpan w:val="2"/>
            <w:tcBorders>
              <w:top w:val="nil"/>
              <w:left w:val="nil"/>
              <w:bottom w:val="single" w:sz="4" w:space="0" w:color="auto"/>
              <w:right w:val="nil"/>
            </w:tcBorders>
            <w:shd w:val="clear" w:color="auto" w:fill="auto"/>
            <w:vAlign w:val="center"/>
            <w:hideMark/>
          </w:tcPr>
          <w:p w:rsidR="00075DB3" w:rsidRPr="00883EC9" w:rsidRDefault="00075DB3" w:rsidP="00075DB3">
            <w:pPr>
              <w:jc w:val="center"/>
              <w:rPr>
                <w:i/>
                <w:iCs/>
                <w:sz w:val="21"/>
                <w:szCs w:val="21"/>
              </w:rPr>
            </w:pPr>
            <w:r w:rsidRPr="00883EC9">
              <w:rPr>
                <w:i/>
                <w:iCs/>
                <w:sz w:val="21"/>
                <w:szCs w:val="21"/>
              </w:rPr>
              <w:t>Fürdő</w:t>
            </w:r>
          </w:p>
        </w:tc>
        <w:tc>
          <w:tcPr>
            <w:tcW w:w="1300" w:type="dxa"/>
            <w:gridSpan w:val="4"/>
            <w:tcBorders>
              <w:top w:val="nil"/>
              <w:left w:val="nil"/>
              <w:bottom w:val="single" w:sz="4" w:space="0" w:color="auto"/>
              <w:right w:val="nil"/>
            </w:tcBorders>
            <w:shd w:val="clear" w:color="auto" w:fill="auto"/>
            <w:vAlign w:val="center"/>
            <w:hideMark/>
          </w:tcPr>
          <w:p w:rsidR="00075DB3" w:rsidRPr="00883EC9" w:rsidRDefault="00075DB3" w:rsidP="00075DB3">
            <w:pPr>
              <w:jc w:val="center"/>
              <w:rPr>
                <w:i/>
                <w:iCs/>
                <w:sz w:val="21"/>
                <w:szCs w:val="21"/>
              </w:rPr>
            </w:pPr>
            <w:r w:rsidRPr="00883EC9">
              <w:rPr>
                <w:i/>
                <w:iCs/>
                <w:sz w:val="21"/>
                <w:szCs w:val="21"/>
              </w:rPr>
              <w:t>Működtetés</w:t>
            </w:r>
          </w:p>
        </w:tc>
        <w:tc>
          <w:tcPr>
            <w:tcW w:w="1460" w:type="dxa"/>
            <w:gridSpan w:val="3"/>
            <w:tcBorders>
              <w:top w:val="nil"/>
              <w:left w:val="nil"/>
              <w:bottom w:val="single" w:sz="4" w:space="0" w:color="auto"/>
              <w:right w:val="nil"/>
            </w:tcBorders>
            <w:shd w:val="clear" w:color="auto" w:fill="auto"/>
            <w:vAlign w:val="bottom"/>
            <w:hideMark/>
          </w:tcPr>
          <w:p w:rsidR="00075DB3" w:rsidRPr="00883EC9" w:rsidRDefault="00075DB3" w:rsidP="00075DB3">
            <w:pPr>
              <w:jc w:val="center"/>
              <w:rPr>
                <w:i/>
                <w:iCs/>
                <w:sz w:val="21"/>
                <w:szCs w:val="21"/>
              </w:rPr>
            </w:pPr>
            <w:r w:rsidRPr="00883EC9">
              <w:rPr>
                <w:i/>
                <w:iCs/>
                <w:sz w:val="21"/>
                <w:szCs w:val="21"/>
              </w:rPr>
              <w:t xml:space="preserve">Beruházások </w:t>
            </w:r>
            <w:r w:rsidRPr="00883EC9">
              <w:rPr>
                <w:i/>
                <w:iCs/>
                <w:sz w:val="21"/>
                <w:szCs w:val="21"/>
              </w:rPr>
              <w:br/>
              <w:t>összesen</w:t>
            </w:r>
          </w:p>
        </w:tc>
      </w:tr>
      <w:tr w:rsidR="00CF641E" w:rsidRPr="00883EC9" w:rsidTr="00CF641E">
        <w:trPr>
          <w:gridAfter w:val="2"/>
          <w:wAfter w:w="350" w:type="dxa"/>
          <w:trHeight w:val="300"/>
        </w:trPr>
        <w:tc>
          <w:tcPr>
            <w:tcW w:w="3969" w:type="dxa"/>
            <w:gridSpan w:val="2"/>
            <w:tcBorders>
              <w:left w:val="nil"/>
              <w:bottom w:val="nil"/>
              <w:right w:val="nil"/>
            </w:tcBorders>
            <w:shd w:val="clear" w:color="auto" w:fill="auto"/>
            <w:noWrap/>
            <w:vAlign w:val="center"/>
            <w:hideMark/>
          </w:tcPr>
          <w:p w:rsidR="00CF641E" w:rsidRPr="00883EC9" w:rsidRDefault="00CF641E" w:rsidP="00A802BD">
            <w:pPr>
              <w:rPr>
                <w:iCs/>
                <w:sz w:val="21"/>
                <w:szCs w:val="21"/>
              </w:rPr>
            </w:pPr>
            <w:r w:rsidRPr="00883EC9">
              <w:rPr>
                <w:iCs/>
                <w:sz w:val="21"/>
                <w:szCs w:val="21"/>
              </w:rPr>
              <w:t>Amortizáció</w:t>
            </w:r>
          </w:p>
        </w:tc>
        <w:tc>
          <w:tcPr>
            <w:tcW w:w="852" w:type="dxa"/>
            <w:gridSpan w:val="2"/>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r w:rsidRPr="00883EC9">
              <w:rPr>
                <w:iCs/>
                <w:sz w:val="21"/>
                <w:szCs w:val="21"/>
              </w:rPr>
              <w:t>13 814</w:t>
            </w:r>
          </w:p>
        </w:tc>
        <w:tc>
          <w:tcPr>
            <w:tcW w:w="1134" w:type="dxa"/>
            <w:gridSpan w:val="2"/>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r w:rsidRPr="00883EC9">
              <w:rPr>
                <w:iCs/>
                <w:sz w:val="21"/>
                <w:szCs w:val="21"/>
              </w:rPr>
              <w:t>7 829</w:t>
            </w:r>
          </w:p>
        </w:tc>
        <w:tc>
          <w:tcPr>
            <w:tcW w:w="986" w:type="dxa"/>
            <w:gridSpan w:val="2"/>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r w:rsidRPr="00883EC9">
              <w:rPr>
                <w:iCs/>
                <w:sz w:val="21"/>
                <w:szCs w:val="21"/>
              </w:rPr>
              <w:t>1 429</w:t>
            </w:r>
          </w:p>
        </w:tc>
        <w:tc>
          <w:tcPr>
            <w:tcW w:w="1209" w:type="dxa"/>
            <w:gridSpan w:val="3"/>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r w:rsidRPr="00883EC9">
              <w:rPr>
                <w:iCs/>
                <w:sz w:val="21"/>
                <w:szCs w:val="21"/>
              </w:rPr>
              <w:t>331 549</w:t>
            </w:r>
          </w:p>
        </w:tc>
        <w:tc>
          <w:tcPr>
            <w:tcW w:w="1276" w:type="dxa"/>
            <w:gridSpan w:val="3"/>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r w:rsidRPr="00883EC9">
              <w:rPr>
                <w:iCs/>
                <w:sz w:val="21"/>
                <w:szCs w:val="21"/>
              </w:rPr>
              <w:t>354 621</w:t>
            </w:r>
          </w:p>
        </w:tc>
      </w:tr>
      <w:tr w:rsidR="00CF641E" w:rsidRPr="00883EC9" w:rsidTr="00CF641E">
        <w:trPr>
          <w:gridAfter w:val="2"/>
          <w:wAfter w:w="350" w:type="dxa"/>
          <w:trHeight w:val="300"/>
        </w:trPr>
        <w:tc>
          <w:tcPr>
            <w:tcW w:w="3969" w:type="dxa"/>
            <w:gridSpan w:val="2"/>
            <w:tcBorders>
              <w:left w:val="nil"/>
              <w:bottom w:val="nil"/>
              <w:right w:val="nil"/>
            </w:tcBorders>
            <w:shd w:val="clear" w:color="auto" w:fill="auto"/>
            <w:noWrap/>
            <w:vAlign w:val="center"/>
            <w:hideMark/>
          </w:tcPr>
          <w:p w:rsidR="00CF641E" w:rsidRPr="00883EC9" w:rsidRDefault="00CF641E" w:rsidP="00A802BD">
            <w:pPr>
              <w:rPr>
                <w:iCs/>
                <w:sz w:val="21"/>
                <w:szCs w:val="21"/>
              </w:rPr>
            </w:pPr>
            <w:r w:rsidRPr="00883EC9">
              <w:rPr>
                <w:iCs/>
                <w:sz w:val="21"/>
                <w:szCs w:val="21"/>
              </w:rPr>
              <w:t xml:space="preserve">Fejlesztési tám. 2012. évi </w:t>
            </w:r>
            <w:proofErr w:type="spellStart"/>
            <w:r w:rsidRPr="00883EC9">
              <w:rPr>
                <w:iCs/>
                <w:sz w:val="21"/>
                <w:szCs w:val="21"/>
              </w:rPr>
              <w:t>maradv</w:t>
            </w:r>
            <w:proofErr w:type="spellEnd"/>
            <w:r w:rsidRPr="00883EC9">
              <w:rPr>
                <w:iCs/>
                <w:sz w:val="21"/>
                <w:szCs w:val="21"/>
              </w:rPr>
              <w:t>.</w:t>
            </w:r>
          </w:p>
        </w:tc>
        <w:tc>
          <w:tcPr>
            <w:tcW w:w="852" w:type="dxa"/>
            <w:gridSpan w:val="2"/>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p>
        </w:tc>
        <w:tc>
          <w:tcPr>
            <w:tcW w:w="1134" w:type="dxa"/>
            <w:gridSpan w:val="2"/>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r w:rsidRPr="00883EC9">
              <w:rPr>
                <w:iCs/>
                <w:sz w:val="21"/>
                <w:szCs w:val="21"/>
              </w:rPr>
              <w:t>1351</w:t>
            </w:r>
          </w:p>
        </w:tc>
        <w:tc>
          <w:tcPr>
            <w:tcW w:w="986" w:type="dxa"/>
            <w:gridSpan w:val="2"/>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p>
        </w:tc>
        <w:tc>
          <w:tcPr>
            <w:tcW w:w="1209" w:type="dxa"/>
            <w:gridSpan w:val="3"/>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p>
        </w:tc>
        <w:tc>
          <w:tcPr>
            <w:tcW w:w="1276" w:type="dxa"/>
            <w:gridSpan w:val="3"/>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r w:rsidRPr="00883EC9">
              <w:rPr>
                <w:iCs/>
                <w:sz w:val="21"/>
                <w:szCs w:val="21"/>
              </w:rPr>
              <w:t>1 351</w:t>
            </w:r>
          </w:p>
        </w:tc>
      </w:tr>
      <w:tr w:rsidR="00CF641E" w:rsidRPr="00883EC9" w:rsidTr="00CF641E">
        <w:trPr>
          <w:gridAfter w:val="2"/>
          <w:wAfter w:w="350" w:type="dxa"/>
          <w:trHeight w:val="300"/>
        </w:trPr>
        <w:tc>
          <w:tcPr>
            <w:tcW w:w="3969" w:type="dxa"/>
            <w:gridSpan w:val="2"/>
            <w:tcBorders>
              <w:left w:val="nil"/>
              <w:bottom w:val="nil"/>
              <w:right w:val="nil"/>
            </w:tcBorders>
            <w:shd w:val="clear" w:color="auto" w:fill="auto"/>
            <w:noWrap/>
            <w:vAlign w:val="center"/>
            <w:hideMark/>
          </w:tcPr>
          <w:p w:rsidR="00CF641E" w:rsidRPr="00883EC9" w:rsidRDefault="00CF641E" w:rsidP="00A802BD">
            <w:pPr>
              <w:rPr>
                <w:iCs/>
                <w:sz w:val="21"/>
                <w:szCs w:val="21"/>
              </w:rPr>
            </w:pPr>
            <w:r w:rsidRPr="00883EC9">
              <w:rPr>
                <w:iCs/>
                <w:sz w:val="21"/>
                <w:szCs w:val="21"/>
              </w:rPr>
              <w:t xml:space="preserve">Fejlesztési tám. 2012. évi ISPA/KA </w:t>
            </w:r>
            <w:proofErr w:type="spellStart"/>
            <w:r w:rsidRPr="00883EC9">
              <w:rPr>
                <w:iCs/>
                <w:sz w:val="21"/>
                <w:szCs w:val="21"/>
              </w:rPr>
              <w:t>maradv</w:t>
            </w:r>
            <w:proofErr w:type="spellEnd"/>
            <w:r w:rsidRPr="00883EC9">
              <w:rPr>
                <w:iCs/>
                <w:sz w:val="21"/>
                <w:szCs w:val="21"/>
              </w:rPr>
              <w:t>.</w:t>
            </w:r>
          </w:p>
        </w:tc>
        <w:tc>
          <w:tcPr>
            <w:tcW w:w="852" w:type="dxa"/>
            <w:gridSpan w:val="2"/>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p>
        </w:tc>
        <w:tc>
          <w:tcPr>
            <w:tcW w:w="1134" w:type="dxa"/>
            <w:gridSpan w:val="2"/>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r w:rsidRPr="00883EC9">
              <w:rPr>
                <w:iCs/>
                <w:sz w:val="21"/>
                <w:szCs w:val="21"/>
              </w:rPr>
              <w:t>22 269</w:t>
            </w:r>
          </w:p>
        </w:tc>
        <w:tc>
          <w:tcPr>
            <w:tcW w:w="986" w:type="dxa"/>
            <w:gridSpan w:val="2"/>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p>
        </w:tc>
        <w:tc>
          <w:tcPr>
            <w:tcW w:w="1209" w:type="dxa"/>
            <w:gridSpan w:val="3"/>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p>
        </w:tc>
        <w:tc>
          <w:tcPr>
            <w:tcW w:w="1276" w:type="dxa"/>
            <w:gridSpan w:val="3"/>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r w:rsidRPr="00883EC9">
              <w:rPr>
                <w:iCs/>
                <w:sz w:val="21"/>
                <w:szCs w:val="21"/>
              </w:rPr>
              <w:t>22 269</w:t>
            </w:r>
          </w:p>
        </w:tc>
      </w:tr>
      <w:tr w:rsidR="00CF641E" w:rsidRPr="00883EC9" w:rsidTr="00CF641E">
        <w:trPr>
          <w:gridAfter w:val="2"/>
          <w:wAfter w:w="350" w:type="dxa"/>
          <w:trHeight w:val="300"/>
        </w:trPr>
        <w:tc>
          <w:tcPr>
            <w:tcW w:w="3969" w:type="dxa"/>
            <w:gridSpan w:val="2"/>
            <w:tcBorders>
              <w:left w:val="nil"/>
              <w:bottom w:val="nil"/>
              <w:right w:val="nil"/>
            </w:tcBorders>
            <w:shd w:val="clear" w:color="auto" w:fill="auto"/>
            <w:noWrap/>
            <w:vAlign w:val="center"/>
            <w:hideMark/>
          </w:tcPr>
          <w:p w:rsidR="00CF641E" w:rsidRPr="00883EC9" w:rsidRDefault="00CF641E" w:rsidP="00A802BD">
            <w:pPr>
              <w:rPr>
                <w:iCs/>
                <w:sz w:val="21"/>
                <w:szCs w:val="21"/>
              </w:rPr>
            </w:pPr>
            <w:r w:rsidRPr="00883EC9">
              <w:rPr>
                <w:iCs/>
                <w:sz w:val="21"/>
                <w:szCs w:val="21"/>
              </w:rPr>
              <w:t>2015. évi eredménytartalék</w:t>
            </w:r>
          </w:p>
        </w:tc>
        <w:tc>
          <w:tcPr>
            <w:tcW w:w="852" w:type="dxa"/>
            <w:gridSpan w:val="2"/>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p>
        </w:tc>
        <w:tc>
          <w:tcPr>
            <w:tcW w:w="1134" w:type="dxa"/>
            <w:gridSpan w:val="2"/>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p>
        </w:tc>
        <w:tc>
          <w:tcPr>
            <w:tcW w:w="986" w:type="dxa"/>
            <w:gridSpan w:val="2"/>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p>
        </w:tc>
        <w:tc>
          <w:tcPr>
            <w:tcW w:w="1209" w:type="dxa"/>
            <w:gridSpan w:val="3"/>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r w:rsidRPr="00883EC9">
              <w:rPr>
                <w:iCs/>
                <w:sz w:val="21"/>
                <w:szCs w:val="21"/>
              </w:rPr>
              <w:t>33 000</w:t>
            </w:r>
          </w:p>
        </w:tc>
        <w:tc>
          <w:tcPr>
            <w:tcW w:w="1276" w:type="dxa"/>
            <w:gridSpan w:val="3"/>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r w:rsidRPr="00883EC9">
              <w:rPr>
                <w:iCs/>
                <w:sz w:val="21"/>
                <w:szCs w:val="21"/>
              </w:rPr>
              <w:t>33 000</w:t>
            </w:r>
          </w:p>
        </w:tc>
      </w:tr>
      <w:tr w:rsidR="00CF641E" w:rsidRPr="00883EC9" w:rsidTr="00CF641E">
        <w:trPr>
          <w:gridAfter w:val="2"/>
          <w:wAfter w:w="350" w:type="dxa"/>
          <w:trHeight w:val="300"/>
        </w:trPr>
        <w:tc>
          <w:tcPr>
            <w:tcW w:w="3969" w:type="dxa"/>
            <w:gridSpan w:val="2"/>
            <w:tcBorders>
              <w:left w:val="nil"/>
              <w:bottom w:val="nil"/>
              <w:right w:val="nil"/>
            </w:tcBorders>
            <w:shd w:val="clear" w:color="auto" w:fill="auto"/>
            <w:noWrap/>
            <w:vAlign w:val="center"/>
            <w:hideMark/>
          </w:tcPr>
          <w:p w:rsidR="00CF641E" w:rsidRPr="00883EC9" w:rsidRDefault="00CF641E" w:rsidP="00A802BD">
            <w:pPr>
              <w:rPr>
                <w:iCs/>
                <w:sz w:val="21"/>
                <w:szCs w:val="21"/>
              </w:rPr>
            </w:pPr>
            <w:r w:rsidRPr="00883EC9">
              <w:rPr>
                <w:iCs/>
                <w:sz w:val="21"/>
                <w:szCs w:val="21"/>
              </w:rPr>
              <w:t>Közműfejlesztési hozzájárulás</w:t>
            </w:r>
          </w:p>
        </w:tc>
        <w:tc>
          <w:tcPr>
            <w:tcW w:w="852" w:type="dxa"/>
            <w:gridSpan w:val="2"/>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r w:rsidRPr="00883EC9">
              <w:rPr>
                <w:iCs/>
                <w:sz w:val="21"/>
                <w:szCs w:val="21"/>
              </w:rPr>
              <w:t>1 552</w:t>
            </w:r>
          </w:p>
        </w:tc>
        <w:tc>
          <w:tcPr>
            <w:tcW w:w="1134" w:type="dxa"/>
            <w:gridSpan w:val="2"/>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p>
        </w:tc>
        <w:tc>
          <w:tcPr>
            <w:tcW w:w="986" w:type="dxa"/>
            <w:gridSpan w:val="2"/>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p>
        </w:tc>
        <w:tc>
          <w:tcPr>
            <w:tcW w:w="1209" w:type="dxa"/>
            <w:gridSpan w:val="3"/>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p>
        </w:tc>
        <w:tc>
          <w:tcPr>
            <w:tcW w:w="1276" w:type="dxa"/>
            <w:gridSpan w:val="3"/>
            <w:tcBorders>
              <w:left w:val="nil"/>
              <w:bottom w:val="nil"/>
              <w:right w:val="nil"/>
            </w:tcBorders>
            <w:shd w:val="clear" w:color="auto" w:fill="auto"/>
            <w:noWrap/>
            <w:vAlign w:val="center"/>
            <w:hideMark/>
          </w:tcPr>
          <w:p w:rsidR="00CF641E" w:rsidRPr="00883EC9" w:rsidRDefault="00CF641E" w:rsidP="00A802BD">
            <w:pPr>
              <w:jc w:val="right"/>
              <w:rPr>
                <w:iCs/>
                <w:sz w:val="21"/>
                <w:szCs w:val="21"/>
              </w:rPr>
            </w:pPr>
            <w:r w:rsidRPr="00883EC9">
              <w:rPr>
                <w:iCs/>
                <w:sz w:val="21"/>
                <w:szCs w:val="21"/>
              </w:rPr>
              <w:t>1 552</w:t>
            </w:r>
          </w:p>
        </w:tc>
      </w:tr>
      <w:tr w:rsidR="00CF641E" w:rsidRPr="00883EC9" w:rsidTr="00CF641E">
        <w:trPr>
          <w:gridAfter w:val="2"/>
          <w:wAfter w:w="350" w:type="dxa"/>
          <w:trHeight w:val="300"/>
        </w:trPr>
        <w:tc>
          <w:tcPr>
            <w:tcW w:w="3969" w:type="dxa"/>
            <w:gridSpan w:val="2"/>
            <w:tcBorders>
              <w:top w:val="single" w:sz="4" w:space="0" w:color="auto"/>
              <w:left w:val="nil"/>
              <w:bottom w:val="nil"/>
              <w:right w:val="nil"/>
            </w:tcBorders>
            <w:shd w:val="clear" w:color="auto" w:fill="auto"/>
            <w:noWrap/>
            <w:vAlign w:val="center"/>
            <w:hideMark/>
          </w:tcPr>
          <w:p w:rsidR="00CF641E" w:rsidRPr="00883EC9" w:rsidRDefault="00CF641E" w:rsidP="00A802BD">
            <w:pPr>
              <w:rPr>
                <w:i/>
                <w:iCs/>
                <w:sz w:val="21"/>
                <w:szCs w:val="21"/>
              </w:rPr>
            </w:pPr>
            <w:r w:rsidRPr="00883EC9">
              <w:rPr>
                <w:i/>
                <w:iCs/>
                <w:sz w:val="21"/>
                <w:szCs w:val="21"/>
              </w:rPr>
              <w:t>Összesen</w:t>
            </w:r>
          </w:p>
        </w:tc>
        <w:tc>
          <w:tcPr>
            <w:tcW w:w="852" w:type="dxa"/>
            <w:gridSpan w:val="2"/>
            <w:tcBorders>
              <w:top w:val="single" w:sz="4" w:space="0" w:color="auto"/>
              <w:left w:val="nil"/>
              <w:bottom w:val="nil"/>
              <w:right w:val="nil"/>
            </w:tcBorders>
            <w:shd w:val="clear" w:color="auto" w:fill="auto"/>
            <w:noWrap/>
            <w:vAlign w:val="center"/>
            <w:hideMark/>
          </w:tcPr>
          <w:p w:rsidR="00CF641E" w:rsidRPr="00883EC9" w:rsidRDefault="00CF641E" w:rsidP="00A802BD">
            <w:pPr>
              <w:jc w:val="right"/>
              <w:rPr>
                <w:i/>
                <w:iCs/>
                <w:sz w:val="21"/>
                <w:szCs w:val="21"/>
              </w:rPr>
            </w:pPr>
            <w:r w:rsidRPr="00883EC9">
              <w:rPr>
                <w:i/>
                <w:iCs/>
                <w:sz w:val="21"/>
                <w:szCs w:val="21"/>
              </w:rPr>
              <w:t>15 366</w:t>
            </w:r>
          </w:p>
        </w:tc>
        <w:tc>
          <w:tcPr>
            <w:tcW w:w="1134" w:type="dxa"/>
            <w:gridSpan w:val="2"/>
            <w:tcBorders>
              <w:top w:val="single" w:sz="4" w:space="0" w:color="auto"/>
              <w:left w:val="nil"/>
              <w:bottom w:val="nil"/>
              <w:right w:val="nil"/>
            </w:tcBorders>
            <w:shd w:val="clear" w:color="auto" w:fill="auto"/>
            <w:noWrap/>
            <w:vAlign w:val="center"/>
            <w:hideMark/>
          </w:tcPr>
          <w:p w:rsidR="00CF641E" w:rsidRPr="00883EC9" w:rsidRDefault="00CF641E" w:rsidP="00A802BD">
            <w:pPr>
              <w:jc w:val="right"/>
              <w:rPr>
                <w:i/>
                <w:iCs/>
                <w:sz w:val="21"/>
                <w:szCs w:val="21"/>
              </w:rPr>
            </w:pPr>
            <w:r w:rsidRPr="00883EC9">
              <w:rPr>
                <w:i/>
                <w:iCs/>
                <w:sz w:val="21"/>
                <w:szCs w:val="21"/>
              </w:rPr>
              <w:t>31 449</w:t>
            </w:r>
          </w:p>
        </w:tc>
        <w:tc>
          <w:tcPr>
            <w:tcW w:w="986" w:type="dxa"/>
            <w:gridSpan w:val="2"/>
            <w:tcBorders>
              <w:top w:val="single" w:sz="4" w:space="0" w:color="auto"/>
              <w:left w:val="nil"/>
              <w:bottom w:val="nil"/>
              <w:right w:val="nil"/>
            </w:tcBorders>
            <w:shd w:val="clear" w:color="auto" w:fill="auto"/>
            <w:noWrap/>
            <w:vAlign w:val="center"/>
            <w:hideMark/>
          </w:tcPr>
          <w:p w:rsidR="00CF641E" w:rsidRPr="00883EC9" w:rsidRDefault="00CF641E" w:rsidP="00A802BD">
            <w:pPr>
              <w:jc w:val="right"/>
              <w:rPr>
                <w:i/>
                <w:iCs/>
                <w:sz w:val="21"/>
                <w:szCs w:val="21"/>
              </w:rPr>
            </w:pPr>
            <w:r w:rsidRPr="00883EC9">
              <w:rPr>
                <w:i/>
                <w:iCs/>
                <w:sz w:val="21"/>
                <w:szCs w:val="21"/>
              </w:rPr>
              <w:t>1 429</w:t>
            </w:r>
          </w:p>
        </w:tc>
        <w:tc>
          <w:tcPr>
            <w:tcW w:w="1209" w:type="dxa"/>
            <w:gridSpan w:val="3"/>
            <w:tcBorders>
              <w:top w:val="single" w:sz="4" w:space="0" w:color="auto"/>
              <w:left w:val="nil"/>
              <w:bottom w:val="nil"/>
              <w:right w:val="nil"/>
            </w:tcBorders>
            <w:shd w:val="clear" w:color="auto" w:fill="auto"/>
            <w:noWrap/>
            <w:vAlign w:val="center"/>
            <w:hideMark/>
          </w:tcPr>
          <w:p w:rsidR="00CF641E" w:rsidRPr="00883EC9" w:rsidRDefault="00CF641E" w:rsidP="00A802BD">
            <w:pPr>
              <w:jc w:val="right"/>
              <w:rPr>
                <w:i/>
                <w:iCs/>
                <w:sz w:val="21"/>
                <w:szCs w:val="21"/>
              </w:rPr>
            </w:pPr>
            <w:r w:rsidRPr="00883EC9">
              <w:rPr>
                <w:i/>
                <w:iCs/>
                <w:sz w:val="21"/>
                <w:szCs w:val="21"/>
              </w:rPr>
              <w:t>364 549</w:t>
            </w:r>
          </w:p>
        </w:tc>
        <w:tc>
          <w:tcPr>
            <w:tcW w:w="1276" w:type="dxa"/>
            <w:gridSpan w:val="3"/>
            <w:tcBorders>
              <w:top w:val="single" w:sz="4" w:space="0" w:color="auto"/>
              <w:left w:val="nil"/>
              <w:bottom w:val="nil"/>
              <w:right w:val="nil"/>
            </w:tcBorders>
            <w:shd w:val="clear" w:color="auto" w:fill="auto"/>
            <w:noWrap/>
            <w:vAlign w:val="center"/>
            <w:hideMark/>
          </w:tcPr>
          <w:p w:rsidR="00CF641E" w:rsidRPr="00883EC9" w:rsidRDefault="00CF641E" w:rsidP="00A802BD">
            <w:pPr>
              <w:jc w:val="right"/>
              <w:rPr>
                <w:i/>
                <w:iCs/>
                <w:sz w:val="21"/>
                <w:szCs w:val="21"/>
              </w:rPr>
            </w:pPr>
            <w:r w:rsidRPr="00883EC9">
              <w:rPr>
                <w:i/>
                <w:iCs/>
                <w:sz w:val="21"/>
                <w:szCs w:val="21"/>
              </w:rPr>
              <w:t>412 793</w:t>
            </w:r>
          </w:p>
        </w:tc>
      </w:tr>
    </w:tbl>
    <w:p w:rsidR="00FF12CC" w:rsidRPr="00883EC9" w:rsidRDefault="00FF12CC">
      <w:pPr>
        <w:pStyle w:val="Szvegtrzs"/>
        <w:rPr>
          <w:b/>
          <w:i/>
        </w:rPr>
      </w:pPr>
    </w:p>
    <w:p w:rsidR="00575CF1" w:rsidRPr="00883EC9" w:rsidRDefault="00575CF1">
      <w:pPr>
        <w:pStyle w:val="Szvegtrzs"/>
        <w:rPr>
          <w:b/>
          <w:i/>
        </w:rPr>
      </w:pPr>
    </w:p>
    <w:p w:rsidR="007F7A04" w:rsidRPr="00E42BAA" w:rsidRDefault="00AA5C94" w:rsidP="00FF12CC">
      <w:pPr>
        <w:pStyle w:val="Cmsor2"/>
        <w:rPr>
          <w:color w:val="auto"/>
          <w:sz w:val="16"/>
          <w:szCs w:val="16"/>
        </w:rPr>
      </w:pPr>
      <w:bookmarkStart w:id="17" w:name="_Toc447546297"/>
      <w:bookmarkStart w:id="18" w:name="_Toc489278851"/>
      <w:r w:rsidRPr="00E42BAA">
        <w:rPr>
          <w:i/>
          <w:color w:val="auto"/>
        </w:rPr>
        <w:t>Önkormányzatoknak átad</w:t>
      </w:r>
      <w:r w:rsidR="00425049" w:rsidRPr="00E42BAA">
        <w:rPr>
          <w:i/>
          <w:color w:val="auto"/>
        </w:rPr>
        <w:t>ott</w:t>
      </w:r>
      <w:r w:rsidRPr="00E42BAA">
        <w:rPr>
          <w:i/>
          <w:color w:val="auto"/>
        </w:rPr>
        <w:t xml:space="preserve"> beruházások</w:t>
      </w:r>
      <w:bookmarkEnd w:id="17"/>
      <w:bookmarkEnd w:id="18"/>
      <w:r w:rsidRPr="00E42BAA">
        <w:rPr>
          <w:i/>
          <w:color w:val="auto"/>
        </w:rPr>
        <w:t xml:space="preserve"> </w:t>
      </w:r>
      <w:r w:rsidR="0035198C" w:rsidRPr="00E42BAA">
        <w:rPr>
          <w:color w:val="auto"/>
          <w:sz w:val="16"/>
          <w:szCs w:val="16"/>
        </w:rPr>
        <w:t xml:space="preserve"> </w:t>
      </w:r>
    </w:p>
    <w:p w:rsidR="0035198C" w:rsidRPr="00883EC9" w:rsidRDefault="0035198C" w:rsidP="0035198C">
      <w:pPr>
        <w:pStyle w:val="Szvegtrzsbehzssal3"/>
        <w:ind w:left="500" w:right="1200" w:firstLine="0"/>
        <w:jc w:val="right"/>
        <w:rPr>
          <w:sz w:val="16"/>
        </w:rPr>
      </w:pPr>
      <w:proofErr w:type="spellStart"/>
      <w:r w:rsidRPr="00883EC9">
        <w:rPr>
          <w:sz w:val="18"/>
        </w:rPr>
        <w:t>eFt</w:t>
      </w:r>
      <w:proofErr w:type="spellEnd"/>
    </w:p>
    <w:tbl>
      <w:tblPr>
        <w:tblW w:w="8780" w:type="dxa"/>
        <w:tblInd w:w="70" w:type="dxa"/>
        <w:tblCellMar>
          <w:left w:w="70" w:type="dxa"/>
          <w:right w:w="70" w:type="dxa"/>
        </w:tblCellMar>
        <w:tblLook w:val="04A0" w:firstRow="1" w:lastRow="0" w:firstColumn="1" w:lastColumn="0" w:noHBand="0" w:noVBand="1"/>
      </w:tblPr>
      <w:tblGrid>
        <w:gridCol w:w="3598"/>
        <w:gridCol w:w="230"/>
        <w:gridCol w:w="1048"/>
        <w:gridCol w:w="299"/>
        <w:gridCol w:w="1276"/>
        <w:gridCol w:w="709"/>
        <w:gridCol w:w="1134"/>
        <w:gridCol w:w="486"/>
      </w:tblGrid>
      <w:tr w:rsidR="00FF12CC" w:rsidRPr="00883EC9" w:rsidTr="00232B5B">
        <w:trPr>
          <w:trHeight w:val="459"/>
        </w:trPr>
        <w:tc>
          <w:tcPr>
            <w:tcW w:w="3598" w:type="dxa"/>
            <w:tcBorders>
              <w:top w:val="single" w:sz="4" w:space="0" w:color="auto"/>
              <w:left w:val="nil"/>
              <w:bottom w:val="single" w:sz="4" w:space="0" w:color="auto"/>
              <w:right w:val="nil"/>
            </w:tcBorders>
            <w:shd w:val="clear" w:color="auto" w:fill="auto"/>
            <w:vAlign w:val="center"/>
            <w:hideMark/>
          </w:tcPr>
          <w:p w:rsidR="0035198C" w:rsidRPr="00883EC9" w:rsidRDefault="0035198C" w:rsidP="00B34AF8">
            <w:pPr>
              <w:rPr>
                <w:i/>
                <w:iCs/>
                <w:sz w:val="21"/>
                <w:szCs w:val="21"/>
              </w:rPr>
            </w:pPr>
            <w:r w:rsidRPr="00883EC9">
              <w:rPr>
                <w:i/>
                <w:iCs/>
                <w:sz w:val="21"/>
                <w:szCs w:val="21"/>
              </w:rPr>
              <w:t>Fejlesztési forrás</w:t>
            </w:r>
          </w:p>
        </w:tc>
        <w:tc>
          <w:tcPr>
            <w:tcW w:w="1577" w:type="dxa"/>
            <w:gridSpan w:val="3"/>
            <w:tcBorders>
              <w:top w:val="single" w:sz="4" w:space="0" w:color="auto"/>
              <w:left w:val="nil"/>
              <w:bottom w:val="single" w:sz="4" w:space="0" w:color="auto"/>
              <w:right w:val="nil"/>
            </w:tcBorders>
            <w:shd w:val="clear" w:color="auto" w:fill="auto"/>
            <w:vAlign w:val="center"/>
            <w:hideMark/>
          </w:tcPr>
          <w:p w:rsidR="0035198C" w:rsidRPr="00883EC9" w:rsidRDefault="0035198C" w:rsidP="00B34AF8">
            <w:pPr>
              <w:jc w:val="center"/>
              <w:rPr>
                <w:i/>
                <w:iCs/>
                <w:sz w:val="21"/>
                <w:szCs w:val="21"/>
              </w:rPr>
            </w:pPr>
            <w:r w:rsidRPr="00883EC9">
              <w:rPr>
                <w:i/>
                <w:iCs/>
                <w:sz w:val="21"/>
                <w:szCs w:val="21"/>
              </w:rPr>
              <w:t>Vízellátás</w:t>
            </w:r>
          </w:p>
        </w:tc>
        <w:tc>
          <w:tcPr>
            <w:tcW w:w="1985" w:type="dxa"/>
            <w:gridSpan w:val="2"/>
            <w:tcBorders>
              <w:top w:val="single" w:sz="4" w:space="0" w:color="auto"/>
              <w:left w:val="nil"/>
              <w:bottom w:val="single" w:sz="4" w:space="0" w:color="auto"/>
              <w:right w:val="nil"/>
            </w:tcBorders>
            <w:shd w:val="clear" w:color="auto" w:fill="auto"/>
            <w:vAlign w:val="center"/>
            <w:hideMark/>
          </w:tcPr>
          <w:p w:rsidR="0035198C" w:rsidRPr="00883EC9" w:rsidRDefault="0035198C" w:rsidP="00232B5B">
            <w:pPr>
              <w:jc w:val="center"/>
              <w:rPr>
                <w:i/>
                <w:iCs/>
                <w:sz w:val="21"/>
                <w:szCs w:val="21"/>
              </w:rPr>
            </w:pPr>
            <w:r w:rsidRPr="00883EC9">
              <w:rPr>
                <w:i/>
                <w:iCs/>
                <w:sz w:val="21"/>
                <w:szCs w:val="21"/>
              </w:rPr>
              <w:t>Szennyvízelv</w:t>
            </w:r>
            <w:r w:rsidR="00232B5B">
              <w:rPr>
                <w:i/>
                <w:iCs/>
                <w:sz w:val="21"/>
                <w:szCs w:val="21"/>
              </w:rPr>
              <w:t>ezetés</w:t>
            </w:r>
            <w:r w:rsidRPr="00883EC9">
              <w:rPr>
                <w:i/>
                <w:iCs/>
                <w:sz w:val="21"/>
                <w:szCs w:val="21"/>
              </w:rPr>
              <w:t>,</w:t>
            </w:r>
            <w:r w:rsidRPr="00883EC9">
              <w:rPr>
                <w:i/>
                <w:iCs/>
                <w:sz w:val="21"/>
                <w:szCs w:val="21"/>
              </w:rPr>
              <w:br/>
            </w:r>
            <w:proofErr w:type="spellStart"/>
            <w:r w:rsidRPr="00883EC9">
              <w:rPr>
                <w:i/>
                <w:iCs/>
                <w:sz w:val="21"/>
                <w:szCs w:val="21"/>
              </w:rPr>
              <w:t>-tisztítás</w:t>
            </w:r>
            <w:proofErr w:type="spellEnd"/>
          </w:p>
        </w:tc>
        <w:tc>
          <w:tcPr>
            <w:tcW w:w="1620" w:type="dxa"/>
            <w:gridSpan w:val="2"/>
            <w:tcBorders>
              <w:top w:val="single" w:sz="4" w:space="0" w:color="auto"/>
              <w:left w:val="nil"/>
              <w:bottom w:val="single" w:sz="4" w:space="0" w:color="auto"/>
              <w:right w:val="nil"/>
            </w:tcBorders>
            <w:shd w:val="clear" w:color="auto" w:fill="auto"/>
            <w:vAlign w:val="bottom"/>
            <w:hideMark/>
          </w:tcPr>
          <w:p w:rsidR="0035198C" w:rsidRPr="00883EC9" w:rsidRDefault="0035198C" w:rsidP="00B34AF8">
            <w:pPr>
              <w:jc w:val="center"/>
              <w:rPr>
                <w:i/>
                <w:iCs/>
                <w:sz w:val="21"/>
                <w:szCs w:val="21"/>
              </w:rPr>
            </w:pPr>
            <w:r w:rsidRPr="00883EC9">
              <w:rPr>
                <w:i/>
                <w:iCs/>
                <w:sz w:val="21"/>
                <w:szCs w:val="21"/>
              </w:rPr>
              <w:t xml:space="preserve">Beruházások </w:t>
            </w:r>
            <w:r w:rsidRPr="00883EC9">
              <w:rPr>
                <w:i/>
                <w:iCs/>
                <w:sz w:val="21"/>
                <w:szCs w:val="21"/>
              </w:rPr>
              <w:br/>
              <w:t>összesen</w:t>
            </w:r>
          </w:p>
        </w:tc>
      </w:tr>
      <w:tr w:rsidR="00FF12CC" w:rsidRPr="00883EC9" w:rsidTr="001E7151">
        <w:trPr>
          <w:gridAfter w:val="1"/>
          <w:wAfter w:w="486" w:type="dxa"/>
          <w:trHeight w:val="300"/>
        </w:trPr>
        <w:tc>
          <w:tcPr>
            <w:tcW w:w="3828" w:type="dxa"/>
            <w:gridSpan w:val="2"/>
            <w:tcBorders>
              <w:top w:val="nil"/>
              <w:left w:val="nil"/>
              <w:right w:val="nil"/>
            </w:tcBorders>
            <w:shd w:val="clear" w:color="auto" w:fill="auto"/>
            <w:noWrap/>
            <w:vAlign w:val="center"/>
            <w:hideMark/>
          </w:tcPr>
          <w:p w:rsidR="0035198C" w:rsidRPr="00883EC9" w:rsidRDefault="0035198C" w:rsidP="0035198C">
            <w:pPr>
              <w:rPr>
                <w:sz w:val="22"/>
                <w:szCs w:val="22"/>
              </w:rPr>
            </w:pPr>
            <w:r w:rsidRPr="00883EC9">
              <w:rPr>
                <w:sz w:val="22"/>
                <w:szCs w:val="22"/>
              </w:rPr>
              <w:t>Amortizáció</w:t>
            </w:r>
          </w:p>
        </w:tc>
        <w:tc>
          <w:tcPr>
            <w:tcW w:w="1048" w:type="dxa"/>
            <w:tcBorders>
              <w:top w:val="nil"/>
              <w:left w:val="nil"/>
              <w:right w:val="nil"/>
            </w:tcBorders>
            <w:shd w:val="clear" w:color="auto" w:fill="auto"/>
            <w:noWrap/>
            <w:vAlign w:val="center"/>
            <w:hideMark/>
          </w:tcPr>
          <w:p w:rsidR="0035198C" w:rsidRPr="00883EC9" w:rsidRDefault="00FF10FE" w:rsidP="00FF10FE">
            <w:pPr>
              <w:jc w:val="center"/>
              <w:rPr>
                <w:sz w:val="22"/>
                <w:szCs w:val="22"/>
              </w:rPr>
            </w:pPr>
            <w:r w:rsidRPr="00883EC9">
              <w:rPr>
                <w:sz w:val="22"/>
                <w:szCs w:val="22"/>
              </w:rPr>
              <w:t>0</w:t>
            </w:r>
          </w:p>
        </w:tc>
        <w:tc>
          <w:tcPr>
            <w:tcW w:w="1575" w:type="dxa"/>
            <w:gridSpan w:val="2"/>
            <w:tcBorders>
              <w:top w:val="nil"/>
              <w:left w:val="nil"/>
              <w:right w:val="nil"/>
            </w:tcBorders>
            <w:shd w:val="clear" w:color="auto" w:fill="auto"/>
            <w:noWrap/>
            <w:vAlign w:val="center"/>
            <w:hideMark/>
          </w:tcPr>
          <w:p w:rsidR="0035198C" w:rsidRPr="00883EC9" w:rsidRDefault="005C09C0" w:rsidP="0035198C">
            <w:pPr>
              <w:jc w:val="right"/>
            </w:pPr>
            <w:r>
              <w:t>11 732</w:t>
            </w:r>
          </w:p>
        </w:tc>
        <w:tc>
          <w:tcPr>
            <w:tcW w:w="1843" w:type="dxa"/>
            <w:gridSpan w:val="2"/>
            <w:tcBorders>
              <w:top w:val="nil"/>
              <w:left w:val="nil"/>
              <w:right w:val="nil"/>
            </w:tcBorders>
            <w:shd w:val="clear" w:color="auto" w:fill="auto"/>
            <w:noWrap/>
            <w:vAlign w:val="center"/>
            <w:hideMark/>
          </w:tcPr>
          <w:p w:rsidR="0035198C" w:rsidRPr="00883EC9" w:rsidRDefault="005C09C0" w:rsidP="0035198C">
            <w:pPr>
              <w:jc w:val="right"/>
              <w:rPr>
                <w:i/>
                <w:iCs/>
                <w:sz w:val="22"/>
                <w:szCs w:val="22"/>
              </w:rPr>
            </w:pPr>
            <w:r>
              <w:rPr>
                <w:i/>
                <w:iCs/>
                <w:sz w:val="22"/>
                <w:szCs w:val="22"/>
              </w:rPr>
              <w:t>11 732</w:t>
            </w:r>
          </w:p>
        </w:tc>
      </w:tr>
      <w:tr w:rsidR="00CF641E" w:rsidRPr="00883EC9" w:rsidTr="001E7151">
        <w:trPr>
          <w:gridAfter w:val="1"/>
          <w:wAfter w:w="486" w:type="dxa"/>
          <w:trHeight w:val="300"/>
        </w:trPr>
        <w:tc>
          <w:tcPr>
            <w:tcW w:w="3828" w:type="dxa"/>
            <w:gridSpan w:val="2"/>
            <w:tcBorders>
              <w:top w:val="nil"/>
              <w:left w:val="nil"/>
              <w:bottom w:val="single" w:sz="4" w:space="0" w:color="auto"/>
              <w:right w:val="nil"/>
            </w:tcBorders>
            <w:shd w:val="clear" w:color="auto" w:fill="auto"/>
            <w:vAlign w:val="center"/>
            <w:hideMark/>
          </w:tcPr>
          <w:p w:rsidR="0035198C" w:rsidRPr="00883EC9" w:rsidRDefault="0035198C" w:rsidP="0035198C">
            <w:pPr>
              <w:rPr>
                <w:color w:val="000000" w:themeColor="text1"/>
                <w:sz w:val="22"/>
                <w:szCs w:val="22"/>
              </w:rPr>
            </w:pPr>
            <w:r w:rsidRPr="00883EC9">
              <w:rPr>
                <w:color w:val="000000" w:themeColor="text1"/>
                <w:sz w:val="22"/>
                <w:szCs w:val="22"/>
              </w:rPr>
              <w:t>Fejlesztési támogatás</w:t>
            </w:r>
            <w:r w:rsidR="00CF641E" w:rsidRPr="00883EC9">
              <w:rPr>
                <w:color w:val="000000" w:themeColor="text1"/>
                <w:sz w:val="22"/>
                <w:szCs w:val="22"/>
              </w:rPr>
              <w:t xml:space="preserve"> </w:t>
            </w:r>
            <w:r w:rsidR="00CF641E" w:rsidRPr="00883EC9">
              <w:rPr>
                <w:iCs/>
                <w:color w:val="000000" w:themeColor="text1"/>
                <w:sz w:val="21"/>
                <w:szCs w:val="21"/>
              </w:rPr>
              <w:t xml:space="preserve">2012. évi </w:t>
            </w:r>
            <w:proofErr w:type="spellStart"/>
            <w:r w:rsidR="00CF641E" w:rsidRPr="00883EC9">
              <w:rPr>
                <w:iCs/>
                <w:color w:val="000000" w:themeColor="text1"/>
                <w:sz w:val="21"/>
                <w:szCs w:val="21"/>
              </w:rPr>
              <w:t>maradv</w:t>
            </w:r>
            <w:proofErr w:type="spellEnd"/>
            <w:r w:rsidR="00CF641E" w:rsidRPr="00883EC9">
              <w:rPr>
                <w:iCs/>
                <w:color w:val="000000" w:themeColor="text1"/>
                <w:sz w:val="21"/>
                <w:szCs w:val="21"/>
              </w:rPr>
              <w:t>.</w:t>
            </w:r>
          </w:p>
        </w:tc>
        <w:tc>
          <w:tcPr>
            <w:tcW w:w="1048" w:type="dxa"/>
            <w:tcBorders>
              <w:top w:val="nil"/>
              <w:left w:val="nil"/>
              <w:bottom w:val="single" w:sz="4" w:space="0" w:color="auto"/>
              <w:right w:val="nil"/>
            </w:tcBorders>
            <w:shd w:val="clear" w:color="auto" w:fill="auto"/>
            <w:noWrap/>
            <w:vAlign w:val="bottom"/>
            <w:hideMark/>
          </w:tcPr>
          <w:p w:rsidR="0035198C" w:rsidRPr="00883EC9" w:rsidRDefault="00FF10FE" w:rsidP="00FF10FE">
            <w:pPr>
              <w:jc w:val="center"/>
              <w:rPr>
                <w:color w:val="000000" w:themeColor="text1"/>
                <w:sz w:val="22"/>
                <w:szCs w:val="22"/>
              </w:rPr>
            </w:pPr>
            <w:r w:rsidRPr="00883EC9">
              <w:rPr>
                <w:color w:val="000000" w:themeColor="text1"/>
                <w:sz w:val="22"/>
                <w:szCs w:val="22"/>
              </w:rPr>
              <w:t>0</w:t>
            </w:r>
          </w:p>
        </w:tc>
        <w:tc>
          <w:tcPr>
            <w:tcW w:w="1575" w:type="dxa"/>
            <w:gridSpan w:val="2"/>
            <w:tcBorders>
              <w:top w:val="nil"/>
              <w:left w:val="nil"/>
              <w:bottom w:val="single" w:sz="4" w:space="0" w:color="auto"/>
              <w:right w:val="nil"/>
            </w:tcBorders>
            <w:shd w:val="clear" w:color="auto" w:fill="auto"/>
            <w:noWrap/>
            <w:vAlign w:val="center"/>
            <w:hideMark/>
          </w:tcPr>
          <w:p w:rsidR="0035198C" w:rsidRPr="00883EC9" w:rsidRDefault="005C09C0" w:rsidP="0035198C">
            <w:pPr>
              <w:jc w:val="right"/>
              <w:rPr>
                <w:i/>
                <w:iCs/>
                <w:color w:val="000000" w:themeColor="text1"/>
                <w:sz w:val="22"/>
                <w:szCs w:val="22"/>
              </w:rPr>
            </w:pPr>
            <w:r>
              <w:rPr>
                <w:i/>
                <w:iCs/>
                <w:color w:val="000000" w:themeColor="text1"/>
                <w:sz w:val="22"/>
                <w:szCs w:val="22"/>
              </w:rPr>
              <w:t>1 716</w:t>
            </w:r>
          </w:p>
        </w:tc>
        <w:tc>
          <w:tcPr>
            <w:tcW w:w="1843" w:type="dxa"/>
            <w:gridSpan w:val="2"/>
            <w:tcBorders>
              <w:top w:val="nil"/>
              <w:left w:val="nil"/>
              <w:bottom w:val="single" w:sz="4" w:space="0" w:color="auto"/>
              <w:right w:val="nil"/>
            </w:tcBorders>
            <w:shd w:val="clear" w:color="auto" w:fill="auto"/>
            <w:noWrap/>
            <w:vAlign w:val="center"/>
            <w:hideMark/>
          </w:tcPr>
          <w:p w:rsidR="0035198C" w:rsidRPr="00883EC9" w:rsidRDefault="005C09C0" w:rsidP="0035198C">
            <w:pPr>
              <w:jc w:val="right"/>
              <w:rPr>
                <w:i/>
                <w:iCs/>
                <w:color w:val="000000" w:themeColor="text1"/>
                <w:sz w:val="22"/>
                <w:szCs w:val="22"/>
              </w:rPr>
            </w:pPr>
            <w:r>
              <w:rPr>
                <w:i/>
                <w:iCs/>
                <w:color w:val="000000" w:themeColor="text1"/>
                <w:sz w:val="22"/>
                <w:szCs w:val="22"/>
              </w:rPr>
              <w:t>1 716</w:t>
            </w:r>
          </w:p>
        </w:tc>
      </w:tr>
      <w:tr w:rsidR="00FF12CC" w:rsidRPr="00883EC9" w:rsidTr="005C09C0">
        <w:trPr>
          <w:gridAfter w:val="1"/>
          <w:wAfter w:w="486" w:type="dxa"/>
          <w:trHeight w:val="300"/>
        </w:trPr>
        <w:tc>
          <w:tcPr>
            <w:tcW w:w="3828" w:type="dxa"/>
            <w:gridSpan w:val="2"/>
            <w:tcBorders>
              <w:top w:val="single" w:sz="4" w:space="0" w:color="auto"/>
              <w:left w:val="nil"/>
              <w:bottom w:val="nil"/>
              <w:right w:val="nil"/>
            </w:tcBorders>
            <w:shd w:val="clear" w:color="auto" w:fill="auto"/>
            <w:noWrap/>
            <w:vAlign w:val="center"/>
            <w:hideMark/>
          </w:tcPr>
          <w:p w:rsidR="0035198C" w:rsidRPr="00883EC9" w:rsidRDefault="0035198C" w:rsidP="0035198C">
            <w:pPr>
              <w:rPr>
                <w:i/>
                <w:iCs/>
                <w:sz w:val="22"/>
                <w:szCs w:val="22"/>
              </w:rPr>
            </w:pPr>
            <w:r w:rsidRPr="00883EC9">
              <w:rPr>
                <w:i/>
                <w:iCs/>
                <w:sz w:val="22"/>
                <w:szCs w:val="22"/>
              </w:rPr>
              <w:t>Összesen</w:t>
            </w:r>
          </w:p>
        </w:tc>
        <w:tc>
          <w:tcPr>
            <w:tcW w:w="1048" w:type="dxa"/>
            <w:tcBorders>
              <w:top w:val="single" w:sz="4" w:space="0" w:color="auto"/>
              <w:left w:val="nil"/>
              <w:bottom w:val="nil"/>
              <w:right w:val="nil"/>
            </w:tcBorders>
            <w:shd w:val="clear" w:color="auto" w:fill="auto"/>
            <w:noWrap/>
            <w:vAlign w:val="center"/>
            <w:hideMark/>
          </w:tcPr>
          <w:p w:rsidR="0035198C" w:rsidRPr="00883EC9" w:rsidRDefault="0035198C" w:rsidP="00FF10FE">
            <w:pPr>
              <w:jc w:val="center"/>
              <w:rPr>
                <w:i/>
                <w:iCs/>
                <w:sz w:val="22"/>
                <w:szCs w:val="22"/>
              </w:rPr>
            </w:pPr>
            <w:r w:rsidRPr="00883EC9">
              <w:rPr>
                <w:i/>
                <w:iCs/>
                <w:sz w:val="22"/>
                <w:szCs w:val="22"/>
              </w:rPr>
              <w:t>0</w:t>
            </w:r>
          </w:p>
        </w:tc>
        <w:tc>
          <w:tcPr>
            <w:tcW w:w="1575" w:type="dxa"/>
            <w:gridSpan w:val="2"/>
            <w:tcBorders>
              <w:top w:val="single" w:sz="4" w:space="0" w:color="auto"/>
              <w:left w:val="nil"/>
              <w:bottom w:val="nil"/>
              <w:right w:val="nil"/>
            </w:tcBorders>
            <w:shd w:val="clear" w:color="auto" w:fill="auto"/>
            <w:noWrap/>
            <w:vAlign w:val="center"/>
          </w:tcPr>
          <w:p w:rsidR="0035198C" w:rsidRPr="00883EC9" w:rsidRDefault="005C09C0" w:rsidP="0035198C">
            <w:pPr>
              <w:jc w:val="right"/>
              <w:rPr>
                <w:i/>
                <w:iCs/>
                <w:sz w:val="22"/>
                <w:szCs w:val="22"/>
              </w:rPr>
            </w:pPr>
            <w:r>
              <w:rPr>
                <w:i/>
                <w:iCs/>
                <w:sz w:val="22"/>
                <w:szCs w:val="22"/>
              </w:rPr>
              <w:t>13 448</w:t>
            </w:r>
          </w:p>
        </w:tc>
        <w:tc>
          <w:tcPr>
            <w:tcW w:w="1843" w:type="dxa"/>
            <w:gridSpan w:val="2"/>
            <w:tcBorders>
              <w:top w:val="single" w:sz="4" w:space="0" w:color="auto"/>
              <w:left w:val="nil"/>
              <w:bottom w:val="nil"/>
              <w:right w:val="nil"/>
            </w:tcBorders>
            <w:shd w:val="clear" w:color="auto" w:fill="auto"/>
            <w:noWrap/>
            <w:vAlign w:val="center"/>
          </w:tcPr>
          <w:p w:rsidR="0035198C" w:rsidRPr="00883EC9" w:rsidRDefault="005C09C0" w:rsidP="00FF10FE">
            <w:pPr>
              <w:jc w:val="right"/>
              <w:rPr>
                <w:i/>
                <w:iCs/>
                <w:sz w:val="22"/>
                <w:szCs w:val="22"/>
              </w:rPr>
            </w:pPr>
            <w:r>
              <w:rPr>
                <w:i/>
                <w:iCs/>
                <w:sz w:val="22"/>
                <w:szCs w:val="22"/>
              </w:rPr>
              <w:t>13 448</w:t>
            </w:r>
          </w:p>
        </w:tc>
      </w:tr>
    </w:tbl>
    <w:p w:rsidR="00FF10FE" w:rsidRDefault="00FF10FE" w:rsidP="007F7A04">
      <w:pPr>
        <w:pStyle w:val="Szvegtrzsbehzssal3"/>
        <w:ind w:left="0" w:firstLine="0"/>
        <w:rPr>
          <w:szCs w:val="24"/>
        </w:rPr>
      </w:pPr>
    </w:p>
    <w:p w:rsidR="00FF4069" w:rsidRPr="00E42BAA" w:rsidRDefault="00FF4069" w:rsidP="007F7A04">
      <w:pPr>
        <w:pStyle w:val="Szvegtrzsbehzssal3"/>
        <w:ind w:left="0" w:firstLine="0"/>
        <w:rPr>
          <w:szCs w:val="24"/>
        </w:rPr>
      </w:pPr>
    </w:p>
    <w:p w:rsidR="00E8097E" w:rsidRPr="00883EC9" w:rsidRDefault="00E8097E">
      <w:pPr>
        <w:pStyle w:val="Szvegtrzs"/>
        <w:rPr>
          <w:b/>
          <w:i/>
        </w:rPr>
      </w:pPr>
    </w:p>
    <w:p w:rsidR="00E8097E" w:rsidRDefault="00E8097E" w:rsidP="00DF270C">
      <w:pPr>
        <w:pStyle w:val="Cmsor2"/>
        <w:rPr>
          <w:i/>
          <w:color w:val="auto"/>
        </w:rPr>
      </w:pPr>
      <w:bookmarkStart w:id="19" w:name="_Toc489278852"/>
      <w:r w:rsidRPr="00E42BAA">
        <w:rPr>
          <w:i/>
          <w:color w:val="auto"/>
        </w:rPr>
        <w:t>Kiemelt beruházások</w:t>
      </w:r>
      <w:bookmarkEnd w:id="19"/>
      <w:r w:rsidRPr="00E42BAA">
        <w:rPr>
          <w:i/>
          <w:color w:val="auto"/>
        </w:rPr>
        <w:t xml:space="preserve"> </w:t>
      </w:r>
    </w:p>
    <w:p w:rsidR="00413700" w:rsidRPr="00413700" w:rsidRDefault="00413700" w:rsidP="00413700">
      <w:pPr>
        <w:rPr>
          <w:sz w:val="16"/>
          <w:szCs w:val="16"/>
        </w:rPr>
      </w:pPr>
    </w:p>
    <w:p w:rsidR="00B13BBD" w:rsidRPr="00413700" w:rsidRDefault="00B13BBD" w:rsidP="00413700">
      <w:pPr>
        <w:rPr>
          <w:i/>
          <w:iCs/>
          <w:sz w:val="23"/>
        </w:rPr>
      </w:pPr>
      <w:r w:rsidRPr="00413700">
        <w:rPr>
          <w:i/>
          <w:iCs/>
          <w:sz w:val="23"/>
        </w:rPr>
        <w:t xml:space="preserve">Amortizációs forrásból </w:t>
      </w:r>
      <w:r w:rsidRPr="00413700">
        <w:rPr>
          <w:iCs/>
          <w:sz w:val="23"/>
        </w:rPr>
        <w:t xml:space="preserve">(működtető vagyon és </w:t>
      </w:r>
      <w:proofErr w:type="spellStart"/>
      <w:r w:rsidRPr="00413700">
        <w:rPr>
          <w:iCs/>
          <w:sz w:val="23"/>
        </w:rPr>
        <w:t>rendszerfüggetlen</w:t>
      </w:r>
      <w:proofErr w:type="spellEnd"/>
      <w:r w:rsidRPr="00413700">
        <w:rPr>
          <w:iCs/>
          <w:sz w:val="23"/>
        </w:rPr>
        <w:t xml:space="preserve"> </w:t>
      </w:r>
      <w:proofErr w:type="spellStart"/>
      <w:r w:rsidRPr="00413700">
        <w:rPr>
          <w:iCs/>
          <w:sz w:val="23"/>
        </w:rPr>
        <w:t>víziközmű</w:t>
      </w:r>
      <w:proofErr w:type="spellEnd"/>
      <w:r w:rsidRPr="00413700">
        <w:rPr>
          <w:iCs/>
          <w:sz w:val="23"/>
        </w:rPr>
        <w:t xml:space="preserve"> vagyon amortizációja)</w:t>
      </w:r>
    </w:p>
    <w:p w:rsidR="00B13BBD" w:rsidRPr="00883EC9" w:rsidRDefault="00B13BBD" w:rsidP="00C567E8">
      <w:pPr>
        <w:pStyle w:val="Szvegtrzsbehzssal3"/>
        <w:ind w:left="0" w:firstLine="0"/>
        <w:rPr>
          <w:szCs w:val="24"/>
        </w:rPr>
      </w:pPr>
      <w:r w:rsidRPr="00883EC9">
        <w:rPr>
          <w:szCs w:val="24"/>
        </w:rPr>
        <w:t>Saját kivitelezésben</w:t>
      </w:r>
    </w:p>
    <w:p w:rsidR="004B03B1" w:rsidRPr="00883EC9" w:rsidRDefault="004B03B1" w:rsidP="00DE7BA0">
      <w:pPr>
        <w:pStyle w:val="Szvegtrzsbehzssal"/>
        <w:numPr>
          <w:ilvl w:val="0"/>
          <w:numId w:val="5"/>
        </w:numPr>
        <w:tabs>
          <w:tab w:val="clear" w:pos="567"/>
          <w:tab w:val="clear" w:pos="720"/>
          <w:tab w:val="clear" w:pos="1134"/>
          <w:tab w:val="clear" w:pos="3686"/>
          <w:tab w:val="clear" w:pos="5103"/>
          <w:tab w:val="clear" w:pos="6946"/>
        </w:tabs>
        <w:ind w:left="426" w:right="-1" w:hanging="142"/>
      </w:pPr>
      <w:r w:rsidRPr="00883EC9">
        <w:t xml:space="preserve">Szombathely, Vépi úti telephely Fenntartási és Építési Üzem öltözőjének felújítása, 2,7 </w:t>
      </w:r>
      <w:proofErr w:type="spellStart"/>
      <w:r w:rsidRPr="00883EC9">
        <w:t>mFt</w:t>
      </w:r>
      <w:proofErr w:type="spellEnd"/>
      <w:r w:rsidRPr="00883EC9">
        <w:t xml:space="preserve"> (2016. évről áthúzódó beruházási munka)</w:t>
      </w:r>
    </w:p>
    <w:p w:rsidR="004B03B1" w:rsidRPr="00883EC9" w:rsidRDefault="004B03B1" w:rsidP="00DE7BA0">
      <w:pPr>
        <w:pStyle w:val="Szvegtrzsbehzssal"/>
        <w:numPr>
          <w:ilvl w:val="0"/>
          <w:numId w:val="5"/>
        </w:numPr>
        <w:tabs>
          <w:tab w:val="clear" w:pos="567"/>
          <w:tab w:val="clear" w:pos="720"/>
          <w:tab w:val="clear" w:pos="1134"/>
          <w:tab w:val="clear" w:pos="3686"/>
          <w:tab w:val="clear" w:pos="5103"/>
          <w:tab w:val="clear" w:pos="6946"/>
        </w:tabs>
        <w:ind w:left="426" w:right="-1" w:hanging="142"/>
      </w:pPr>
      <w:r w:rsidRPr="00883EC9">
        <w:t xml:space="preserve">Szombathely, Vépi úti telephely tekercselő műhely felújítása, korszerűsítése, elrendelés összege 2,7 </w:t>
      </w:r>
      <w:proofErr w:type="spellStart"/>
      <w:r w:rsidRPr="00883EC9">
        <w:t>mFt</w:t>
      </w:r>
      <w:proofErr w:type="spellEnd"/>
    </w:p>
    <w:p w:rsidR="00025007" w:rsidRPr="00883EC9" w:rsidRDefault="00025007" w:rsidP="00DE7BA0">
      <w:pPr>
        <w:pStyle w:val="Szvegtrzsbehzssal"/>
        <w:ind w:right="-1" w:firstLine="0"/>
        <w:rPr>
          <w:sz w:val="8"/>
          <w:szCs w:val="8"/>
        </w:rPr>
      </w:pPr>
    </w:p>
    <w:p w:rsidR="00025007" w:rsidRPr="00883EC9" w:rsidRDefault="00025007" w:rsidP="00DE7BA0">
      <w:pPr>
        <w:pStyle w:val="Szvegtrzsbehzssal3"/>
        <w:ind w:left="0" w:right="-1" w:firstLine="0"/>
        <w:rPr>
          <w:szCs w:val="24"/>
        </w:rPr>
      </w:pPr>
      <w:r w:rsidRPr="00883EC9">
        <w:rPr>
          <w:szCs w:val="24"/>
        </w:rPr>
        <w:t>Külső kivitelezés</w:t>
      </w:r>
      <w:r w:rsidR="000611BE" w:rsidRPr="00883EC9">
        <w:rPr>
          <w:szCs w:val="24"/>
        </w:rPr>
        <w:t xml:space="preserve"> és beszerzés</w:t>
      </w:r>
    </w:p>
    <w:p w:rsidR="004B03B1" w:rsidRPr="00883EC9" w:rsidRDefault="004B03B1" w:rsidP="00DE7BA0">
      <w:pPr>
        <w:pStyle w:val="Szvegtrzsbehzssal"/>
        <w:numPr>
          <w:ilvl w:val="0"/>
          <w:numId w:val="5"/>
        </w:numPr>
        <w:tabs>
          <w:tab w:val="clear" w:pos="567"/>
          <w:tab w:val="clear" w:pos="720"/>
          <w:tab w:val="clear" w:pos="1134"/>
          <w:tab w:val="clear" w:pos="3686"/>
          <w:tab w:val="clear" w:pos="5103"/>
          <w:tab w:val="clear" w:pos="6946"/>
        </w:tabs>
        <w:ind w:left="426" w:right="-1" w:hanging="142"/>
      </w:pPr>
      <w:r w:rsidRPr="00883EC9">
        <w:t xml:space="preserve">Szombathely, Újvilág utcai szennyvíztisztító telep térvilágítás korszerűsítése 7,9 </w:t>
      </w:r>
      <w:proofErr w:type="spellStart"/>
      <w:r w:rsidRPr="00883EC9">
        <w:t>mFt</w:t>
      </w:r>
      <w:proofErr w:type="spellEnd"/>
    </w:p>
    <w:p w:rsidR="004B03B1" w:rsidRPr="00883EC9" w:rsidRDefault="004B03B1" w:rsidP="00DE7BA0">
      <w:pPr>
        <w:pStyle w:val="Szvegtrzsbehzssal"/>
        <w:numPr>
          <w:ilvl w:val="0"/>
          <w:numId w:val="5"/>
        </w:numPr>
        <w:tabs>
          <w:tab w:val="clear" w:pos="567"/>
          <w:tab w:val="clear" w:pos="720"/>
          <w:tab w:val="clear" w:pos="1134"/>
          <w:tab w:val="clear" w:pos="3686"/>
          <w:tab w:val="clear" w:pos="5103"/>
          <w:tab w:val="clear" w:pos="6946"/>
        </w:tabs>
        <w:ind w:left="426" w:right="-1" w:hanging="142"/>
      </w:pPr>
      <w:r w:rsidRPr="00883EC9">
        <w:t xml:space="preserve">Műszerek, kisgépek beszerzése folyamatos, 2017. I. félév 16,6 </w:t>
      </w:r>
      <w:proofErr w:type="spellStart"/>
      <w:r w:rsidRPr="00883EC9">
        <w:t>mFt</w:t>
      </w:r>
      <w:proofErr w:type="spellEnd"/>
      <w:r w:rsidRPr="00883EC9">
        <w:t xml:space="preserve"> (áthúzódó tételek nélkül)</w:t>
      </w:r>
    </w:p>
    <w:p w:rsidR="004B03B1" w:rsidRPr="00883EC9" w:rsidRDefault="004B03B1" w:rsidP="00DE7BA0">
      <w:pPr>
        <w:pStyle w:val="Szvegtrzsbehzssal"/>
        <w:numPr>
          <w:ilvl w:val="0"/>
          <w:numId w:val="5"/>
        </w:numPr>
        <w:tabs>
          <w:tab w:val="clear" w:pos="567"/>
          <w:tab w:val="clear" w:pos="720"/>
          <w:tab w:val="clear" w:pos="1134"/>
          <w:tab w:val="clear" w:pos="3686"/>
          <w:tab w:val="clear" w:pos="5103"/>
          <w:tab w:val="clear" w:pos="6946"/>
        </w:tabs>
        <w:ind w:left="426" w:right="-1" w:hanging="142"/>
      </w:pPr>
      <w:r w:rsidRPr="00883EC9">
        <w:t xml:space="preserve">Konténer beszerzés </w:t>
      </w:r>
      <w:r w:rsidR="00A50B89">
        <w:t xml:space="preserve">szennyvíztisztító telepekre </w:t>
      </w:r>
      <w:r w:rsidRPr="00883EC9">
        <w:t xml:space="preserve">5 db, 1,6 </w:t>
      </w:r>
      <w:proofErr w:type="spellStart"/>
      <w:r w:rsidRPr="00883EC9">
        <w:t>mFt</w:t>
      </w:r>
      <w:proofErr w:type="spellEnd"/>
    </w:p>
    <w:p w:rsidR="004B03B1" w:rsidRPr="00883EC9" w:rsidRDefault="004B03B1" w:rsidP="00DE7BA0">
      <w:pPr>
        <w:pStyle w:val="Szvegtrzsbehzssal"/>
        <w:numPr>
          <w:ilvl w:val="0"/>
          <w:numId w:val="5"/>
        </w:numPr>
        <w:tabs>
          <w:tab w:val="clear" w:pos="567"/>
          <w:tab w:val="clear" w:pos="720"/>
          <w:tab w:val="clear" w:pos="1134"/>
          <w:tab w:val="clear" w:pos="3686"/>
          <w:tab w:val="clear" w:pos="5103"/>
          <w:tab w:val="clear" w:pos="6946"/>
        </w:tabs>
        <w:ind w:left="426" w:right="-1" w:hanging="142"/>
      </w:pPr>
      <w:r w:rsidRPr="00883EC9">
        <w:t xml:space="preserve">Laboreszközök beszerzése folyamatos, 2017. I. félévben 16,5 </w:t>
      </w:r>
      <w:proofErr w:type="spellStart"/>
      <w:r w:rsidRPr="00883EC9">
        <w:t>mFt</w:t>
      </w:r>
      <w:proofErr w:type="spellEnd"/>
      <w:r w:rsidRPr="00883EC9">
        <w:t xml:space="preserve"> (áthúzódó tételek nélkül)</w:t>
      </w:r>
    </w:p>
    <w:p w:rsidR="004B03B1" w:rsidRPr="00883EC9" w:rsidRDefault="004B03B1" w:rsidP="00DE7BA0">
      <w:pPr>
        <w:pStyle w:val="Szvegtrzsbehzssal"/>
        <w:numPr>
          <w:ilvl w:val="0"/>
          <w:numId w:val="5"/>
        </w:numPr>
        <w:tabs>
          <w:tab w:val="clear" w:pos="567"/>
          <w:tab w:val="clear" w:pos="720"/>
          <w:tab w:val="clear" w:pos="1134"/>
          <w:tab w:val="clear" w:pos="3686"/>
          <w:tab w:val="clear" w:pos="5103"/>
          <w:tab w:val="clear" w:pos="6946"/>
        </w:tabs>
        <w:ind w:left="426" w:right="-1" w:hanging="142"/>
      </w:pPr>
      <w:r w:rsidRPr="00883EC9">
        <w:t xml:space="preserve">Búvárszivattyú csomag beszerzés 10,3 </w:t>
      </w:r>
      <w:proofErr w:type="spellStart"/>
      <w:r w:rsidRPr="00883EC9">
        <w:t>mFt</w:t>
      </w:r>
      <w:proofErr w:type="spellEnd"/>
    </w:p>
    <w:p w:rsidR="004B03B1" w:rsidRPr="00883EC9" w:rsidRDefault="004B03B1" w:rsidP="00DE7BA0">
      <w:pPr>
        <w:pStyle w:val="Szvegtrzsbehzssal"/>
        <w:numPr>
          <w:ilvl w:val="0"/>
          <w:numId w:val="5"/>
        </w:numPr>
        <w:tabs>
          <w:tab w:val="clear" w:pos="567"/>
          <w:tab w:val="clear" w:pos="720"/>
          <w:tab w:val="clear" w:pos="1134"/>
          <w:tab w:val="clear" w:pos="3686"/>
          <w:tab w:val="clear" w:pos="5103"/>
          <w:tab w:val="clear" w:pos="6946"/>
        </w:tabs>
        <w:ind w:left="426" w:right="-1" w:hanging="142"/>
      </w:pPr>
      <w:r w:rsidRPr="00883EC9">
        <w:t xml:space="preserve">Ultrahangos vízmérők beszerzése 27,8 </w:t>
      </w:r>
      <w:proofErr w:type="spellStart"/>
      <w:r w:rsidRPr="00883EC9">
        <w:t>mFt</w:t>
      </w:r>
      <w:proofErr w:type="spellEnd"/>
    </w:p>
    <w:p w:rsidR="00622E01" w:rsidRPr="006430E4" w:rsidRDefault="00F63FA5" w:rsidP="00DE7BA0">
      <w:pPr>
        <w:pStyle w:val="Szvegtrzsbehzssal"/>
        <w:numPr>
          <w:ilvl w:val="0"/>
          <w:numId w:val="5"/>
        </w:numPr>
        <w:tabs>
          <w:tab w:val="clear" w:pos="567"/>
          <w:tab w:val="clear" w:pos="720"/>
          <w:tab w:val="clear" w:pos="1134"/>
          <w:tab w:val="clear" w:pos="3686"/>
          <w:tab w:val="clear" w:pos="5103"/>
          <w:tab w:val="clear" w:pos="6946"/>
        </w:tabs>
        <w:ind w:left="426" w:right="-1" w:hanging="142"/>
      </w:pPr>
      <w:r w:rsidRPr="00883EC9">
        <w:t>K</w:t>
      </w:r>
      <w:r w:rsidR="00024526" w:rsidRPr="00883EC9">
        <w:t xml:space="preserve">ombinált csatornatisztító gépjármű 114 </w:t>
      </w:r>
      <w:proofErr w:type="spellStart"/>
      <w:r w:rsidR="00024526" w:rsidRPr="00883EC9">
        <w:t>mFt</w:t>
      </w:r>
      <w:proofErr w:type="spellEnd"/>
      <w:r w:rsidR="00024526" w:rsidRPr="00883EC9">
        <w:t xml:space="preserve"> (áthúzódó)</w:t>
      </w:r>
    </w:p>
    <w:p w:rsidR="005E0B0F" w:rsidRPr="00883EC9" w:rsidRDefault="005E0B0F" w:rsidP="005E0B0F">
      <w:pPr>
        <w:ind w:right="851"/>
        <w:jc w:val="both"/>
        <w:rPr>
          <w:bCs/>
          <w:sz w:val="24"/>
          <w:szCs w:val="24"/>
        </w:rPr>
      </w:pPr>
    </w:p>
    <w:p w:rsidR="00025007" w:rsidRPr="00883EC9" w:rsidRDefault="005E0B0F" w:rsidP="00025007">
      <w:pPr>
        <w:rPr>
          <w:i/>
          <w:iCs/>
          <w:sz w:val="23"/>
        </w:rPr>
      </w:pPr>
      <w:r w:rsidRPr="00883EC9">
        <w:rPr>
          <w:i/>
          <w:iCs/>
          <w:sz w:val="23"/>
        </w:rPr>
        <w:t>2015. évi eredménytartalékból</w:t>
      </w:r>
    </w:p>
    <w:p w:rsidR="00025007" w:rsidRPr="00883EC9" w:rsidRDefault="00025007" w:rsidP="00C567E8">
      <w:pPr>
        <w:pStyle w:val="Szvegtrzsbehzssal3"/>
        <w:ind w:left="0" w:firstLine="0"/>
        <w:rPr>
          <w:szCs w:val="24"/>
        </w:rPr>
      </w:pPr>
      <w:r w:rsidRPr="00883EC9">
        <w:rPr>
          <w:szCs w:val="24"/>
        </w:rPr>
        <w:t xml:space="preserve">Külső </w:t>
      </w:r>
      <w:r w:rsidR="000611BE" w:rsidRPr="00883EC9">
        <w:rPr>
          <w:szCs w:val="24"/>
        </w:rPr>
        <w:t>beszerzés</w:t>
      </w:r>
    </w:p>
    <w:p w:rsidR="001E29F4" w:rsidRPr="00883EC9" w:rsidRDefault="00024526" w:rsidP="006430E4">
      <w:pPr>
        <w:pStyle w:val="Szvegtrzsbehzssal"/>
        <w:numPr>
          <w:ilvl w:val="0"/>
          <w:numId w:val="5"/>
        </w:numPr>
        <w:tabs>
          <w:tab w:val="clear" w:pos="567"/>
          <w:tab w:val="clear" w:pos="720"/>
          <w:tab w:val="clear" w:pos="1134"/>
          <w:tab w:val="clear" w:pos="3686"/>
          <w:tab w:val="clear" w:pos="5103"/>
          <w:tab w:val="clear" w:pos="6946"/>
        </w:tabs>
        <w:ind w:left="426" w:right="141" w:hanging="142"/>
      </w:pPr>
      <w:r w:rsidRPr="00883EC9">
        <w:t>M</w:t>
      </w:r>
      <w:r w:rsidR="001E29F4" w:rsidRPr="00883EC9">
        <w:t xml:space="preserve">ultifunkcionális karbantartó gép szombathelyi szennyvíztisztító telepre 33 </w:t>
      </w:r>
      <w:proofErr w:type="spellStart"/>
      <w:r w:rsidR="001E29F4" w:rsidRPr="00883EC9">
        <w:t>mFt</w:t>
      </w:r>
      <w:proofErr w:type="spellEnd"/>
    </w:p>
    <w:p w:rsidR="00E42BAA" w:rsidRDefault="00E42BAA">
      <w:pPr>
        <w:rPr>
          <w:sz w:val="24"/>
        </w:rPr>
      </w:pPr>
      <w:r>
        <w:br w:type="page"/>
      </w:r>
    </w:p>
    <w:p w:rsidR="002B509E" w:rsidRDefault="002B509E" w:rsidP="00FC20FE">
      <w:pPr>
        <w:pStyle w:val="Cmsor1"/>
        <w:ind w:left="0"/>
        <w:rPr>
          <w:b/>
          <w:bCs/>
          <w:i/>
          <w:iCs/>
          <w:szCs w:val="24"/>
        </w:rPr>
      </w:pPr>
    </w:p>
    <w:p w:rsidR="002B509E" w:rsidRPr="002B509E" w:rsidRDefault="002B509E" w:rsidP="002B509E"/>
    <w:p w:rsidR="00E8097E" w:rsidRPr="00124846" w:rsidRDefault="00E8097E" w:rsidP="00FC20FE">
      <w:pPr>
        <w:pStyle w:val="Cmsor1"/>
        <w:ind w:left="0"/>
        <w:rPr>
          <w:b/>
          <w:bCs/>
          <w:i/>
          <w:iCs/>
          <w:sz w:val="28"/>
          <w:szCs w:val="28"/>
        </w:rPr>
      </w:pPr>
      <w:bookmarkStart w:id="20" w:name="_Toc489278853"/>
      <w:r w:rsidRPr="00124846">
        <w:rPr>
          <w:b/>
          <w:bCs/>
          <w:i/>
          <w:iCs/>
          <w:sz w:val="28"/>
          <w:szCs w:val="28"/>
        </w:rPr>
        <w:t>Megrendelésre végzett építési tevékenység</w:t>
      </w:r>
      <w:bookmarkEnd w:id="20"/>
    </w:p>
    <w:p w:rsidR="00E8097E" w:rsidRPr="00883EC9" w:rsidRDefault="00E8097E">
      <w:pPr>
        <w:rPr>
          <w:sz w:val="18"/>
        </w:rPr>
      </w:pPr>
    </w:p>
    <w:p w:rsidR="00E8097E" w:rsidRPr="00883EC9" w:rsidRDefault="00E8097E">
      <w:pPr>
        <w:jc w:val="both"/>
        <w:rPr>
          <w:sz w:val="24"/>
        </w:rPr>
      </w:pPr>
      <w:r w:rsidRPr="00883EC9">
        <w:rPr>
          <w:sz w:val="24"/>
        </w:rPr>
        <w:t>201</w:t>
      </w:r>
      <w:r w:rsidR="001D03B7" w:rsidRPr="00883EC9">
        <w:rPr>
          <w:sz w:val="24"/>
        </w:rPr>
        <w:t>7</w:t>
      </w:r>
      <w:r w:rsidRPr="00883EC9">
        <w:rPr>
          <w:sz w:val="24"/>
        </w:rPr>
        <w:t xml:space="preserve">. évre önkormányzatok megrendelésére víziközmű-használati díjból vállalkozási szerződéssel végezhető építési tevékenység tervezett összege </w:t>
      </w:r>
      <w:r w:rsidR="00756298" w:rsidRPr="00883EC9">
        <w:rPr>
          <w:sz w:val="24"/>
        </w:rPr>
        <w:t>7</w:t>
      </w:r>
      <w:r w:rsidR="001D03B7" w:rsidRPr="00883EC9">
        <w:rPr>
          <w:sz w:val="24"/>
        </w:rPr>
        <w:t>25,7</w:t>
      </w:r>
      <w:r w:rsidRPr="00883EC9">
        <w:rPr>
          <w:sz w:val="24"/>
        </w:rPr>
        <w:t xml:space="preserve"> </w:t>
      </w:r>
      <w:proofErr w:type="spellStart"/>
      <w:r w:rsidRPr="00883EC9">
        <w:rPr>
          <w:sz w:val="24"/>
        </w:rPr>
        <w:t>mFt</w:t>
      </w:r>
      <w:proofErr w:type="spellEnd"/>
      <w:r w:rsidRPr="00883EC9">
        <w:rPr>
          <w:sz w:val="24"/>
        </w:rPr>
        <w:t>, egyéb</w:t>
      </w:r>
      <w:r w:rsidRPr="00883EC9">
        <w:rPr>
          <w:bCs/>
          <w:sz w:val="24"/>
        </w:rPr>
        <w:t xml:space="preserve"> megrendelésre végzett építési tevékenység terve </w:t>
      </w:r>
      <w:r w:rsidR="001D03B7" w:rsidRPr="00883EC9">
        <w:rPr>
          <w:bCs/>
          <w:sz w:val="24"/>
        </w:rPr>
        <w:t>101,8</w:t>
      </w:r>
      <w:r w:rsidRPr="00883EC9">
        <w:rPr>
          <w:bCs/>
          <w:sz w:val="24"/>
        </w:rPr>
        <w:t xml:space="preserve"> </w:t>
      </w:r>
      <w:proofErr w:type="spellStart"/>
      <w:r w:rsidRPr="00883EC9">
        <w:rPr>
          <w:bCs/>
          <w:sz w:val="24"/>
        </w:rPr>
        <w:t>mFt</w:t>
      </w:r>
      <w:proofErr w:type="spellEnd"/>
      <w:r w:rsidRPr="00883EC9">
        <w:rPr>
          <w:bCs/>
          <w:sz w:val="24"/>
        </w:rPr>
        <w:t>.</w:t>
      </w:r>
    </w:p>
    <w:p w:rsidR="00E8097E" w:rsidRPr="00883EC9" w:rsidRDefault="00E8097E">
      <w:pPr>
        <w:pStyle w:val="llb"/>
        <w:tabs>
          <w:tab w:val="clear" w:pos="4536"/>
          <w:tab w:val="clear" w:pos="9072"/>
        </w:tabs>
        <w:jc w:val="both"/>
        <w:rPr>
          <w:i/>
          <w:iCs/>
          <w:sz w:val="12"/>
          <w:szCs w:val="12"/>
        </w:rPr>
      </w:pPr>
    </w:p>
    <w:p w:rsidR="00E8097E" w:rsidRPr="00883EC9" w:rsidRDefault="00E8097E">
      <w:pPr>
        <w:jc w:val="both"/>
        <w:rPr>
          <w:sz w:val="24"/>
        </w:rPr>
      </w:pPr>
      <w:r w:rsidRPr="00883EC9">
        <w:rPr>
          <w:sz w:val="24"/>
        </w:rPr>
        <w:t xml:space="preserve">Társaságunk a szolgáltatás biztonsága, folyamatossága érdekében az önkormányzatok tulajdonában lévő </w:t>
      </w:r>
      <w:proofErr w:type="spellStart"/>
      <w:r w:rsidRPr="00883EC9">
        <w:rPr>
          <w:sz w:val="24"/>
        </w:rPr>
        <w:t>víziközmű</w:t>
      </w:r>
      <w:proofErr w:type="spellEnd"/>
      <w:r w:rsidRPr="00883EC9">
        <w:rPr>
          <w:sz w:val="24"/>
        </w:rPr>
        <w:t xml:space="preserve"> eszközök használati díjból megvalósítható szükséges rekonstrukciójáról, fejlesztéséről </w:t>
      </w:r>
      <w:r w:rsidR="009C4800" w:rsidRPr="00883EC9">
        <w:rPr>
          <w:sz w:val="24"/>
        </w:rPr>
        <w:t xml:space="preserve">a </w:t>
      </w:r>
      <w:proofErr w:type="spellStart"/>
      <w:r w:rsidR="009C4800" w:rsidRPr="00883EC9">
        <w:rPr>
          <w:sz w:val="24"/>
        </w:rPr>
        <w:t>GFT-ben</w:t>
      </w:r>
      <w:proofErr w:type="spellEnd"/>
      <w:r w:rsidR="009C4800" w:rsidRPr="00883EC9">
        <w:rPr>
          <w:sz w:val="24"/>
        </w:rPr>
        <w:t xml:space="preserve"> rögzítetteknek megfelelően </w:t>
      </w:r>
      <w:r w:rsidRPr="00883EC9">
        <w:rPr>
          <w:sz w:val="24"/>
        </w:rPr>
        <w:t>javaslatot készít, amelyet egyeztet az érintett önkormányzatokkal, illetve a kijelölt felelős önkormányzattal, akik az egyeztetést, döntést követően intézkednek a</w:t>
      </w:r>
      <w:r w:rsidR="009C4800" w:rsidRPr="00883EC9">
        <w:rPr>
          <w:sz w:val="24"/>
        </w:rPr>
        <w:t>z önkormányzati</w:t>
      </w:r>
      <w:r w:rsidRPr="00883EC9">
        <w:rPr>
          <w:sz w:val="24"/>
        </w:rPr>
        <w:t xml:space="preserve"> beruházások megrendeléséről.</w:t>
      </w:r>
    </w:p>
    <w:p w:rsidR="00E80DC1" w:rsidRPr="00883EC9" w:rsidRDefault="00E8097E" w:rsidP="00E80DC1">
      <w:pPr>
        <w:jc w:val="both"/>
        <w:rPr>
          <w:sz w:val="24"/>
        </w:rPr>
      </w:pPr>
      <w:r w:rsidRPr="00883EC9">
        <w:rPr>
          <w:sz w:val="24"/>
        </w:rPr>
        <w:t>A 201</w:t>
      </w:r>
      <w:r w:rsidR="001D03B7" w:rsidRPr="00883EC9">
        <w:rPr>
          <w:sz w:val="24"/>
        </w:rPr>
        <w:t>7</w:t>
      </w:r>
      <w:r w:rsidRPr="00883EC9">
        <w:rPr>
          <w:sz w:val="24"/>
        </w:rPr>
        <w:t xml:space="preserve">. évre javasolt </w:t>
      </w:r>
      <w:r w:rsidR="00756298" w:rsidRPr="00883EC9">
        <w:rPr>
          <w:sz w:val="24"/>
        </w:rPr>
        <w:t>7</w:t>
      </w:r>
      <w:r w:rsidR="001D03B7" w:rsidRPr="00883EC9">
        <w:rPr>
          <w:sz w:val="24"/>
        </w:rPr>
        <w:t>25 694</w:t>
      </w:r>
      <w:r w:rsidRPr="00883EC9">
        <w:rPr>
          <w:sz w:val="24"/>
        </w:rPr>
        <w:t xml:space="preserve"> </w:t>
      </w:r>
      <w:proofErr w:type="spellStart"/>
      <w:r w:rsidRPr="00883EC9">
        <w:rPr>
          <w:sz w:val="24"/>
        </w:rPr>
        <w:t>eFt</w:t>
      </w:r>
      <w:proofErr w:type="spellEnd"/>
      <w:r w:rsidRPr="00883EC9">
        <w:rPr>
          <w:sz w:val="24"/>
        </w:rPr>
        <w:t xml:space="preserve"> értékű munkából 201</w:t>
      </w:r>
      <w:r w:rsidR="001D03B7" w:rsidRPr="00883EC9">
        <w:rPr>
          <w:sz w:val="24"/>
        </w:rPr>
        <w:t>7</w:t>
      </w:r>
      <w:r w:rsidRPr="00883EC9">
        <w:rPr>
          <w:sz w:val="24"/>
        </w:rPr>
        <w:t>. I. félévben i</w:t>
      </w:r>
      <w:r w:rsidRPr="00883EC9">
        <w:rPr>
          <w:i/>
          <w:iCs/>
          <w:sz w:val="24"/>
        </w:rPr>
        <w:t xml:space="preserve">vóvíz ellátás </w:t>
      </w:r>
      <w:r w:rsidRPr="007257B4">
        <w:rPr>
          <w:sz w:val="24"/>
        </w:rPr>
        <w:t>területén</w:t>
      </w:r>
      <w:r w:rsidRPr="007257B4">
        <w:rPr>
          <w:iCs/>
          <w:sz w:val="24"/>
        </w:rPr>
        <w:t xml:space="preserve"> </w:t>
      </w:r>
      <w:r w:rsidR="007257B4" w:rsidRPr="007257B4">
        <w:rPr>
          <w:iCs/>
          <w:sz w:val="24"/>
        </w:rPr>
        <w:t xml:space="preserve">lekötött és </w:t>
      </w:r>
      <w:r w:rsidRPr="007257B4">
        <w:rPr>
          <w:sz w:val="24"/>
        </w:rPr>
        <w:t>el</w:t>
      </w:r>
      <w:r w:rsidRPr="00883EC9">
        <w:rPr>
          <w:sz w:val="24"/>
        </w:rPr>
        <w:t xml:space="preserve">rendelt munkák értéke </w:t>
      </w:r>
      <w:r w:rsidR="001D03B7" w:rsidRPr="00883EC9">
        <w:rPr>
          <w:sz w:val="24"/>
        </w:rPr>
        <w:t>182 402</w:t>
      </w:r>
      <w:r w:rsidRPr="00883EC9">
        <w:rPr>
          <w:sz w:val="24"/>
        </w:rPr>
        <w:t xml:space="preserve"> </w:t>
      </w:r>
      <w:proofErr w:type="spellStart"/>
      <w:r w:rsidRPr="00883EC9">
        <w:rPr>
          <w:sz w:val="24"/>
        </w:rPr>
        <w:t>eFt</w:t>
      </w:r>
      <w:proofErr w:type="spellEnd"/>
      <w:r w:rsidRPr="00883EC9">
        <w:rPr>
          <w:sz w:val="24"/>
        </w:rPr>
        <w:t xml:space="preserve"> (terv </w:t>
      </w:r>
      <w:r w:rsidR="001D03B7" w:rsidRPr="00883EC9">
        <w:rPr>
          <w:sz w:val="24"/>
        </w:rPr>
        <w:t>98,2</w:t>
      </w:r>
      <w:r w:rsidRPr="00883EC9">
        <w:rPr>
          <w:sz w:val="24"/>
        </w:rPr>
        <w:t xml:space="preserve"> %-a), a s</w:t>
      </w:r>
      <w:r w:rsidRPr="00883EC9">
        <w:rPr>
          <w:i/>
          <w:iCs/>
          <w:sz w:val="24"/>
        </w:rPr>
        <w:t xml:space="preserve">zennyvízelvezetés és </w:t>
      </w:r>
      <w:proofErr w:type="spellStart"/>
      <w:r w:rsidRPr="00883EC9">
        <w:rPr>
          <w:i/>
          <w:iCs/>
          <w:sz w:val="24"/>
        </w:rPr>
        <w:t>-tisztítás</w:t>
      </w:r>
      <w:proofErr w:type="spellEnd"/>
      <w:r w:rsidRPr="00883EC9">
        <w:rPr>
          <w:i/>
          <w:iCs/>
          <w:sz w:val="24"/>
        </w:rPr>
        <w:t xml:space="preserve"> </w:t>
      </w:r>
      <w:r w:rsidRPr="00883EC9">
        <w:rPr>
          <w:sz w:val="24"/>
        </w:rPr>
        <w:t xml:space="preserve">területén </w:t>
      </w:r>
      <w:r w:rsidR="001D03B7" w:rsidRPr="00883EC9">
        <w:rPr>
          <w:sz w:val="24"/>
        </w:rPr>
        <w:t>283 110</w:t>
      </w:r>
      <w:r w:rsidRPr="00883EC9">
        <w:rPr>
          <w:sz w:val="24"/>
        </w:rPr>
        <w:t xml:space="preserve"> </w:t>
      </w:r>
      <w:proofErr w:type="spellStart"/>
      <w:r w:rsidRPr="00883EC9">
        <w:rPr>
          <w:sz w:val="24"/>
        </w:rPr>
        <w:t>eFt</w:t>
      </w:r>
      <w:proofErr w:type="spellEnd"/>
      <w:r w:rsidRPr="00883EC9">
        <w:rPr>
          <w:sz w:val="24"/>
        </w:rPr>
        <w:t xml:space="preserve"> (terv </w:t>
      </w:r>
      <w:r w:rsidR="001D03B7" w:rsidRPr="00883EC9">
        <w:rPr>
          <w:sz w:val="24"/>
        </w:rPr>
        <w:t>52,4</w:t>
      </w:r>
      <w:r w:rsidRPr="00883EC9">
        <w:rPr>
          <w:sz w:val="24"/>
        </w:rPr>
        <w:t xml:space="preserve"> %-a). </w:t>
      </w:r>
    </w:p>
    <w:p w:rsidR="00E80DC1" w:rsidRPr="00883EC9" w:rsidRDefault="00E80DC1" w:rsidP="00E80DC1">
      <w:pPr>
        <w:jc w:val="both"/>
        <w:rPr>
          <w:bCs/>
          <w:sz w:val="24"/>
        </w:rPr>
      </w:pPr>
      <w:r w:rsidRPr="00883EC9">
        <w:rPr>
          <w:bCs/>
          <w:i/>
          <w:iCs/>
          <w:sz w:val="24"/>
        </w:rPr>
        <w:t>Egyéb megrendelésekre végzett építés</w:t>
      </w:r>
      <w:r w:rsidRPr="00883EC9">
        <w:rPr>
          <w:bCs/>
          <w:sz w:val="24"/>
        </w:rPr>
        <w:t xml:space="preserve"> - hálózatbővítések, víz- és cs</w:t>
      </w:r>
      <w:r w:rsidR="00E42BAA">
        <w:rPr>
          <w:bCs/>
          <w:sz w:val="24"/>
        </w:rPr>
        <w:t xml:space="preserve">atorna bekötővezeték építések, </w:t>
      </w:r>
      <w:r w:rsidRPr="00883EC9">
        <w:rPr>
          <w:bCs/>
          <w:sz w:val="24"/>
        </w:rPr>
        <w:t xml:space="preserve">erősáramú és gépészeti szerelések – </w:t>
      </w:r>
      <w:r w:rsidR="007257B4">
        <w:rPr>
          <w:bCs/>
          <w:sz w:val="24"/>
        </w:rPr>
        <w:t xml:space="preserve">lekötött és elrendelt </w:t>
      </w:r>
      <w:r w:rsidRPr="00883EC9">
        <w:rPr>
          <w:bCs/>
          <w:sz w:val="24"/>
        </w:rPr>
        <w:t xml:space="preserve">összege </w:t>
      </w:r>
      <w:r w:rsidR="001D03B7" w:rsidRPr="00883EC9">
        <w:rPr>
          <w:bCs/>
          <w:sz w:val="24"/>
        </w:rPr>
        <w:t>172 983</w:t>
      </w:r>
      <w:r w:rsidRPr="00883EC9">
        <w:rPr>
          <w:bCs/>
          <w:sz w:val="24"/>
        </w:rPr>
        <w:t xml:space="preserve"> </w:t>
      </w:r>
      <w:proofErr w:type="spellStart"/>
      <w:r w:rsidRPr="00883EC9">
        <w:rPr>
          <w:bCs/>
          <w:sz w:val="24"/>
        </w:rPr>
        <w:t>eFt</w:t>
      </w:r>
      <w:proofErr w:type="spellEnd"/>
      <w:r w:rsidRPr="00883EC9">
        <w:rPr>
          <w:bCs/>
          <w:sz w:val="24"/>
        </w:rPr>
        <w:t xml:space="preserve">, a tervezett összeg </w:t>
      </w:r>
      <w:r w:rsidR="001D03B7" w:rsidRPr="00883EC9">
        <w:rPr>
          <w:bCs/>
          <w:sz w:val="24"/>
        </w:rPr>
        <w:t>169,8</w:t>
      </w:r>
      <w:r w:rsidRPr="00883EC9">
        <w:rPr>
          <w:bCs/>
          <w:sz w:val="24"/>
        </w:rPr>
        <w:t xml:space="preserve"> %-a.</w:t>
      </w:r>
    </w:p>
    <w:p w:rsidR="00E80DC1" w:rsidRPr="00883EC9" w:rsidRDefault="00E80DC1" w:rsidP="00E80DC1">
      <w:pPr>
        <w:jc w:val="both"/>
        <w:rPr>
          <w:sz w:val="24"/>
        </w:rPr>
      </w:pPr>
    </w:p>
    <w:p w:rsidR="00E8097E" w:rsidRPr="00883EC9" w:rsidRDefault="00E8097E">
      <w:pPr>
        <w:ind w:right="426"/>
        <w:jc w:val="right"/>
        <w:rPr>
          <w:bCs/>
          <w:sz w:val="23"/>
        </w:rPr>
      </w:pPr>
      <w:proofErr w:type="spellStart"/>
      <w:r w:rsidRPr="00883EC9">
        <w:rPr>
          <w:bCs/>
          <w:sz w:val="23"/>
        </w:rPr>
        <w:t>eFt</w:t>
      </w:r>
      <w:proofErr w:type="spellEnd"/>
    </w:p>
    <w:tbl>
      <w:tblPr>
        <w:tblW w:w="9680" w:type="dxa"/>
        <w:tblCellMar>
          <w:left w:w="70" w:type="dxa"/>
          <w:right w:w="70" w:type="dxa"/>
        </w:tblCellMar>
        <w:tblLook w:val="04A0" w:firstRow="1" w:lastRow="0" w:firstColumn="1" w:lastColumn="0" w:noHBand="0" w:noVBand="1"/>
      </w:tblPr>
      <w:tblGrid>
        <w:gridCol w:w="3956"/>
        <w:gridCol w:w="1053"/>
        <w:gridCol w:w="1512"/>
        <w:gridCol w:w="425"/>
        <w:gridCol w:w="1276"/>
        <w:gridCol w:w="242"/>
        <w:gridCol w:w="974"/>
        <w:gridCol w:w="242"/>
      </w:tblGrid>
      <w:tr w:rsidR="001D03B7" w:rsidRPr="00883EC9" w:rsidTr="001D03B7">
        <w:trPr>
          <w:trHeight w:val="300"/>
        </w:trPr>
        <w:tc>
          <w:tcPr>
            <w:tcW w:w="3956" w:type="dxa"/>
            <w:tcBorders>
              <w:top w:val="single" w:sz="4" w:space="0" w:color="auto"/>
              <w:left w:val="nil"/>
              <w:bottom w:val="nil"/>
              <w:right w:val="nil"/>
            </w:tcBorders>
            <w:shd w:val="clear" w:color="auto" w:fill="auto"/>
            <w:noWrap/>
            <w:vAlign w:val="bottom"/>
            <w:hideMark/>
          </w:tcPr>
          <w:p w:rsidR="001D03B7" w:rsidRPr="00883EC9" w:rsidRDefault="001D03B7" w:rsidP="001D03B7">
            <w:pPr>
              <w:rPr>
                <w:sz w:val="22"/>
                <w:szCs w:val="22"/>
              </w:rPr>
            </w:pPr>
          </w:p>
        </w:tc>
        <w:tc>
          <w:tcPr>
            <w:tcW w:w="1053" w:type="dxa"/>
            <w:vMerge w:val="restart"/>
            <w:tcBorders>
              <w:top w:val="single" w:sz="4" w:space="0" w:color="auto"/>
              <w:left w:val="nil"/>
              <w:bottom w:val="single" w:sz="4" w:space="0" w:color="000000"/>
              <w:right w:val="nil"/>
            </w:tcBorders>
            <w:shd w:val="clear" w:color="auto" w:fill="auto"/>
            <w:vAlign w:val="center"/>
            <w:hideMark/>
          </w:tcPr>
          <w:p w:rsidR="001D03B7" w:rsidRPr="00883EC9" w:rsidRDefault="001D03B7" w:rsidP="001D03B7">
            <w:pPr>
              <w:jc w:val="center"/>
              <w:rPr>
                <w:rFonts w:ascii="Times New Roman CE" w:hAnsi="Times New Roman CE" w:cs="Times New Roman CE"/>
                <w:i/>
                <w:iCs/>
                <w:sz w:val="22"/>
                <w:szCs w:val="22"/>
              </w:rPr>
            </w:pPr>
            <w:r w:rsidRPr="00883EC9">
              <w:rPr>
                <w:rFonts w:ascii="Times New Roman CE" w:hAnsi="Times New Roman CE" w:cs="Times New Roman CE"/>
                <w:i/>
                <w:iCs/>
                <w:sz w:val="22"/>
                <w:szCs w:val="22"/>
              </w:rPr>
              <w:t>2017. évi</w:t>
            </w:r>
            <w:r w:rsidRPr="00883EC9">
              <w:rPr>
                <w:rFonts w:ascii="Times New Roman CE" w:hAnsi="Times New Roman CE" w:cs="Times New Roman CE"/>
                <w:i/>
                <w:iCs/>
                <w:sz w:val="22"/>
                <w:szCs w:val="22"/>
              </w:rPr>
              <w:br/>
              <w:t xml:space="preserve">1. sz. </w:t>
            </w:r>
            <w:proofErr w:type="spellStart"/>
            <w:r w:rsidRPr="00883EC9">
              <w:rPr>
                <w:rFonts w:ascii="Times New Roman CE" w:hAnsi="Times New Roman CE" w:cs="Times New Roman CE"/>
                <w:i/>
                <w:iCs/>
                <w:sz w:val="22"/>
                <w:szCs w:val="22"/>
              </w:rPr>
              <w:t>mód.terv</w:t>
            </w:r>
            <w:proofErr w:type="spellEnd"/>
          </w:p>
        </w:tc>
        <w:tc>
          <w:tcPr>
            <w:tcW w:w="3455" w:type="dxa"/>
            <w:gridSpan w:val="4"/>
            <w:tcBorders>
              <w:top w:val="single" w:sz="4" w:space="0" w:color="auto"/>
              <w:left w:val="nil"/>
              <w:bottom w:val="single" w:sz="4" w:space="0" w:color="auto"/>
              <w:right w:val="nil"/>
            </w:tcBorders>
            <w:shd w:val="clear" w:color="auto" w:fill="auto"/>
            <w:noWrap/>
            <w:vAlign w:val="center"/>
            <w:hideMark/>
          </w:tcPr>
          <w:p w:rsidR="001D03B7" w:rsidRPr="00883EC9" w:rsidRDefault="001D03B7" w:rsidP="001D03B7">
            <w:pPr>
              <w:jc w:val="center"/>
              <w:rPr>
                <w:rFonts w:ascii="Times New Roman CE" w:hAnsi="Times New Roman CE" w:cs="Times New Roman CE"/>
                <w:i/>
                <w:iCs/>
                <w:sz w:val="22"/>
                <w:szCs w:val="22"/>
              </w:rPr>
            </w:pPr>
            <w:r w:rsidRPr="00883EC9">
              <w:rPr>
                <w:rFonts w:ascii="Times New Roman CE" w:hAnsi="Times New Roman CE" w:cs="Times New Roman CE"/>
                <w:i/>
                <w:iCs/>
                <w:sz w:val="22"/>
                <w:szCs w:val="22"/>
              </w:rPr>
              <w:t>2017. I. félévi tény</w:t>
            </w:r>
          </w:p>
        </w:tc>
        <w:tc>
          <w:tcPr>
            <w:tcW w:w="1216" w:type="dxa"/>
            <w:gridSpan w:val="2"/>
            <w:tcBorders>
              <w:top w:val="single" w:sz="4" w:space="0" w:color="auto"/>
              <w:left w:val="nil"/>
              <w:bottom w:val="single" w:sz="4" w:space="0" w:color="auto"/>
              <w:right w:val="nil"/>
            </w:tcBorders>
            <w:shd w:val="clear" w:color="auto" w:fill="auto"/>
            <w:noWrap/>
            <w:vAlign w:val="bottom"/>
            <w:hideMark/>
          </w:tcPr>
          <w:p w:rsidR="001D03B7" w:rsidRPr="00883EC9" w:rsidRDefault="001D03B7" w:rsidP="001D03B7">
            <w:pPr>
              <w:rPr>
                <w:rFonts w:ascii="Times New Roman CE" w:hAnsi="Times New Roman CE" w:cs="Times New Roman CE"/>
                <w:i/>
                <w:iCs/>
                <w:sz w:val="22"/>
                <w:szCs w:val="22"/>
              </w:rPr>
            </w:pPr>
            <w:r w:rsidRPr="00883EC9">
              <w:rPr>
                <w:rFonts w:ascii="Times New Roman CE" w:hAnsi="Times New Roman CE" w:cs="Times New Roman CE"/>
                <w:i/>
                <w:iCs/>
                <w:sz w:val="22"/>
                <w:szCs w:val="22"/>
              </w:rPr>
              <w:t> </w:t>
            </w:r>
          </w:p>
        </w:tc>
      </w:tr>
      <w:tr w:rsidR="001D03B7" w:rsidRPr="00883EC9" w:rsidTr="001D03B7">
        <w:trPr>
          <w:trHeight w:val="657"/>
        </w:trPr>
        <w:tc>
          <w:tcPr>
            <w:tcW w:w="3956" w:type="dxa"/>
            <w:tcBorders>
              <w:top w:val="nil"/>
              <w:left w:val="nil"/>
              <w:bottom w:val="single" w:sz="4" w:space="0" w:color="auto"/>
              <w:right w:val="nil"/>
            </w:tcBorders>
            <w:shd w:val="clear" w:color="auto" w:fill="auto"/>
            <w:noWrap/>
            <w:vAlign w:val="bottom"/>
            <w:hideMark/>
          </w:tcPr>
          <w:p w:rsidR="001D03B7" w:rsidRPr="00883EC9" w:rsidRDefault="001D03B7" w:rsidP="001D03B7">
            <w:pPr>
              <w:rPr>
                <w:rFonts w:ascii="Times New Roman CE" w:hAnsi="Times New Roman CE" w:cs="Times New Roman CE"/>
                <w:i/>
                <w:iCs/>
                <w:sz w:val="22"/>
                <w:szCs w:val="22"/>
              </w:rPr>
            </w:pPr>
            <w:r w:rsidRPr="00883EC9">
              <w:rPr>
                <w:rFonts w:ascii="Times New Roman CE" w:hAnsi="Times New Roman CE" w:cs="Times New Roman CE"/>
                <w:i/>
                <w:iCs/>
                <w:sz w:val="22"/>
                <w:szCs w:val="22"/>
              </w:rPr>
              <w:t> </w:t>
            </w:r>
          </w:p>
        </w:tc>
        <w:tc>
          <w:tcPr>
            <w:tcW w:w="1053" w:type="dxa"/>
            <w:vMerge/>
            <w:tcBorders>
              <w:top w:val="nil"/>
              <w:left w:val="nil"/>
              <w:bottom w:val="single" w:sz="4" w:space="0" w:color="000000"/>
              <w:right w:val="nil"/>
            </w:tcBorders>
            <w:vAlign w:val="center"/>
            <w:hideMark/>
          </w:tcPr>
          <w:p w:rsidR="001D03B7" w:rsidRPr="00883EC9" w:rsidRDefault="001D03B7" w:rsidP="001D03B7">
            <w:pPr>
              <w:rPr>
                <w:rFonts w:ascii="Times New Roman CE" w:hAnsi="Times New Roman CE" w:cs="Times New Roman CE"/>
                <w:i/>
                <w:iCs/>
                <w:sz w:val="22"/>
                <w:szCs w:val="22"/>
              </w:rPr>
            </w:pPr>
          </w:p>
        </w:tc>
        <w:tc>
          <w:tcPr>
            <w:tcW w:w="1937" w:type="dxa"/>
            <w:gridSpan w:val="2"/>
            <w:tcBorders>
              <w:top w:val="nil"/>
              <w:left w:val="nil"/>
              <w:bottom w:val="single" w:sz="4" w:space="0" w:color="auto"/>
              <w:right w:val="nil"/>
            </w:tcBorders>
            <w:shd w:val="clear" w:color="auto" w:fill="auto"/>
            <w:vAlign w:val="center"/>
            <w:hideMark/>
          </w:tcPr>
          <w:p w:rsidR="001D03B7" w:rsidRPr="00883EC9" w:rsidRDefault="001D03B7" w:rsidP="001D03B7">
            <w:pPr>
              <w:jc w:val="center"/>
              <w:rPr>
                <w:rFonts w:ascii="Times New Roman CE" w:hAnsi="Times New Roman CE" w:cs="Times New Roman CE"/>
                <w:i/>
                <w:iCs/>
                <w:sz w:val="22"/>
                <w:szCs w:val="22"/>
              </w:rPr>
            </w:pPr>
            <w:r w:rsidRPr="00883EC9">
              <w:rPr>
                <w:rFonts w:ascii="Times New Roman CE" w:hAnsi="Times New Roman CE" w:cs="Times New Roman CE"/>
                <w:i/>
                <w:iCs/>
                <w:sz w:val="22"/>
                <w:szCs w:val="22"/>
              </w:rPr>
              <w:t>Lekötött összeg</w:t>
            </w:r>
            <w:r w:rsidRPr="00883EC9">
              <w:rPr>
                <w:rFonts w:ascii="Times New Roman CE" w:hAnsi="Times New Roman CE" w:cs="Times New Roman CE"/>
                <w:i/>
                <w:iCs/>
                <w:sz w:val="22"/>
                <w:szCs w:val="22"/>
              </w:rPr>
              <w:br/>
              <w:t>(</w:t>
            </w:r>
            <w:proofErr w:type="spellStart"/>
            <w:r w:rsidRPr="00883EC9">
              <w:rPr>
                <w:rFonts w:ascii="Times New Roman CE" w:hAnsi="Times New Roman CE" w:cs="Times New Roman CE"/>
                <w:i/>
                <w:iCs/>
                <w:sz w:val="22"/>
                <w:szCs w:val="22"/>
              </w:rPr>
              <w:t>leszáml</w:t>
            </w:r>
            <w:proofErr w:type="spellEnd"/>
            <w:r w:rsidRPr="00883EC9">
              <w:rPr>
                <w:rFonts w:ascii="Times New Roman CE" w:hAnsi="Times New Roman CE" w:cs="Times New Roman CE"/>
                <w:i/>
                <w:iCs/>
                <w:sz w:val="22"/>
                <w:szCs w:val="22"/>
              </w:rPr>
              <w:t>. összeggel)</w:t>
            </w:r>
          </w:p>
        </w:tc>
        <w:tc>
          <w:tcPr>
            <w:tcW w:w="1518" w:type="dxa"/>
            <w:gridSpan w:val="2"/>
            <w:tcBorders>
              <w:top w:val="nil"/>
              <w:left w:val="nil"/>
              <w:bottom w:val="single" w:sz="4" w:space="0" w:color="auto"/>
              <w:right w:val="nil"/>
            </w:tcBorders>
            <w:shd w:val="clear" w:color="auto" w:fill="auto"/>
            <w:vAlign w:val="center"/>
            <w:hideMark/>
          </w:tcPr>
          <w:p w:rsidR="001D03B7" w:rsidRPr="00883EC9" w:rsidRDefault="001D03B7" w:rsidP="001D03B7">
            <w:pPr>
              <w:jc w:val="center"/>
              <w:rPr>
                <w:rFonts w:ascii="Times New Roman CE" w:hAnsi="Times New Roman CE" w:cs="Times New Roman CE"/>
                <w:i/>
                <w:iCs/>
                <w:sz w:val="22"/>
                <w:szCs w:val="22"/>
              </w:rPr>
            </w:pPr>
            <w:r w:rsidRPr="00883EC9">
              <w:rPr>
                <w:rFonts w:ascii="Times New Roman CE" w:hAnsi="Times New Roman CE" w:cs="Times New Roman CE"/>
                <w:i/>
                <w:iCs/>
                <w:sz w:val="22"/>
                <w:szCs w:val="22"/>
              </w:rPr>
              <w:t>Leszámlázott összeg</w:t>
            </w:r>
          </w:p>
        </w:tc>
        <w:tc>
          <w:tcPr>
            <w:tcW w:w="1216" w:type="dxa"/>
            <w:gridSpan w:val="2"/>
            <w:tcBorders>
              <w:top w:val="nil"/>
              <w:left w:val="nil"/>
              <w:bottom w:val="single" w:sz="4" w:space="0" w:color="auto"/>
              <w:right w:val="nil"/>
            </w:tcBorders>
            <w:shd w:val="clear" w:color="auto" w:fill="auto"/>
            <w:vAlign w:val="center"/>
            <w:hideMark/>
          </w:tcPr>
          <w:p w:rsidR="001D03B7" w:rsidRPr="00883EC9" w:rsidRDefault="001D03B7" w:rsidP="001D03B7">
            <w:pPr>
              <w:jc w:val="center"/>
              <w:rPr>
                <w:rFonts w:ascii="Times New Roman CE" w:hAnsi="Times New Roman CE" w:cs="Times New Roman CE"/>
                <w:i/>
                <w:iCs/>
                <w:sz w:val="22"/>
                <w:szCs w:val="22"/>
              </w:rPr>
            </w:pPr>
            <w:r w:rsidRPr="00883EC9">
              <w:rPr>
                <w:rFonts w:ascii="Times New Roman CE" w:hAnsi="Times New Roman CE" w:cs="Times New Roman CE"/>
                <w:i/>
                <w:iCs/>
                <w:sz w:val="22"/>
                <w:szCs w:val="22"/>
              </w:rPr>
              <w:t>Lekötött összeg/terv</w:t>
            </w:r>
          </w:p>
        </w:tc>
      </w:tr>
      <w:tr w:rsidR="001D03B7" w:rsidRPr="00883EC9" w:rsidTr="001D03B7">
        <w:trPr>
          <w:gridAfter w:val="1"/>
          <w:wAfter w:w="242" w:type="dxa"/>
          <w:trHeight w:val="390"/>
        </w:trPr>
        <w:tc>
          <w:tcPr>
            <w:tcW w:w="3956" w:type="dxa"/>
            <w:tcBorders>
              <w:top w:val="nil"/>
              <w:left w:val="nil"/>
              <w:bottom w:val="nil"/>
              <w:right w:val="nil"/>
            </w:tcBorders>
            <w:shd w:val="clear" w:color="auto" w:fill="auto"/>
            <w:vAlign w:val="bottom"/>
            <w:hideMark/>
          </w:tcPr>
          <w:p w:rsidR="001D03B7" w:rsidRPr="00883EC9" w:rsidRDefault="001D03B7" w:rsidP="001D03B7">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Önkorm</w:t>
            </w:r>
            <w:proofErr w:type="spellEnd"/>
            <w:r w:rsidRPr="00883EC9">
              <w:rPr>
                <w:rFonts w:ascii="Times New Roman CE" w:hAnsi="Times New Roman CE" w:cs="Times New Roman CE"/>
                <w:sz w:val="22"/>
                <w:szCs w:val="22"/>
              </w:rPr>
              <w:t xml:space="preserve">. </w:t>
            </w:r>
            <w:proofErr w:type="spellStart"/>
            <w:r w:rsidRPr="00883EC9">
              <w:rPr>
                <w:rFonts w:ascii="Times New Roman CE" w:hAnsi="Times New Roman CE" w:cs="Times New Roman CE"/>
                <w:sz w:val="22"/>
                <w:szCs w:val="22"/>
              </w:rPr>
              <w:t>víziközművek</w:t>
            </w:r>
            <w:proofErr w:type="spellEnd"/>
            <w:r w:rsidRPr="00883EC9">
              <w:rPr>
                <w:rFonts w:ascii="Times New Roman CE" w:hAnsi="Times New Roman CE" w:cs="Times New Roman CE"/>
                <w:sz w:val="22"/>
                <w:szCs w:val="22"/>
              </w:rPr>
              <w:t xml:space="preserve"> </w:t>
            </w:r>
            <w:proofErr w:type="spellStart"/>
            <w:r w:rsidRPr="00883EC9">
              <w:rPr>
                <w:rFonts w:ascii="Times New Roman CE" w:hAnsi="Times New Roman CE" w:cs="Times New Roman CE"/>
                <w:sz w:val="22"/>
                <w:szCs w:val="22"/>
              </w:rPr>
              <w:t>ép.-szer</w:t>
            </w:r>
            <w:proofErr w:type="spellEnd"/>
            <w:r w:rsidRPr="00883EC9">
              <w:rPr>
                <w:rFonts w:ascii="Times New Roman CE" w:hAnsi="Times New Roman CE" w:cs="Times New Roman CE"/>
                <w:sz w:val="22"/>
                <w:szCs w:val="22"/>
              </w:rPr>
              <w:t>. munkái</w:t>
            </w:r>
          </w:p>
        </w:tc>
        <w:tc>
          <w:tcPr>
            <w:tcW w:w="1053" w:type="dxa"/>
            <w:tcBorders>
              <w:top w:val="nil"/>
              <w:left w:val="nil"/>
              <w:bottom w:val="nil"/>
              <w:right w:val="nil"/>
            </w:tcBorders>
            <w:shd w:val="clear" w:color="auto" w:fill="auto"/>
            <w:noWrap/>
            <w:vAlign w:val="bottom"/>
            <w:hideMark/>
          </w:tcPr>
          <w:p w:rsidR="001D03B7" w:rsidRPr="00883EC9" w:rsidRDefault="001D03B7" w:rsidP="001D03B7">
            <w:pPr>
              <w:jc w:val="right"/>
              <w:rPr>
                <w:rFonts w:ascii="Times New Roman CE" w:hAnsi="Times New Roman CE" w:cs="Times New Roman CE"/>
                <w:sz w:val="22"/>
                <w:szCs w:val="22"/>
              </w:rPr>
            </w:pPr>
            <w:r w:rsidRPr="00883EC9">
              <w:rPr>
                <w:rFonts w:ascii="Times New Roman CE" w:hAnsi="Times New Roman CE" w:cs="Times New Roman CE"/>
                <w:sz w:val="22"/>
                <w:szCs w:val="22"/>
              </w:rPr>
              <w:t>725 694</w:t>
            </w:r>
          </w:p>
        </w:tc>
        <w:tc>
          <w:tcPr>
            <w:tcW w:w="1512" w:type="dxa"/>
            <w:tcBorders>
              <w:top w:val="nil"/>
              <w:left w:val="nil"/>
              <w:bottom w:val="nil"/>
              <w:right w:val="nil"/>
            </w:tcBorders>
            <w:shd w:val="clear" w:color="auto" w:fill="auto"/>
            <w:noWrap/>
            <w:vAlign w:val="bottom"/>
            <w:hideMark/>
          </w:tcPr>
          <w:p w:rsidR="001D03B7" w:rsidRPr="00883EC9" w:rsidRDefault="001D03B7" w:rsidP="001D03B7">
            <w:pPr>
              <w:jc w:val="right"/>
              <w:rPr>
                <w:rFonts w:ascii="Times New Roman CE" w:hAnsi="Times New Roman CE" w:cs="Times New Roman CE"/>
                <w:sz w:val="22"/>
                <w:szCs w:val="22"/>
              </w:rPr>
            </w:pPr>
            <w:r w:rsidRPr="00883EC9">
              <w:rPr>
                <w:rFonts w:ascii="Times New Roman CE" w:hAnsi="Times New Roman CE" w:cs="Times New Roman CE"/>
                <w:sz w:val="22"/>
                <w:szCs w:val="22"/>
              </w:rPr>
              <w:t>465 512</w:t>
            </w:r>
          </w:p>
        </w:tc>
        <w:tc>
          <w:tcPr>
            <w:tcW w:w="1701" w:type="dxa"/>
            <w:gridSpan w:val="2"/>
            <w:tcBorders>
              <w:top w:val="nil"/>
              <w:left w:val="nil"/>
              <w:bottom w:val="nil"/>
              <w:right w:val="nil"/>
            </w:tcBorders>
            <w:shd w:val="clear" w:color="auto" w:fill="auto"/>
            <w:noWrap/>
            <w:vAlign w:val="bottom"/>
            <w:hideMark/>
          </w:tcPr>
          <w:p w:rsidR="001D03B7" w:rsidRPr="00883EC9" w:rsidRDefault="001D03B7" w:rsidP="001D03B7">
            <w:pPr>
              <w:jc w:val="right"/>
              <w:rPr>
                <w:rFonts w:ascii="Times New Roman CE" w:hAnsi="Times New Roman CE" w:cs="Times New Roman CE"/>
                <w:sz w:val="22"/>
                <w:szCs w:val="22"/>
              </w:rPr>
            </w:pPr>
            <w:r w:rsidRPr="00883EC9">
              <w:rPr>
                <w:rFonts w:ascii="Times New Roman CE" w:hAnsi="Times New Roman CE" w:cs="Times New Roman CE"/>
                <w:sz w:val="22"/>
                <w:szCs w:val="22"/>
              </w:rPr>
              <w:t>123 417</w:t>
            </w:r>
          </w:p>
        </w:tc>
        <w:tc>
          <w:tcPr>
            <w:tcW w:w="1216" w:type="dxa"/>
            <w:gridSpan w:val="2"/>
            <w:tcBorders>
              <w:top w:val="nil"/>
              <w:left w:val="nil"/>
              <w:bottom w:val="nil"/>
              <w:right w:val="nil"/>
            </w:tcBorders>
            <w:shd w:val="clear" w:color="auto" w:fill="auto"/>
            <w:noWrap/>
            <w:vAlign w:val="bottom"/>
            <w:hideMark/>
          </w:tcPr>
          <w:p w:rsidR="001D03B7" w:rsidRPr="00883EC9" w:rsidRDefault="001D03B7" w:rsidP="001D03B7">
            <w:pPr>
              <w:jc w:val="right"/>
              <w:rPr>
                <w:rFonts w:ascii="Times New Roman CE" w:hAnsi="Times New Roman CE" w:cs="Times New Roman CE"/>
                <w:sz w:val="22"/>
                <w:szCs w:val="22"/>
              </w:rPr>
            </w:pPr>
            <w:r w:rsidRPr="00883EC9">
              <w:rPr>
                <w:rFonts w:ascii="Times New Roman CE" w:hAnsi="Times New Roman CE" w:cs="Times New Roman CE"/>
                <w:sz w:val="22"/>
                <w:szCs w:val="22"/>
              </w:rPr>
              <w:t>64,1%</w:t>
            </w:r>
          </w:p>
        </w:tc>
      </w:tr>
      <w:tr w:rsidR="001D03B7" w:rsidRPr="00883EC9" w:rsidTr="001D03B7">
        <w:trPr>
          <w:gridAfter w:val="1"/>
          <w:wAfter w:w="242" w:type="dxa"/>
          <w:trHeight w:val="300"/>
        </w:trPr>
        <w:tc>
          <w:tcPr>
            <w:tcW w:w="3956" w:type="dxa"/>
            <w:tcBorders>
              <w:top w:val="nil"/>
              <w:left w:val="nil"/>
              <w:bottom w:val="nil"/>
              <w:right w:val="nil"/>
            </w:tcBorders>
            <w:shd w:val="clear" w:color="auto" w:fill="auto"/>
            <w:noWrap/>
            <w:vAlign w:val="bottom"/>
            <w:hideMark/>
          </w:tcPr>
          <w:p w:rsidR="001D03B7" w:rsidRPr="00883EC9" w:rsidRDefault="001D03B7" w:rsidP="001D03B7">
            <w:pPr>
              <w:rPr>
                <w:rFonts w:ascii="Times New Roman CE" w:hAnsi="Times New Roman CE" w:cs="Times New Roman CE"/>
                <w:sz w:val="22"/>
                <w:szCs w:val="22"/>
              </w:rPr>
            </w:pPr>
            <w:r w:rsidRPr="00883EC9">
              <w:rPr>
                <w:rFonts w:ascii="Times New Roman CE" w:hAnsi="Times New Roman CE" w:cs="Times New Roman CE"/>
                <w:sz w:val="22"/>
                <w:szCs w:val="22"/>
              </w:rPr>
              <w:t>ebből: ivóvíz használati díj terhére</w:t>
            </w:r>
          </w:p>
        </w:tc>
        <w:tc>
          <w:tcPr>
            <w:tcW w:w="1053" w:type="dxa"/>
            <w:tcBorders>
              <w:top w:val="nil"/>
              <w:left w:val="nil"/>
              <w:bottom w:val="nil"/>
              <w:right w:val="nil"/>
            </w:tcBorders>
            <w:shd w:val="clear" w:color="auto" w:fill="auto"/>
            <w:noWrap/>
            <w:vAlign w:val="bottom"/>
            <w:hideMark/>
          </w:tcPr>
          <w:p w:rsidR="001D03B7" w:rsidRPr="00883EC9" w:rsidRDefault="001D03B7" w:rsidP="001D03B7">
            <w:pPr>
              <w:jc w:val="right"/>
              <w:rPr>
                <w:rFonts w:ascii="Times New Roman CE" w:hAnsi="Times New Roman CE" w:cs="Times New Roman CE"/>
                <w:sz w:val="22"/>
                <w:szCs w:val="22"/>
              </w:rPr>
            </w:pPr>
            <w:r w:rsidRPr="00883EC9">
              <w:rPr>
                <w:rFonts w:ascii="Times New Roman CE" w:hAnsi="Times New Roman CE" w:cs="Times New Roman CE"/>
                <w:sz w:val="22"/>
                <w:szCs w:val="22"/>
              </w:rPr>
              <w:t>185 810</w:t>
            </w:r>
          </w:p>
        </w:tc>
        <w:tc>
          <w:tcPr>
            <w:tcW w:w="1512" w:type="dxa"/>
            <w:tcBorders>
              <w:top w:val="nil"/>
              <w:left w:val="nil"/>
              <w:bottom w:val="nil"/>
              <w:right w:val="nil"/>
            </w:tcBorders>
            <w:shd w:val="clear" w:color="auto" w:fill="auto"/>
            <w:noWrap/>
            <w:vAlign w:val="bottom"/>
            <w:hideMark/>
          </w:tcPr>
          <w:p w:rsidR="001D03B7" w:rsidRPr="00883EC9" w:rsidRDefault="001D03B7" w:rsidP="001D03B7">
            <w:pPr>
              <w:jc w:val="right"/>
              <w:rPr>
                <w:rFonts w:ascii="Times New Roman CE" w:hAnsi="Times New Roman CE" w:cs="Times New Roman CE"/>
                <w:sz w:val="22"/>
                <w:szCs w:val="22"/>
              </w:rPr>
            </w:pPr>
            <w:r w:rsidRPr="00883EC9">
              <w:rPr>
                <w:rFonts w:ascii="Times New Roman CE" w:hAnsi="Times New Roman CE" w:cs="Times New Roman CE"/>
                <w:sz w:val="22"/>
                <w:szCs w:val="22"/>
              </w:rPr>
              <w:t>182 402</w:t>
            </w:r>
          </w:p>
        </w:tc>
        <w:tc>
          <w:tcPr>
            <w:tcW w:w="1701" w:type="dxa"/>
            <w:gridSpan w:val="2"/>
            <w:tcBorders>
              <w:top w:val="nil"/>
              <w:left w:val="nil"/>
              <w:bottom w:val="nil"/>
              <w:right w:val="nil"/>
            </w:tcBorders>
            <w:shd w:val="clear" w:color="auto" w:fill="auto"/>
            <w:noWrap/>
            <w:vAlign w:val="bottom"/>
            <w:hideMark/>
          </w:tcPr>
          <w:p w:rsidR="001D03B7" w:rsidRPr="00883EC9" w:rsidRDefault="001D03B7" w:rsidP="001D03B7">
            <w:pPr>
              <w:jc w:val="right"/>
              <w:rPr>
                <w:rFonts w:ascii="Times New Roman CE" w:hAnsi="Times New Roman CE" w:cs="Times New Roman CE"/>
                <w:sz w:val="22"/>
                <w:szCs w:val="22"/>
              </w:rPr>
            </w:pPr>
            <w:r w:rsidRPr="00883EC9">
              <w:rPr>
                <w:rFonts w:ascii="Times New Roman CE" w:hAnsi="Times New Roman CE" w:cs="Times New Roman CE"/>
                <w:sz w:val="22"/>
                <w:szCs w:val="22"/>
              </w:rPr>
              <w:t>17 914</w:t>
            </w:r>
          </w:p>
        </w:tc>
        <w:tc>
          <w:tcPr>
            <w:tcW w:w="1216" w:type="dxa"/>
            <w:gridSpan w:val="2"/>
            <w:tcBorders>
              <w:top w:val="nil"/>
              <w:left w:val="nil"/>
              <w:bottom w:val="nil"/>
              <w:right w:val="nil"/>
            </w:tcBorders>
            <w:shd w:val="clear" w:color="auto" w:fill="auto"/>
            <w:noWrap/>
            <w:vAlign w:val="bottom"/>
            <w:hideMark/>
          </w:tcPr>
          <w:p w:rsidR="001D03B7" w:rsidRPr="00883EC9" w:rsidRDefault="001D03B7" w:rsidP="001D03B7">
            <w:pPr>
              <w:jc w:val="right"/>
              <w:rPr>
                <w:rFonts w:ascii="Times New Roman CE" w:hAnsi="Times New Roman CE" w:cs="Times New Roman CE"/>
                <w:sz w:val="22"/>
                <w:szCs w:val="22"/>
              </w:rPr>
            </w:pPr>
            <w:r w:rsidRPr="00883EC9">
              <w:rPr>
                <w:rFonts w:ascii="Times New Roman CE" w:hAnsi="Times New Roman CE" w:cs="Times New Roman CE"/>
                <w:sz w:val="22"/>
                <w:szCs w:val="22"/>
              </w:rPr>
              <w:t>98,2%</w:t>
            </w:r>
          </w:p>
        </w:tc>
      </w:tr>
      <w:tr w:rsidR="001D03B7" w:rsidRPr="00883EC9" w:rsidTr="001D03B7">
        <w:trPr>
          <w:gridAfter w:val="1"/>
          <w:wAfter w:w="242" w:type="dxa"/>
          <w:trHeight w:val="300"/>
        </w:trPr>
        <w:tc>
          <w:tcPr>
            <w:tcW w:w="3956" w:type="dxa"/>
            <w:tcBorders>
              <w:top w:val="nil"/>
              <w:left w:val="nil"/>
              <w:bottom w:val="nil"/>
              <w:right w:val="nil"/>
            </w:tcBorders>
            <w:shd w:val="clear" w:color="auto" w:fill="auto"/>
            <w:noWrap/>
            <w:vAlign w:val="bottom"/>
            <w:hideMark/>
          </w:tcPr>
          <w:p w:rsidR="001D03B7" w:rsidRPr="00883EC9" w:rsidRDefault="001D03B7" w:rsidP="001D03B7">
            <w:pPr>
              <w:rPr>
                <w:rFonts w:ascii="Times New Roman CE" w:hAnsi="Times New Roman CE" w:cs="Times New Roman CE"/>
                <w:sz w:val="22"/>
                <w:szCs w:val="22"/>
              </w:rPr>
            </w:pPr>
            <w:r w:rsidRPr="00883EC9">
              <w:rPr>
                <w:rFonts w:ascii="Times New Roman CE" w:hAnsi="Times New Roman CE" w:cs="Times New Roman CE"/>
                <w:sz w:val="22"/>
                <w:szCs w:val="22"/>
              </w:rPr>
              <w:t xml:space="preserve">         szennyvíz használati díj terhére</w:t>
            </w:r>
          </w:p>
        </w:tc>
        <w:tc>
          <w:tcPr>
            <w:tcW w:w="1053" w:type="dxa"/>
            <w:tcBorders>
              <w:top w:val="nil"/>
              <w:left w:val="nil"/>
              <w:bottom w:val="nil"/>
              <w:right w:val="nil"/>
            </w:tcBorders>
            <w:shd w:val="clear" w:color="auto" w:fill="auto"/>
            <w:noWrap/>
            <w:vAlign w:val="bottom"/>
            <w:hideMark/>
          </w:tcPr>
          <w:p w:rsidR="001D03B7" w:rsidRPr="00883EC9" w:rsidRDefault="001D03B7" w:rsidP="001D03B7">
            <w:pPr>
              <w:jc w:val="right"/>
              <w:rPr>
                <w:rFonts w:ascii="Times New Roman CE" w:hAnsi="Times New Roman CE" w:cs="Times New Roman CE"/>
                <w:sz w:val="22"/>
                <w:szCs w:val="22"/>
              </w:rPr>
            </w:pPr>
            <w:r w:rsidRPr="00883EC9">
              <w:rPr>
                <w:rFonts w:ascii="Times New Roman CE" w:hAnsi="Times New Roman CE" w:cs="Times New Roman CE"/>
                <w:sz w:val="22"/>
                <w:szCs w:val="22"/>
              </w:rPr>
              <w:t>539 884</w:t>
            </w:r>
          </w:p>
        </w:tc>
        <w:tc>
          <w:tcPr>
            <w:tcW w:w="1512" w:type="dxa"/>
            <w:tcBorders>
              <w:top w:val="nil"/>
              <w:left w:val="nil"/>
              <w:bottom w:val="nil"/>
              <w:right w:val="nil"/>
            </w:tcBorders>
            <w:shd w:val="clear" w:color="auto" w:fill="auto"/>
            <w:noWrap/>
            <w:vAlign w:val="bottom"/>
            <w:hideMark/>
          </w:tcPr>
          <w:p w:rsidR="001D03B7" w:rsidRPr="00883EC9" w:rsidRDefault="001D03B7" w:rsidP="001D03B7">
            <w:pPr>
              <w:jc w:val="right"/>
              <w:rPr>
                <w:rFonts w:ascii="Times New Roman CE" w:hAnsi="Times New Roman CE" w:cs="Times New Roman CE"/>
                <w:sz w:val="22"/>
                <w:szCs w:val="22"/>
              </w:rPr>
            </w:pPr>
            <w:r w:rsidRPr="00883EC9">
              <w:rPr>
                <w:rFonts w:ascii="Times New Roman CE" w:hAnsi="Times New Roman CE" w:cs="Times New Roman CE"/>
                <w:sz w:val="22"/>
                <w:szCs w:val="22"/>
              </w:rPr>
              <w:t>283 110</w:t>
            </w:r>
          </w:p>
        </w:tc>
        <w:tc>
          <w:tcPr>
            <w:tcW w:w="1701" w:type="dxa"/>
            <w:gridSpan w:val="2"/>
            <w:tcBorders>
              <w:top w:val="nil"/>
              <w:left w:val="nil"/>
              <w:bottom w:val="nil"/>
              <w:right w:val="nil"/>
            </w:tcBorders>
            <w:shd w:val="clear" w:color="auto" w:fill="auto"/>
            <w:noWrap/>
            <w:vAlign w:val="bottom"/>
            <w:hideMark/>
          </w:tcPr>
          <w:p w:rsidR="001D03B7" w:rsidRPr="00883EC9" w:rsidRDefault="001D03B7" w:rsidP="001D03B7">
            <w:pPr>
              <w:jc w:val="right"/>
              <w:rPr>
                <w:rFonts w:ascii="Times New Roman CE" w:hAnsi="Times New Roman CE" w:cs="Times New Roman CE"/>
                <w:sz w:val="22"/>
                <w:szCs w:val="22"/>
              </w:rPr>
            </w:pPr>
            <w:r w:rsidRPr="00883EC9">
              <w:rPr>
                <w:rFonts w:ascii="Times New Roman CE" w:hAnsi="Times New Roman CE" w:cs="Times New Roman CE"/>
                <w:sz w:val="22"/>
                <w:szCs w:val="22"/>
              </w:rPr>
              <w:t>105 503</w:t>
            </w:r>
          </w:p>
        </w:tc>
        <w:tc>
          <w:tcPr>
            <w:tcW w:w="1216" w:type="dxa"/>
            <w:gridSpan w:val="2"/>
            <w:tcBorders>
              <w:top w:val="nil"/>
              <w:left w:val="nil"/>
              <w:bottom w:val="nil"/>
              <w:right w:val="nil"/>
            </w:tcBorders>
            <w:shd w:val="clear" w:color="auto" w:fill="auto"/>
            <w:noWrap/>
            <w:vAlign w:val="bottom"/>
            <w:hideMark/>
          </w:tcPr>
          <w:p w:rsidR="001D03B7" w:rsidRPr="00883EC9" w:rsidRDefault="001D03B7" w:rsidP="001D03B7">
            <w:pPr>
              <w:jc w:val="right"/>
              <w:rPr>
                <w:rFonts w:ascii="Times New Roman CE" w:hAnsi="Times New Roman CE" w:cs="Times New Roman CE"/>
                <w:sz w:val="22"/>
                <w:szCs w:val="22"/>
              </w:rPr>
            </w:pPr>
            <w:r w:rsidRPr="00883EC9">
              <w:rPr>
                <w:rFonts w:ascii="Times New Roman CE" w:hAnsi="Times New Roman CE" w:cs="Times New Roman CE"/>
                <w:sz w:val="22"/>
                <w:szCs w:val="22"/>
              </w:rPr>
              <w:t>52,4%</w:t>
            </w:r>
          </w:p>
        </w:tc>
      </w:tr>
      <w:tr w:rsidR="001D03B7" w:rsidRPr="00883EC9" w:rsidTr="001D03B7">
        <w:trPr>
          <w:gridAfter w:val="1"/>
          <w:wAfter w:w="242" w:type="dxa"/>
          <w:trHeight w:val="300"/>
        </w:trPr>
        <w:tc>
          <w:tcPr>
            <w:tcW w:w="3956" w:type="dxa"/>
            <w:tcBorders>
              <w:top w:val="nil"/>
              <w:left w:val="nil"/>
              <w:bottom w:val="single" w:sz="4" w:space="0" w:color="auto"/>
              <w:right w:val="nil"/>
            </w:tcBorders>
            <w:shd w:val="clear" w:color="auto" w:fill="auto"/>
            <w:noWrap/>
            <w:vAlign w:val="bottom"/>
            <w:hideMark/>
          </w:tcPr>
          <w:p w:rsidR="001D03B7" w:rsidRPr="00883EC9" w:rsidRDefault="001D03B7" w:rsidP="001D03B7">
            <w:pPr>
              <w:rPr>
                <w:rFonts w:ascii="Times New Roman CE" w:hAnsi="Times New Roman CE" w:cs="Times New Roman CE"/>
                <w:sz w:val="22"/>
                <w:szCs w:val="22"/>
              </w:rPr>
            </w:pPr>
            <w:r w:rsidRPr="00883EC9">
              <w:rPr>
                <w:rFonts w:ascii="Times New Roman CE" w:hAnsi="Times New Roman CE" w:cs="Times New Roman CE"/>
                <w:sz w:val="22"/>
                <w:szCs w:val="22"/>
              </w:rPr>
              <w:t>Egyéb megrendelésre végzett tevékenység</w:t>
            </w:r>
          </w:p>
        </w:tc>
        <w:tc>
          <w:tcPr>
            <w:tcW w:w="1053" w:type="dxa"/>
            <w:tcBorders>
              <w:top w:val="nil"/>
              <w:left w:val="nil"/>
              <w:bottom w:val="single" w:sz="4" w:space="0" w:color="auto"/>
              <w:right w:val="nil"/>
            </w:tcBorders>
            <w:shd w:val="clear" w:color="auto" w:fill="auto"/>
            <w:noWrap/>
            <w:vAlign w:val="bottom"/>
            <w:hideMark/>
          </w:tcPr>
          <w:p w:rsidR="001D03B7" w:rsidRPr="00883EC9" w:rsidRDefault="001D03B7" w:rsidP="001D03B7">
            <w:pPr>
              <w:jc w:val="right"/>
              <w:rPr>
                <w:rFonts w:ascii="Times New Roman CE" w:hAnsi="Times New Roman CE" w:cs="Times New Roman CE"/>
                <w:sz w:val="22"/>
                <w:szCs w:val="22"/>
              </w:rPr>
            </w:pPr>
            <w:r w:rsidRPr="00883EC9">
              <w:rPr>
                <w:rFonts w:ascii="Times New Roman CE" w:hAnsi="Times New Roman CE" w:cs="Times New Roman CE"/>
                <w:sz w:val="22"/>
                <w:szCs w:val="22"/>
              </w:rPr>
              <w:t>101 845</w:t>
            </w:r>
          </w:p>
        </w:tc>
        <w:tc>
          <w:tcPr>
            <w:tcW w:w="1512" w:type="dxa"/>
            <w:tcBorders>
              <w:top w:val="nil"/>
              <w:left w:val="nil"/>
              <w:bottom w:val="single" w:sz="4" w:space="0" w:color="auto"/>
              <w:right w:val="nil"/>
            </w:tcBorders>
            <w:shd w:val="clear" w:color="auto" w:fill="auto"/>
            <w:noWrap/>
            <w:vAlign w:val="bottom"/>
            <w:hideMark/>
          </w:tcPr>
          <w:p w:rsidR="001D03B7" w:rsidRPr="00883EC9" w:rsidRDefault="001D03B7" w:rsidP="001D03B7">
            <w:pPr>
              <w:jc w:val="right"/>
              <w:rPr>
                <w:rFonts w:ascii="Times New Roman CE" w:hAnsi="Times New Roman CE" w:cs="Times New Roman CE"/>
                <w:sz w:val="22"/>
                <w:szCs w:val="22"/>
              </w:rPr>
            </w:pPr>
            <w:r w:rsidRPr="00883EC9">
              <w:rPr>
                <w:rFonts w:ascii="Times New Roman CE" w:hAnsi="Times New Roman CE" w:cs="Times New Roman CE"/>
                <w:sz w:val="22"/>
                <w:szCs w:val="22"/>
              </w:rPr>
              <w:t>172 983</w:t>
            </w:r>
          </w:p>
        </w:tc>
        <w:tc>
          <w:tcPr>
            <w:tcW w:w="1701" w:type="dxa"/>
            <w:gridSpan w:val="2"/>
            <w:tcBorders>
              <w:top w:val="nil"/>
              <w:left w:val="nil"/>
              <w:bottom w:val="single" w:sz="4" w:space="0" w:color="auto"/>
              <w:right w:val="nil"/>
            </w:tcBorders>
            <w:shd w:val="clear" w:color="auto" w:fill="auto"/>
            <w:noWrap/>
            <w:vAlign w:val="bottom"/>
            <w:hideMark/>
          </w:tcPr>
          <w:p w:rsidR="001D03B7" w:rsidRPr="00883EC9" w:rsidRDefault="001D03B7" w:rsidP="001D03B7">
            <w:pPr>
              <w:jc w:val="right"/>
              <w:rPr>
                <w:rFonts w:ascii="Times New Roman CE" w:hAnsi="Times New Roman CE" w:cs="Times New Roman CE"/>
                <w:sz w:val="22"/>
                <w:szCs w:val="22"/>
              </w:rPr>
            </w:pPr>
            <w:r w:rsidRPr="00883EC9">
              <w:rPr>
                <w:rFonts w:ascii="Times New Roman CE" w:hAnsi="Times New Roman CE" w:cs="Times New Roman CE"/>
                <w:sz w:val="22"/>
                <w:szCs w:val="22"/>
              </w:rPr>
              <w:t>172 983</w:t>
            </w:r>
          </w:p>
        </w:tc>
        <w:tc>
          <w:tcPr>
            <w:tcW w:w="1216" w:type="dxa"/>
            <w:gridSpan w:val="2"/>
            <w:tcBorders>
              <w:top w:val="nil"/>
              <w:left w:val="nil"/>
              <w:bottom w:val="single" w:sz="4" w:space="0" w:color="auto"/>
              <w:right w:val="nil"/>
            </w:tcBorders>
            <w:shd w:val="clear" w:color="auto" w:fill="auto"/>
            <w:noWrap/>
            <w:vAlign w:val="bottom"/>
            <w:hideMark/>
          </w:tcPr>
          <w:p w:rsidR="001D03B7" w:rsidRPr="00883EC9" w:rsidRDefault="001D03B7" w:rsidP="001D03B7">
            <w:pPr>
              <w:jc w:val="right"/>
              <w:rPr>
                <w:rFonts w:ascii="Times New Roman CE" w:hAnsi="Times New Roman CE" w:cs="Times New Roman CE"/>
                <w:sz w:val="22"/>
                <w:szCs w:val="22"/>
              </w:rPr>
            </w:pPr>
            <w:r w:rsidRPr="00883EC9">
              <w:rPr>
                <w:rFonts w:ascii="Times New Roman CE" w:hAnsi="Times New Roman CE" w:cs="Times New Roman CE"/>
                <w:sz w:val="22"/>
                <w:szCs w:val="22"/>
              </w:rPr>
              <w:t>169,8%</w:t>
            </w:r>
          </w:p>
        </w:tc>
      </w:tr>
      <w:tr w:rsidR="001D03B7" w:rsidRPr="00883EC9" w:rsidTr="001D03B7">
        <w:trPr>
          <w:gridAfter w:val="1"/>
          <w:wAfter w:w="242" w:type="dxa"/>
          <w:trHeight w:val="300"/>
        </w:trPr>
        <w:tc>
          <w:tcPr>
            <w:tcW w:w="3956" w:type="dxa"/>
            <w:tcBorders>
              <w:top w:val="nil"/>
              <w:left w:val="nil"/>
              <w:bottom w:val="nil"/>
              <w:right w:val="nil"/>
            </w:tcBorders>
            <w:shd w:val="clear" w:color="auto" w:fill="auto"/>
            <w:noWrap/>
            <w:vAlign w:val="bottom"/>
            <w:hideMark/>
          </w:tcPr>
          <w:p w:rsidR="001D03B7" w:rsidRPr="00883EC9" w:rsidRDefault="001D03B7" w:rsidP="001D03B7">
            <w:pPr>
              <w:rPr>
                <w:rFonts w:ascii="Times New Roman CE" w:hAnsi="Times New Roman CE" w:cs="Times New Roman CE"/>
                <w:sz w:val="22"/>
                <w:szCs w:val="22"/>
              </w:rPr>
            </w:pPr>
            <w:r w:rsidRPr="00883EC9">
              <w:rPr>
                <w:rFonts w:ascii="Times New Roman CE" w:hAnsi="Times New Roman CE" w:cs="Times New Roman CE"/>
                <w:sz w:val="22"/>
                <w:szCs w:val="22"/>
              </w:rPr>
              <w:t>Összesen</w:t>
            </w:r>
          </w:p>
        </w:tc>
        <w:tc>
          <w:tcPr>
            <w:tcW w:w="1053" w:type="dxa"/>
            <w:tcBorders>
              <w:top w:val="nil"/>
              <w:left w:val="nil"/>
              <w:bottom w:val="nil"/>
              <w:right w:val="nil"/>
            </w:tcBorders>
            <w:shd w:val="clear" w:color="auto" w:fill="auto"/>
            <w:noWrap/>
            <w:vAlign w:val="bottom"/>
            <w:hideMark/>
          </w:tcPr>
          <w:p w:rsidR="001D03B7" w:rsidRPr="00883EC9" w:rsidRDefault="001D03B7" w:rsidP="001D03B7">
            <w:pPr>
              <w:jc w:val="right"/>
              <w:rPr>
                <w:rFonts w:ascii="Times New Roman CE" w:hAnsi="Times New Roman CE" w:cs="Times New Roman CE"/>
                <w:sz w:val="22"/>
                <w:szCs w:val="22"/>
              </w:rPr>
            </w:pPr>
            <w:r w:rsidRPr="00883EC9">
              <w:rPr>
                <w:rFonts w:ascii="Times New Roman CE" w:hAnsi="Times New Roman CE" w:cs="Times New Roman CE"/>
                <w:sz w:val="22"/>
                <w:szCs w:val="22"/>
              </w:rPr>
              <w:t>827 539</w:t>
            </w:r>
          </w:p>
        </w:tc>
        <w:tc>
          <w:tcPr>
            <w:tcW w:w="1512" w:type="dxa"/>
            <w:tcBorders>
              <w:top w:val="nil"/>
              <w:left w:val="nil"/>
              <w:bottom w:val="nil"/>
              <w:right w:val="nil"/>
            </w:tcBorders>
            <w:shd w:val="clear" w:color="auto" w:fill="auto"/>
            <w:noWrap/>
            <w:vAlign w:val="bottom"/>
            <w:hideMark/>
          </w:tcPr>
          <w:p w:rsidR="001D03B7" w:rsidRPr="00883EC9" w:rsidRDefault="001D03B7" w:rsidP="001D03B7">
            <w:pPr>
              <w:jc w:val="right"/>
              <w:rPr>
                <w:rFonts w:ascii="Times New Roman CE" w:hAnsi="Times New Roman CE" w:cs="Times New Roman CE"/>
                <w:sz w:val="22"/>
                <w:szCs w:val="22"/>
              </w:rPr>
            </w:pPr>
            <w:r w:rsidRPr="00883EC9">
              <w:rPr>
                <w:rFonts w:ascii="Times New Roman CE" w:hAnsi="Times New Roman CE" w:cs="Times New Roman CE"/>
                <w:sz w:val="22"/>
                <w:szCs w:val="22"/>
              </w:rPr>
              <w:t>638 495</w:t>
            </w:r>
          </w:p>
        </w:tc>
        <w:tc>
          <w:tcPr>
            <w:tcW w:w="1701" w:type="dxa"/>
            <w:gridSpan w:val="2"/>
            <w:tcBorders>
              <w:top w:val="nil"/>
              <w:left w:val="nil"/>
              <w:bottom w:val="nil"/>
              <w:right w:val="nil"/>
            </w:tcBorders>
            <w:shd w:val="clear" w:color="auto" w:fill="auto"/>
            <w:noWrap/>
            <w:vAlign w:val="bottom"/>
            <w:hideMark/>
          </w:tcPr>
          <w:p w:rsidR="001D03B7" w:rsidRPr="00883EC9" w:rsidRDefault="001D03B7" w:rsidP="001D03B7">
            <w:pPr>
              <w:jc w:val="right"/>
              <w:rPr>
                <w:rFonts w:ascii="Times New Roman CE" w:hAnsi="Times New Roman CE" w:cs="Times New Roman CE"/>
                <w:sz w:val="22"/>
                <w:szCs w:val="22"/>
              </w:rPr>
            </w:pPr>
            <w:r w:rsidRPr="00883EC9">
              <w:rPr>
                <w:rFonts w:ascii="Times New Roman CE" w:hAnsi="Times New Roman CE" w:cs="Times New Roman CE"/>
                <w:sz w:val="22"/>
                <w:szCs w:val="22"/>
              </w:rPr>
              <w:t>296 400</w:t>
            </w:r>
          </w:p>
        </w:tc>
        <w:tc>
          <w:tcPr>
            <w:tcW w:w="1216" w:type="dxa"/>
            <w:gridSpan w:val="2"/>
            <w:tcBorders>
              <w:top w:val="nil"/>
              <w:left w:val="nil"/>
              <w:bottom w:val="nil"/>
              <w:right w:val="nil"/>
            </w:tcBorders>
            <w:shd w:val="clear" w:color="auto" w:fill="auto"/>
            <w:noWrap/>
            <w:vAlign w:val="bottom"/>
            <w:hideMark/>
          </w:tcPr>
          <w:p w:rsidR="001D03B7" w:rsidRPr="00883EC9" w:rsidRDefault="001D03B7" w:rsidP="001D03B7">
            <w:pPr>
              <w:jc w:val="right"/>
              <w:rPr>
                <w:rFonts w:ascii="Times New Roman CE" w:hAnsi="Times New Roman CE" w:cs="Times New Roman CE"/>
                <w:sz w:val="22"/>
                <w:szCs w:val="22"/>
              </w:rPr>
            </w:pPr>
            <w:r w:rsidRPr="00883EC9">
              <w:rPr>
                <w:rFonts w:ascii="Times New Roman CE" w:hAnsi="Times New Roman CE" w:cs="Times New Roman CE"/>
                <w:sz w:val="22"/>
                <w:szCs w:val="22"/>
              </w:rPr>
              <w:t>77,2%</w:t>
            </w:r>
          </w:p>
        </w:tc>
      </w:tr>
    </w:tbl>
    <w:p w:rsidR="001D03B7" w:rsidRPr="007257B4" w:rsidRDefault="001D03B7">
      <w:pPr>
        <w:pStyle w:val="xl45"/>
        <w:spacing w:before="0" w:beforeAutospacing="0" w:after="0" w:afterAutospacing="0"/>
        <w:rPr>
          <w:rFonts w:eastAsia="Times New Roman" w:cs="Times New Roman"/>
          <w:bCs/>
          <w:sz w:val="18"/>
          <w:szCs w:val="18"/>
        </w:rPr>
      </w:pPr>
    </w:p>
    <w:p w:rsidR="001D03B7" w:rsidRPr="007257B4" w:rsidRDefault="001D03B7">
      <w:pPr>
        <w:pStyle w:val="xl45"/>
        <w:spacing w:before="0" w:beforeAutospacing="0" w:after="0" w:afterAutospacing="0"/>
        <w:rPr>
          <w:rFonts w:eastAsia="Times New Roman" w:cs="Times New Roman"/>
          <w:bCs/>
          <w:sz w:val="18"/>
          <w:szCs w:val="18"/>
        </w:rPr>
      </w:pPr>
    </w:p>
    <w:p w:rsidR="00E8097E" w:rsidRPr="00883EC9" w:rsidRDefault="00E8097E" w:rsidP="00DF270C">
      <w:pPr>
        <w:pStyle w:val="Cmsor2"/>
        <w:rPr>
          <w:i/>
          <w:color w:val="auto"/>
        </w:rPr>
      </w:pPr>
      <w:bookmarkStart w:id="21" w:name="_Toc489278854"/>
      <w:r w:rsidRPr="00883EC9">
        <w:rPr>
          <w:i/>
          <w:color w:val="auto"/>
        </w:rPr>
        <w:t xml:space="preserve">Önkormányzati megrendelésre végzett jelentősebb </w:t>
      </w:r>
      <w:proofErr w:type="spellStart"/>
      <w:r w:rsidRPr="00883EC9">
        <w:rPr>
          <w:i/>
          <w:color w:val="auto"/>
        </w:rPr>
        <w:t>víziközmű</w:t>
      </w:r>
      <w:proofErr w:type="spellEnd"/>
      <w:r w:rsidRPr="00883EC9">
        <w:rPr>
          <w:i/>
          <w:color w:val="auto"/>
        </w:rPr>
        <w:t xml:space="preserve"> építési-szerelési munkák</w:t>
      </w:r>
      <w:bookmarkEnd w:id="21"/>
    </w:p>
    <w:p w:rsidR="00E8097E" w:rsidRPr="00883EC9" w:rsidRDefault="00E8097E">
      <w:pPr>
        <w:rPr>
          <w:bCs/>
          <w:i/>
          <w:iCs/>
          <w:sz w:val="12"/>
          <w:szCs w:val="23"/>
        </w:rPr>
      </w:pPr>
    </w:p>
    <w:p w:rsidR="008B7CC4" w:rsidRPr="00883EC9" w:rsidRDefault="008B7CC4" w:rsidP="00230874">
      <w:pPr>
        <w:pStyle w:val="Nincstrkz"/>
        <w:jc w:val="both"/>
        <w:rPr>
          <w:bCs/>
          <w:i/>
          <w:iCs/>
          <w:sz w:val="24"/>
        </w:rPr>
      </w:pPr>
      <w:r w:rsidRPr="00883EC9">
        <w:rPr>
          <w:bCs/>
          <w:i/>
          <w:iCs/>
          <w:sz w:val="24"/>
        </w:rPr>
        <w:t>Vízközmű használati díj terhére</w:t>
      </w:r>
    </w:p>
    <w:p w:rsidR="008B7CC4" w:rsidRPr="00883EC9" w:rsidRDefault="008B7CC4" w:rsidP="008B7CC4">
      <w:pPr>
        <w:jc w:val="both"/>
        <w:rPr>
          <w:bCs/>
          <w:iCs/>
          <w:sz w:val="24"/>
          <w:szCs w:val="24"/>
        </w:rPr>
      </w:pPr>
      <w:r w:rsidRPr="00883EC9">
        <w:rPr>
          <w:bCs/>
          <w:iCs/>
          <w:sz w:val="24"/>
          <w:szCs w:val="24"/>
        </w:rPr>
        <w:t>Saját kivitelezésben</w:t>
      </w:r>
    </w:p>
    <w:p w:rsidR="00397823" w:rsidRPr="00883EC9" w:rsidRDefault="00397823" w:rsidP="00FE10CA">
      <w:pPr>
        <w:pStyle w:val="Szvegtrzsbehzssal"/>
        <w:numPr>
          <w:ilvl w:val="0"/>
          <w:numId w:val="5"/>
        </w:numPr>
        <w:tabs>
          <w:tab w:val="clear" w:pos="567"/>
          <w:tab w:val="clear" w:pos="720"/>
          <w:tab w:val="clear" w:pos="1134"/>
          <w:tab w:val="clear" w:pos="3686"/>
          <w:tab w:val="clear" w:pos="5103"/>
          <w:tab w:val="clear" w:pos="6946"/>
        </w:tabs>
        <w:ind w:left="426" w:right="566" w:hanging="210"/>
      </w:pPr>
      <w:r w:rsidRPr="00883EC9">
        <w:t xml:space="preserve">Szombathely, Északi vízmű nyomásfokozó gépház villamos szerelés 7,5 </w:t>
      </w:r>
      <w:proofErr w:type="spellStart"/>
      <w:r w:rsidRPr="00883EC9">
        <w:t>mFt</w:t>
      </w:r>
      <w:proofErr w:type="spellEnd"/>
      <w:r w:rsidRPr="00883EC9">
        <w:t xml:space="preserve"> (2016. évről áthúzódó építési munka</w:t>
      </w:r>
      <w:r w:rsidR="00A802BD" w:rsidRPr="00883EC9">
        <w:t>, l</w:t>
      </w:r>
      <w:r w:rsidRPr="00883EC9">
        <w:t>eszámlázva</w:t>
      </w:r>
      <w:r w:rsidR="00A802BD" w:rsidRPr="00883EC9">
        <w:t>)</w:t>
      </w:r>
    </w:p>
    <w:p w:rsidR="00397823" w:rsidRPr="00883EC9" w:rsidRDefault="00397823" w:rsidP="00E42BAA">
      <w:pPr>
        <w:pStyle w:val="Szvegtrzsbehzssal"/>
        <w:numPr>
          <w:ilvl w:val="0"/>
          <w:numId w:val="5"/>
        </w:numPr>
        <w:tabs>
          <w:tab w:val="clear" w:pos="567"/>
          <w:tab w:val="clear" w:pos="720"/>
          <w:tab w:val="clear" w:pos="1134"/>
          <w:tab w:val="clear" w:pos="3686"/>
          <w:tab w:val="clear" w:pos="5103"/>
          <w:tab w:val="clear" w:pos="6946"/>
        </w:tabs>
        <w:ind w:left="426" w:right="709" w:hanging="210"/>
      </w:pPr>
      <w:r w:rsidRPr="00883EC9">
        <w:t xml:space="preserve">Kőszegszerdahely nyomásfokozó villamos és gépészeti, építészeti rekonstrukció I. ütem 6,3 </w:t>
      </w:r>
      <w:proofErr w:type="spellStart"/>
      <w:r w:rsidRPr="00883EC9">
        <w:t>mFt</w:t>
      </w:r>
      <w:proofErr w:type="spellEnd"/>
      <w:r w:rsidR="00A802BD" w:rsidRPr="00883EC9">
        <w:t xml:space="preserve"> (</w:t>
      </w:r>
      <w:r w:rsidRPr="00883EC9">
        <w:t>leszámlázva</w:t>
      </w:r>
      <w:r w:rsidR="00A802BD" w:rsidRPr="00883EC9">
        <w:t>)</w:t>
      </w:r>
    </w:p>
    <w:p w:rsidR="00397823" w:rsidRPr="00883EC9" w:rsidRDefault="00397823" w:rsidP="00E42BAA">
      <w:pPr>
        <w:pStyle w:val="Szvegtrzsbehzssal"/>
        <w:numPr>
          <w:ilvl w:val="0"/>
          <w:numId w:val="5"/>
        </w:numPr>
        <w:tabs>
          <w:tab w:val="clear" w:pos="567"/>
          <w:tab w:val="clear" w:pos="720"/>
          <w:tab w:val="clear" w:pos="1134"/>
          <w:tab w:val="clear" w:pos="3686"/>
          <w:tab w:val="clear" w:pos="5103"/>
          <w:tab w:val="clear" w:pos="6946"/>
        </w:tabs>
        <w:ind w:left="426" w:right="709" w:hanging="210"/>
      </w:pPr>
      <w:r w:rsidRPr="00883EC9">
        <w:t xml:space="preserve">Vasszécseny gépház gépészeti átalakítása és vasiszap ülepítő építése 3,8 </w:t>
      </w:r>
      <w:proofErr w:type="spellStart"/>
      <w:r w:rsidRPr="00883EC9">
        <w:t>mFt</w:t>
      </w:r>
      <w:proofErr w:type="spellEnd"/>
    </w:p>
    <w:p w:rsidR="00397823" w:rsidRPr="00883EC9" w:rsidRDefault="00397823" w:rsidP="00E42BAA">
      <w:pPr>
        <w:pStyle w:val="Szvegtrzsbehzssal"/>
        <w:numPr>
          <w:ilvl w:val="0"/>
          <w:numId w:val="5"/>
        </w:numPr>
        <w:tabs>
          <w:tab w:val="clear" w:pos="567"/>
          <w:tab w:val="clear" w:pos="720"/>
          <w:tab w:val="clear" w:pos="1134"/>
          <w:tab w:val="clear" w:pos="3686"/>
          <w:tab w:val="clear" w:pos="5103"/>
          <w:tab w:val="clear" w:pos="6946"/>
        </w:tabs>
        <w:ind w:left="426" w:right="709" w:hanging="210"/>
      </w:pPr>
      <w:r w:rsidRPr="00883EC9">
        <w:t xml:space="preserve">Szombathely, </w:t>
      </w:r>
      <w:proofErr w:type="spellStart"/>
      <w:r w:rsidRPr="00883EC9">
        <w:t>Rohonci</w:t>
      </w:r>
      <w:proofErr w:type="spellEnd"/>
      <w:r w:rsidRPr="00883EC9">
        <w:t xml:space="preserve"> u. Deák Ferenc utca - Engels utca közötti szakaszon D 110 KPE vízvezeték csere 10 </w:t>
      </w:r>
      <w:proofErr w:type="spellStart"/>
      <w:r w:rsidRPr="00883EC9">
        <w:t>mFt</w:t>
      </w:r>
      <w:proofErr w:type="spellEnd"/>
    </w:p>
    <w:p w:rsidR="00397823" w:rsidRPr="00883EC9" w:rsidRDefault="00397823" w:rsidP="00E42BAA">
      <w:pPr>
        <w:pStyle w:val="Szvegtrzsbehzssal"/>
        <w:numPr>
          <w:ilvl w:val="0"/>
          <w:numId w:val="5"/>
        </w:numPr>
        <w:tabs>
          <w:tab w:val="clear" w:pos="567"/>
          <w:tab w:val="clear" w:pos="720"/>
          <w:tab w:val="clear" w:pos="1134"/>
          <w:tab w:val="clear" w:pos="3686"/>
          <w:tab w:val="clear" w:pos="5103"/>
          <w:tab w:val="clear" w:pos="6946"/>
        </w:tabs>
        <w:ind w:left="426" w:right="709" w:hanging="210"/>
      </w:pPr>
      <w:r w:rsidRPr="00883EC9">
        <w:t xml:space="preserve">Perenye vízmű, átemelő szivattyúk rekonstrukció 25 </w:t>
      </w:r>
      <w:proofErr w:type="spellStart"/>
      <w:r w:rsidRPr="00883EC9">
        <w:t>mFt</w:t>
      </w:r>
      <w:proofErr w:type="spellEnd"/>
    </w:p>
    <w:p w:rsidR="00397823" w:rsidRPr="00883EC9" w:rsidRDefault="00397823" w:rsidP="00E42BAA">
      <w:pPr>
        <w:pStyle w:val="Szvegtrzsbehzssal"/>
        <w:numPr>
          <w:ilvl w:val="0"/>
          <w:numId w:val="5"/>
        </w:numPr>
        <w:tabs>
          <w:tab w:val="clear" w:pos="567"/>
          <w:tab w:val="clear" w:pos="720"/>
          <w:tab w:val="clear" w:pos="1134"/>
          <w:tab w:val="clear" w:pos="3686"/>
          <w:tab w:val="clear" w:pos="5103"/>
          <w:tab w:val="clear" w:pos="6946"/>
        </w:tabs>
        <w:ind w:left="426" w:right="709" w:hanging="210"/>
      </w:pPr>
      <w:r w:rsidRPr="00883EC9">
        <w:t>Csepreg Zrínyi utca</w:t>
      </w:r>
      <w:r w:rsidR="00A802BD" w:rsidRPr="00883EC9">
        <w:t xml:space="preserve"> és Fehér utca</w:t>
      </w:r>
      <w:r w:rsidRPr="00883EC9">
        <w:t xml:space="preserve"> ivóvíz vezeték rekonstrukció </w:t>
      </w:r>
      <w:r w:rsidR="00A7433D">
        <w:t>3,5</w:t>
      </w:r>
      <w:r w:rsidRPr="00883EC9">
        <w:t xml:space="preserve"> </w:t>
      </w:r>
      <w:proofErr w:type="spellStart"/>
      <w:r w:rsidRPr="00883EC9">
        <w:t>mFt</w:t>
      </w:r>
      <w:proofErr w:type="spellEnd"/>
    </w:p>
    <w:p w:rsidR="00397823" w:rsidRPr="00883EC9" w:rsidRDefault="00397823" w:rsidP="00E42BAA">
      <w:pPr>
        <w:pStyle w:val="Szvegtrzsbehzssal"/>
        <w:numPr>
          <w:ilvl w:val="0"/>
          <w:numId w:val="5"/>
        </w:numPr>
        <w:tabs>
          <w:tab w:val="clear" w:pos="567"/>
          <w:tab w:val="clear" w:pos="720"/>
          <w:tab w:val="clear" w:pos="1134"/>
          <w:tab w:val="clear" w:pos="3686"/>
          <w:tab w:val="clear" w:pos="5103"/>
          <w:tab w:val="clear" w:pos="6946"/>
        </w:tabs>
        <w:ind w:left="426" w:right="709" w:hanging="210"/>
      </w:pPr>
      <w:r w:rsidRPr="00883EC9">
        <w:t xml:space="preserve">Vasvár vízmű gépház rekonstrukciója I. ütem (szivattyú rekonstrukció) 7,8 </w:t>
      </w:r>
      <w:proofErr w:type="spellStart"/>
      <w:r w:rsidRPr="00883EC9">
        <w:t>mFt</w:t>
      </w:r>
      <w:proofErr w:type="spellEnd"/>
    </w:p>
    <w:p w:rsidR="00397823" w:rsidRPr="00883EC9" w:rsidRDefault="00397823" w:rsidP="00FE10CA">
      <w:pPr>
        <w:pStyle w:val="Szvegtrzsbehzssal"/>
        <w:numPr>
          <w:ilvl w:val="0"/>
          <w:numId w:val="5"/>
        </w:numPr>
        <w:tabs>
          <w:tab w:val="clear" w:pos="567"/>
          <w:tab w:val="clear" w:pos="720"/>
          <w:tab w:val="clear" w:pos="1134"/>
          <w:tab w:val="clear" w:pos="3686"/>
          <w:tab w:val="clear" w:pos="5103"/>
          <w:tab w:val="clear" w:pos="6946"/>
        </w:tabs>
        <w:ind w:left="426" w:right="566" w:hanging="210"/>
      </w:pPr>
      <w:r w:rsidRPr="00883EC9">
        <w:t>Csehimindszent 2x15 m</w:t>
      </w:r>
      <w:r w:rsidRPr="00A7433D">
        <w:rPr>
          <w:vertAlign w:val="superscript"/>
        </w:rPr>
        <w:t>3</w:t>
      </w:r>
      <w:r w:rsidRPr="00883EC9">
        <w:t>/h kapacitású szűrőtartály visszamosatásához 34 m</w:t>
      </w:r>
      <w:r w:rsidRPr="00883EC9">
        <w:rPr>
          <w:vertAlign w:val="superscript"/>
        </w:rPr>
        <w:t>3</w:t>
      </w:r>
      <w:r w:rsidRPr="00883EC9">
        <w:t>-es hasznos térfogatú vasiszap</w:t>
      </w:r>
      <w:r w:rsidR="00A802BD" w:rsidRPr="00883EC9">
        <w:t xml:space="preserve"> </w:t>
      </w:r>
      <w:r w:rsidRPr="00883EC9">
        <w:t xml:space="preserve">ülepítő medence építése 3 </w:t>
      </w:r>
      <w:proofErr w:type="spellStart"/>
      <w:r w:rsidRPr="00883EC9">
        <w:t>mFt</w:t>
      </w:r>
      <w:proofErr w:type="spellEnd"/>
    </w:p>
    <w:p w:rsidR="00397823" w:rsidRPr="00883EC9" w:rsidRDefault="00397823" w:rsidP="00E42BAA">
      <w:pPr>
        <w:pStyle w:val="Szvegtrzsbehzssal"/>
        <w:numPr>
          <w:ilvl w:val="0"/>
          <w:numId w:val="5"/>
        </w:numPr>
        <w:tabs>
          <w:tab w:val="clear" w:pos="567"/>
          <w:tab w:val="clear" w:pos="720"/>
          <w:tab w:val="clear" w:pos="1134"/>
          <w:tab w:val="clear" w:pos="3686"/>
          <w:tab w:val="clear" w:pos="5103"/>
          <w:tab w:val="clear" w:pos="6946"/>
        </w:tabs>
        <w:ind w:left="426" w:right="425" w:hanging="210"/>
      </w:pPr>
      <w:r w:rsidRPr="00883EC9">
        <w:t xml:space="preserve">Szentgotthárd, Széchenyi u.-József A. u. csomópont átépítés, </w:t>
      </w:r>
      <w:r w:rsidR="00A7433D">
        <w:t xml:space="preserve">20 </w:t>
      </w:r>
      <w:proofErr w:type="spellStart"/>
      <w:r w:rsidR="00A7433D">
        <w:t>fm</w:t>
      </w:r>
      <w:proofErr w:type="spellEnd"/>
      <w:r w:rsidR="00A7433D">
        <w:t xml:space="preserve"> </w:t>
      </w:r>
      <w:r w:rsidRPr="00883EC9">
        <w:t>acélcső</w:t>
      </w:r>
      <w:r w:rsidR="00A802BD" w:rsidRPr="00883EC9">
        <w:t xml:space="preserve"> </w:t>
      </w:r>
      <w:r w:rsidRPr="00883EC9">
        <w:t>csere 2,</w:t>
      </w:r>
      <w:proofErr w:type="spellStart"/>
      <w:r w:rsidRPr="00883EC9">
        <w:t>2</w:t>
      </w:r>
      <w:proofErr w:type="spellEnd"/>
      <w:r w:rsidRPr="00883EC9">
        <w:t xml:space="preserve"> </w:t>
      </w:r>
      <w:proofErr w:type="spellStart"/>
      <w:r w:rsidRPr="00883EC9">
        <w:t>mFt</w:t>
      </w:r>
      <w:proofErr w:type="spellEnd"/>
    </w:p>
    <w:p w:rsidR="00397823" w:rsidRPr="00883EC9" w:rsidRDefault="00397823" w:rsidP="00E42BAA">
      <w:pPr>
        <w:pStyle w:val="Szvegtrzsbehzssal"/>
        <w:numPr>
          <w:ilvl w:val="0"/>
          <w:numId w:val="5"/>
        </w:numPr>
        <w:tabs>
          <w:tab w:val="clear" w:pos="567"/>
          <w:tab w:val="clear" w:pos="720"/>
          <w:tab w:val="clear" w:pos="1134"/>
          <w:tab w:val="clear" w:pos="3686"/>
          <w:tab w:val="clear" w:pos="5103"/>
          <w:tab w:val="clear" w:pos="6946"/>
        </w:tabs>
        <w:ind w:left="426" w:right="709" w:hanging="210"/>
      </w:pPr>
      <w:r w:rsidRPr="00883EC9">
        <w:t xml:space="preserve">Bejcgyertyános 1 db horganyzott vízbekötés cseréje, Sótony 5 db tolózár csere 1,8 </w:t>
      </w:r>
      <w:proofErr w:type="spellStart"/>
      <w:r w:rsidRPr="00883EC9">
        <w:t>mFt</w:t>
      </w:r>
      <w:proofErr w:type="spellEnd"/>
    </w:p>
    <w:p w:rsidR="00A802BD" w:rsidRPr="00FE10CA" w:rsidRDefault="00A802BD" w:rsidP="00A802BD">
      <w:pPr>
        <w:jc w:val="both"/>
        <w:rPr>
          <w:bCs/>
          <w:iCs/>
          <w:sz w:val="24"/>
          <w:szCs w:val="24"/>
        </w:rPr>
      </w:pPr>
      <w:r w:rsidRPr="00FE10CA">
        <w:rPr>
          <w:bCs/>
          <w:iCs/>
          <w:sz w:val="24"/>
          <w:szCs w:val="24"/>
        </w:rPr>
        <w:t>Külső kivitelezésben</w:t>
      </w:r>
    </w:p>
    <w:p w:rsidR="002B509E" w:rsidRDefault="00A802BD" w:rsidP="00FE10CA">
      <w:pPr>
        <w:pStyle w:val="Szvegtrzsbehzssal"/>
        <w:numPr>
          <w:ilvl w:val="0"/>
          <w:numId w:val="5"/>
        </w:numPr>
        <w:tabs>
          <w:tab w:val="clear" w:pos="567"/>
          <w:tab w:val="clear" w:pos="720"/>
          <w:tab w:val="clear" w:pos="1134"/>
          <w:tab w:val="clear" w:pos="3686"/>
          <w:tab w:val="clear" w:pos="5103"/>
          <w:tab w:val="clear" w:pos="6946"/>
        </w:tabs>
        <w:ind w:left="426" w:right="709" w:hanging="210"/>
      </w:pPr>
      <w:r w:rsidRPr="00883EC9">
        <w:t xml:space="preserve">Ikervár víztorony víztér és tető rekonstrukció 7,2 </w:t>
      </w:r>
      <w:proofErr w:type="spellStart"/>
      <w:r w:rsidRPr="00883EC9">
        <w:t>mFt</w:t>
      </w:r>
      <w:proofErr w:type="spellEnd"/>
    </w:p>
    <w:p w:rsidR="002B509E" w:rsidRDefault="002B509E">
      <w:pPr>
        <w:rPr>
          <w:sz w:val="24"/>
        </w:rPr>
      </w:pPr>
      <w:r>
        <w:br w:type="page"/>
      </w:r>
    </w:p>
    <w:p w:rsidR="00124846" w:rsidRPr="00671A4B" w:rsidRDefault="00124846" w:rsidP="008B7CC4">
      <w:pPr>
        <w:pStyle w:val="Nincstrkz"/>
        <w:jc w:val="both"/>
        <w:rPr>
          <w:sz w:val="16"/>
          <w:szCs w:val="16"/>
        </w:rPr>
      </w:pPr>
    </w:p>
    <w:p w:rsidR="008B7CC4" w:rsidRPr="00883EC9" w:rsidRDefault="008B7CC4" w:rsidP="00230874">
      <w:pPr>
        <w:pStyle w:val="Nincstrkz"/>
        <w:jc w:val="both"/>
        <w:rPr>
          <w:bCs/>
          <w:i/>
          <w:iCs/>
          <w:sz w:val="24"/>
        </w:rPr>
      </w:pPr>
      <w:r w:rsidRPr="00883EC9">
        <w:rPr>
          <w:bCs/>
          <w:i/>
          <w:iCs/>
          <w:sz w:val="24"/>
        </w:rPr>
        <w:t>Szennyvízközmű használati díj terhére</w:t>
      </w:r>
    </w:p>
    <w:p w:rsidR="008B7CC4" w:rsidRPr="00883EC9" w:rsidRDefault="008B7CC4" w:rsidP="008B7CC4">
      <w:pPr>
        <w:jc w:val="both"/>
        <w:rPr>
          <w:bCs/>
          <w:iCs/>
          <w:sz w:val="24"/>
          <w:szCs w:val="24"/>
        </w:rPr>
      </w:pPr>
      <w:r w:rsidRPr="00883EC9">
        <w:rPr>
          <w:bCs/>
          <w:iCs/>
          <w:sz w:val="24"/>
          <w:szCs w:val="24"/>
        </w:rPr>
        <w:t>Saját kivitelezésben</w:t>
      </w:r>
    </w:p>
    <w:p w:rsidR="00A802BD" w:rsidRPr="00FE10CA" w:rsidRDefault="00A802BD" w:rsidP="00572036">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FE10CA">
        <w:t xml:space="preserve">Szombathelyi szennyvíztisztító telep iszapfeladó szivattyúk cseréje (2x2 db) 7 </w:t>
      </w:r>
      <w:proofErr w:type="spellStart"/>
      <w:r w:rsidRPr="00FE10CA">
        <w:t>mFt</w:t>
      </w:r>
      <w:proofErr w:type="spellEnd"/>
      <w:r w:rsidRPr="00FE10CA">
        <w:t xml:space="preserve">, utóülepítő kotróhíd rekonstrukciós munkái 4 </w:t>
      </w:r>
      <w:proofErr w:type="spellStart"/>
      <w:r w:rsidRPr="00FE10CA">
        <w:t>mFt</w:t>
      </w:r>
      <w:proofErr w:type="spellEnd"/>
    </w:p>
    <w:p w:rsidR="00CB2871" w:rsidRPr="00FE10CA" w:rsidRDefault="00CB2871" w:rsidP="00572036">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FE10CA">
        <w:t xml:space="preserve">Átemelő villamos rekonstrukciók: </w:t>
      </w:r>
      <w:r w:rsidR="00A802BD" w:rsidRPr="00FE10CA">
        <w:t xml:space="preserve">Kiszsidány 3 </w:t>
      </w:r>
      <w:proofErr w:type="spellStart"/>
      <w:r w:rsidR="00A802BD" w:rsidRPr="00FE10CA">
        <w:t>mFt</w:t>
      </w:r>
      <w:proofErr w:type="spellEnd"/>
      <w:r w:rsidRPr="00FE10CA">
        <w:t xml:space="preserve">, Horvátzsidány 2,5 </w:t>
      </w:r>
      <w:proofErr w:type="spellStart"/>
      <w:r w:rsidRPr="00FE10CA">
        <w:t>mFt</w:t>
      </w:r>
      <w:proofErr w:type="spellEnd"/>
      <w:r w:rsidRPr="00FE10CA">
        <w:t xml:space="preserve"> </w:t>
      </w:r>
      <w:r w:rsidR="00A802BD" w:rsidRPr="00FE10CA">
        <w:t>(2016. évről áthúzódó építési munk</w:t>
      </w:r>
      <w:r w:rsidRPr="00FE10CA">
        <w:t xml:space="preserve">ák, </w:t>
      </w:r>
      <w:r w:rsidR="00A802BD" w:rsidRPr="00FE10CA">
        <w:t>leszámlázva</w:t>
      </w:r>
      <w:r w:rsidRPr="00FE10CA">
        <w:t xml:space="preserve">), Csepreg III. sz. átemelő 3 </w:t>
      </w:r>
      <w:proofErr w:type="spellStart"/>
      <w:r w:rsidRPr="00FE10CA">
        <w:t>mFt</w:t>
      </w:r>
      <w:proofErr w:type="spellEnd"/>
      <w:r w:rsidRPr="00FE10CA">
        <w:t xml:space="preserve">, Ólmod II. sz. átemelő 2,5 </w:t>
      </w:r>
      <w:proofErr w:type="spellStart"/>
      <w:r w:rsidRPr="00FE10CA">
        <w:t>mFt</w:t>
      </w:r>
      <w:proofErr w:type="spellEnd"/>
    </w:p>
    <w:p w:rsidR="00A802BD" w:rsidRPr="00FE10CA" w:rsidRDefault="00CB2871" w:rsidP="00572036">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FE10CA">
        <w:t xml:space="preserve">Átemelő gépészeti rekonstrukciók: </w:t>
      </w:r>
      <w:r w:rsidR="00A802BD" w:rsidRPr="00FE10CA">
        <w:t xml:space="preserve">Ják III.-IV. </w:t>
      </w:r>
      <w:r w:rsidRPr="00FE10CA">
        <w:t xml:space="preserve">sz. </w:t>
      </w:r>
      <w:r w:rsidR="00A802BD" w:rsidRPr="00FE10CA">
        <w:t xml:space="preserve">átemelők 3,2 </w:t>
      </w:r>
      <w:proofErr w:type="spellStart"/>
      <w:r w:rsidR="00A802BD" w:rsidRPr="00FE10CA">
        <w:t>mFt</w:t>
      </w:r>
      <w:proofErr w:type="spellEnd"/>
      <w:r w:rsidRPr="00FE10CA">
        <w:t xml:space="preserve">, </w:t>
      </w:r>
      <w:r w:rsidR="00A802BD" w:rsidRPr="00FE10CA">
        <w:t>Szentgotthárd II.</w:t>
      </w:r>
      <w:r w:rsidRPr="00FE10CA">
        <w:t xml:space="preserve"> sz. </w:t>
      </w:r>
      <w:r w:rsidR="00A802BD" w:rsidRPr="00FE10CA">
        <w:t>átemelő 3,</w:t>
      </w:r>
      <w:proofErr w:type="spellStart"/>
      <w:r w:rsidR="00A802BD" w:rsidRPr="00FE10CA">
        <w:t>3</w:t>
      </w:r>
      <w:proofErr w:type="spellEnd"/>
      <w:r w:rsidR="00A802BD" w:rsidRPr="00FE10CA">
        <w:t xml:space="preserve"> </w:t>
      </w:r>
      <w:proofErr w:type="spellStart"/>
      <w:r w:rsidR="00A802BD" w:rsidRPr="00FE10CA">
        <w:t>mFt</w:t>
      </w:r>
      <w:proofErr w:type="spellEnd"/>
    </w:p>
    <w:p w:rsidR="00CB2871" w:rsidRPr="00FE10CA" w:rsidRDefault="00CB2871" w:rsidP="00572036">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FE10CA">
        <w:t xml:space="preserve">Bögöte II. sz. átemelő gépészeti-technológiai rekonstrukció 2,3 </w:t>
      </w:r>
      <w:proofErr w:type="spellStart"/>
      <w:r w:rsidRPr="00FE10CA">
        <w:t>mFt</w:t>
      </w:r>
      <w:proofErr w:type="spellEnd"/>
    </w:p>
    <w:p w:rsidR="00A802BD" w:rsidRPr="00572036" w:rsidRDefault="00A802BD" w:rsidP="00572036">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FE10CA">
        <w:t xml:space="preserve">Sárvár IV.-V.-VIII.- XIII. számú szennyvízátemelők </w:t>
      </w:r>
      <w:proofErr w:type="spellStart"/>
      <w:r w:rsidRPr="00FE10CA">
        <w:t>védterületének</w:t>
      </w:r>
      <w:proofErr w:type="spellEnd"/>
      <w:r w:rsidRPr="00FE10CA">
        <w:t xml:space="preserve"> bekerítése 2,3</w:t>
      </w:r>
      <w:r w:rsidR="00CB2871" w:rsidRPr="00FE10CA">
        <w:t xml:space="preserve"> </w:t>
      </w:r>
      <w:proofErr w:type="spellStart"/>
      <w:r w:rsidRPr="00FE10CA">
        <w:t>mFt</w:t>
      </w:r>
      <w:proofErr w:type="spellEnd"/>
      <w:r w:rsidRPr="00FE10CA">
        <w:t xml:space="preserve"> </w:t>
      </w:r>
      <w:r w:rsidRPr="00572036">
        <w:t>(2016. évről áthúzódó építési munka</w:t>
      </w:r>
      <w:r w:rsidR="00CB2871" w:rsidRPr="00572036">
        <w:t>, le</w:t>
      </w:r>
      <w:r w:rsidRPr="00572036">
        <w:t>számlázva</w:t>
      </w:r>
      <w:r w:rsidR="00CB2871" w:rsidRPr="00572036">
        <w:t>)</w:t>
      </w:r>
    </w:p>
    <w:p w:rsidR="00A802BD" w:rsidRPr="00FE10CA" w:rsidRDefault="00A802BD" w:rsidP="00572036">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FE10CA">
        <w:t xml:space="preserve">Sárvár szennyvízhálózaton balesetveszélyes szennyvízcsatorna </w:t>
      </w:r>
      <w:proofErr w:type="spellStart"/>
      <w:r w:rsidRPr="00FE10CA">
        <w:t>fedlapok</w:t>
      </w:r>
      <w:proofErr w:type="spellEnd"/>
      <w:r w:rsidRPr="00FE10CA">
        <w:t xml:space="preserve"> cseréje, szintbe emelése 3,25 </w:t>
      </w:r>
      <w:proofErr w:type="spellStart"/>
      <w:r w:rsidRPr="00FE10CA">
        <w:t>m</w:t>
      </w:r>
      <w:r w:rsidR="00CB2871" w:rsidRPr="00FE10CA">
        <w:t>F</w:t>
      </w:r>
      <w:r w:rsidRPr="00FE10CA">
        <w:t>t</w:t>
      </w:r>
      <w:proofErr w:type="spellEnd"/>
      <w:r w:rsidRPr="00FE10CA">
        <w:t xml:space="preserve"> (2016. évről áthúzódó építési munka</w:t>
      </w:r>
      <w:r w:rsidR="004B1D1A">
        <w:t>, le</w:t>
      </w:r>
      <w:r w:rsidRPr="00FE10CA">
        <w:t>számlázva</w:t>
      </w:r>
      <w:r w:rsidR="00296EE1">
        <w:t>)</w:t>
      </w:r>
    </w:p>
    <w:p w:rsidR="00A802BD" w:rsidRPr="00FE10CA" w:rsidRDefault="00A802BD" w:rsidP="00572036">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FE10CA">
        <w:t xml:space="preserve">Celldömölk, </w:t>
      </w:r>
      <w:r w:rsidR="00CB2871" w:rsidRPr="00FE10CA">
        <w:t>s</w:t>
      </w:r>
      <w:r w:rsidRPr="00FE10CA">
        <w:t xml:space="preserve">zennyvíztisztító telep és szennyvízátemelők irányítástechnikai rendszer rekonstrukciója 7,5 </w:t>
      </w:r>
      <w:proofErr w:type="spellStart"/>
      <w:r w:rsidRPr="00FE10CA">
        <w:t>mFt</w:t>
      </w:r>
      <w:proofErr w:type="spellEnd"/>
      <w:r w:rsidRPr="00FE10CA">
        <w:t xml:space="preserve"> (2016. évről áthúzódó építési munka</w:t>
      </w:r>
      <w:r w:rsidR="00CB2871" w:rsidRPr="00FE10CA">
        <w:t>, l</w:t>
      </w:r>
      <w:r w:rsidRPr="00FE10CA">
        <w:t>eszámlázva</w:t>
      </w:r>
      <w:r w:rsidR="00CB2871" w:rsidRPr="00FE10CA">
        <w:t>)</w:t>
      </w:r>
    </w:p>
    <w:p w:rsidR="00A802BD" w:rsidRPr="00FE10CA" w:rsidRDefault="00A802BD" w:rsidP="00572036">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FE10CA">
        <w:t xml:space="preserve">Őriszentpéter szennyvíztisztító telep 3 db frekvenciaváltó cseréje 1,6 </w:t>
      </w:r>
      <w:proofErr w:type="spellStart"/>
      <w:r w:rsidRPr="00FE10CA">
        <w:t>mFt</w:t>
      </w:r>
      <w:proofErr w:type="spellEnd"/>
      <w:r w:rsidRPr="00FE10CA">
        <w:t xml:space="preserve"> </w:t>
      </w:r>
      <w:r w:rsidR="00CB2871" w:rsidRPr="00FE10CA">
        <w:t>(l</w:t>
      </w:r>
      <w:r w:rsidRPr="00FE10CA">
        <w:t>eszámlázva</w:t>
      </w:r>
      <w:r w:rsidR="00CB2871" w:rsidRPr="00FE10CA">
        <w:t>)</w:t>
      </w:r>
    </w:p>
    <w:p w:rsidR="00A802BD" w:rsidRPr="004B1D1A" w:rsidRDefault="00A802BD" w:rsidP="008B7CC4">
      <w:pPr>
        <w:jc w:val="both"/>
        <w:rPr>
          <w:bCs/>
          <w:iCs/>
          <w:sz w:val="12"/>
          <w:szCs w:val="12"/>
        </w:rPr>
      </w:pPr>
    </w:p>
    <w:p w:rsidR="008B7CC4" w:rsidRPr="00FE10CA" w:rsidRDefault="008B7CC4" w:rsidP="00110861">
      <w:pPr>
        <w:ind w:right="567"/>
        <w:jc w:val="both"/>
        <w:rPr>
          <w:bCs/>
          <w:iCs/>
          <w:sz w:val="24"/>
          <w:szCs w:val="24"/>
        </w:rPr>
      </w:pPr>
      <w:r w:rsidRPr="00FE10CA">
        <w:rPr>
          <w:bCs/>
          <w:iCs/>
          <w:sz w:val="24"/>
          <w:szCs w:val="24"/>
        </w:rPr>
        <w:t>Külső kivitelezés</w:t>
      </w:r>
      <w:r w:rsidR="00FE10CA">
        <w:rPr>
          <w:bCs/>
          <w:iCs/>
          <w:sz w:val="24"/>
          <w:szCs w:val="24"/>
        </w:rPr>
        <w:t xml:space="preserve"> és beszerzés</w:t>
      </w:r>
    </w:p>
    <w:p w:rsidR="00ED5B45" w:rsidRPr="00883EC9" w:rsidRDefault="00ED5B45" w:rsidP="00572036">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883EC9">
        <w:t xml:space="preserve">Szombathely, </w:t>
      </w:r>
      <w:proofErr w:type="spellStart"/>
      <w:r w:rsidRPr="00883EC9">
        <w:t>Akacs</w:t>
      </w:r>
      <w:proofErr w:type="spellEnd"/>
      <w:r w:rsidRPr="00883EC9">
        <w:t xml:space="preserve"> Mihály u. Bartók krt.-Forró utca közötti szakaszon 105 </w:t>
      </w:r>
      <w:proofErr w:type="spellStart"/>
      <w:r w:rsidRPr="00883EC9">
        <w:t>fm</w:t>
      </w:r>
      <w:proofErr w:type="spellEnd"/>
      <w:r w:rsidRPr="00883EC9">
        <w:t xml:space="preserve"> 40/60 beton gerincvezeték és 70 </w:t>
      </w:r>
      <w:proofErr w:type="spellStart"/>
      <w:r w:rsidRPr="00883EC9">
        <w:t>fm</w:t>
      </w:r>
      <w:proofErr w:type="spellEnd"/>
      <w:r w:rsidRPr="00883EC9">
        <w:t xml:space="preserve"> házi bekötővezeték cseréje, Szűrcsapó-Hargita utcák között</w:t>
      </w:r>
      <w:r w:rsidR="00AF144E" w:rsidRPr="00883EC9">
        <w:t xml:space="preserve"> </w:t>
      </w:r>
      <w:r w:rsidRPr="00883EC9">
        <w:t xml:space="preserve">141,36 </w:t>
      </w:r>
      <w:proofErr w:type="spellStart"/>
      <w:r w:rsidRPr="00883EC9">
        <w:t>fm</w:t>
      </w:r>
      <w:proofErr w:type="spellEnd"/>
      <w:r w:rsidRPr="00883EC9">
        <w:t xml:space="preserve"> NA 600 azbesztcement gerincvezeték, 121,3 </w:t>
      </w:r>
      <w:proofErr w:type="spellStart"/>
      <w:r w:rsidRPr="00883EC9">
        <w:t>fm</w:t>
      </w:r>
      <w:proofErr w:type="spellEnd"/>
      <w:r w:rsidRPr="00883EC9">
        <w:t xml:space="preserve"> Ø20 be</w:t>
      </w:r>
      <w:r w:rsidR="005C7830">
        <w:t xml:space="preserve">ton házi bekötővezeték bélelés </w:t>
      </w:r>
      <w:r w:rsidRPr="00883EC9">
        <w:t xml:space="preserve">66 </w:t>
      </w:r>
      <w:proofErr w:type="spellStart"/>
      <w:r w:rsidRPr="00883EC9">
        <w:t>mFt</w:t>
      </w:r>
      <w:proofErr w:type="spellEnd"/>
      <w:r w:rsidRPr="00883EC9">
        <w:t xml:space="preserve"> (2016. évről áthúzódó építési munka</w:t>
      </w:r>
      <w:r w:rsidR="00AF144E" w:rsidRPr="00883EC9">
        <w:t xml:space="preserve"> ISPA/KA szennyvíz használati díj terhére, l</w:t>
      </w:r>
      <w:r w:rsidRPr="00883EC9">
        <w:t>eszámlázva</w:t>
      </w:r>
      <w:r w:rsidR="00AF144E" w:rsidRPr="00883EC9">
        <w:t>)</w:t>
      </w:r>
      <w:r w:rsidRPr="00883EC9">
        <w:t xml:space="preserve"> </w:t>
      </w:r>
    </w:p>
    <w:p w:rsidR="00AF144E" w:rsidRPr="00883EC9" w:rsidRDefault="00AF144E" w:rsidP="00572036">
      <w:pPr>
        <w:pStyle w:val="Szvegtrzsbehzssal"/>
        <w:numPr>
          <w:ilvl w:val="0"/>
          <w:numId w:val="5"/>
        </w:numPr>
        <w:tabs>
          <w:tab w:val="clear" w:pos="567"/>
          <w:tab w:val="clear" w:pos="720"/>
          <w:tab w:val="clear" w:pos="1134"/>
          <w:tab w:val="clear" w:pos="3686"/>
          <w:tab w:val="clear" w:pos="5103"/>
          <w:tab w:val="clear" w:pos="6946"/>
        </w:tabs>
        <w:ind w:left="284" w:right="141" w:hanging="210"/>
      </w:pPr>
      <w:r w:rsidRPr="00883EC9">
        <w:t xml:space="preserve">Szombathely szennyvízcsatorna rekonstrukció </w:t>
      </w:r>
      <w:proofErr w:type="spellStart"/>
      <w:r w:rsidRPr="00883EC9">
        <w:t>Hübner</w:t>
      </w:r>
      <w:proofErr w:type="spellEnd"/>
      <w:r w:rsidRPr="00883EC9">
        <w:t xml:space="preserve"> u. 4,5 </w:t>
      </w:r>
      <w:proofErr w:type="spellStart"/>
      <w:r w:rsidRPr="00883EC9">
        <w:t>mFt</w:t>
      </w:r>
      <w:proofErr w:type="spellEnd"/>
      <w:r w:rsidRPr="00883EC9">
        <w:t xml:space="preserve"> (leszámlázva), Márton Á</w:t>
      </w:r>
      <w:r w:rsidR="00572036">
        <w:t xml:space="preserve">. </w:t>
      </w:r>
      <w:r w:rsidRPr="00883EC9">
        <w:t xml:space="preserve">u. 19,5 </w:t>
      </w:r>
      <w:proofErr w:type="spellStart"/>
      <w:r w:rsidRPr="00883EC9">
        <w:t>mFt</w:t>
      </w:r>
      <w:proofErr w:type="spellEnd"/>
    </w:p>
    <w:p w:rsidR="00ED5B45" w:rsidRPr="00883EC9" w:rsidRDefault="00ED5B45" w:rsidP="00572036">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883EC9">
        <w:t>Daru telepítése a Táplánszentkereszt I. és II. sz</w:t>
      </w:r>
      <w:r w:rsidR="00AF144E" w:rsidRPr="00883EC9">
        <w:t>.</w:t>
      </w:r>
      <w:r w:rsidRPr="00883EC9">
        <w:t xml:space="preserve"> átemelőkhöz 4,6 </w:t>
      </w:r>
      <w:proofErr w:type="spellStart"/>
      <w:r w:rsidRPr="00883EC9">
        <w:t>mFt</w:t>
      </w:r>
      <w:proofErr w:type="spellEnd"/>
      <w:r w:rsidRPr="00883EC9">
        <w:t xml:space="preserve"> (2016. évről áthúzódó építési munka</w:t>
      </w:r>
      <w:r w:rsidR="00AF144E" w:rsidRPr="00883EC9">
        <w:t>, leszámlázva)</w:t>
      </w:r>
    </w:p>
    <w:p w:rsidR="00ED5B45" w:rsidRPr="00883EC9" w:rsidRDefault="00ED5B45" w:rsidP="00572036">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883EC9">
        <w:t xml:space="preserve">Körmendi szennyvíztisztító telep mechanikai előtisztító kombinált berendezés telepítése gépi ráccsal, homokleválasztóval, </w:t>
      </w:r>
      <w:proofErr w:type="spellStart"/>
      <w:r w:rsidRPr="00883EC9">
        <w:t>TFH-fogadó</w:t>
      </w:r>
      <w:proofErr w:type="spellEnd"/>
      <w:r w:rsidRPr="00883EC9">
        <w:t xml:space="preserve"> lehetőséggel 26 </w:t>
      </w:r>
      <w:proofErr w:type="spellStart"/>
      <w:r w:rsidRPr="00883EC9">
        <w:t>m</w:t>
      </w:r>
      <w:r w:rsidR="00AF144E" w:rsidRPr="00883EC9">
        <w:t>F</w:t>
      </w:r>
      <w:r w:rsidRPr="00883EC9">
        <w:t>t</w:t>
      </w:r>
      <w:proofErr w:type="spellEnd"/>
      <w:r w:rsidRPr="00883EC9">
        <w:t xml:space="preserve"> (2016. évről áthúzódó építési munka, külső és saját kivitelezésben)</w:t>
      </w:r>
    </w:p>
    <w:p w:rsidR="00ED5B45" w:rsidRPr="00883EC9" w:rsidRDefault="00ED5B45" w:rsidP="00572036">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883EC9">
        <w:t>Szentgotthárd, Arany János utcai szagprobléma kezelése 3</w:t>
      </w:r>
      <w:r w:rsidR="00AF144E" w:rsidRPr="00883EC9">
        <w:t>,</w:t>
      </w:r>
      <w:proofErr w:type="spellStart"/>
      <w:r w:rsidR="00AF144E" w:rsidRPr="00883EC9">
        <w:t>3</w:t>
      </w:r>
      <w:proofErr w:type="spellEnd"/>
      <w:r w:rsidR="00AF144E" w:rsidRPr="00883EC9">
        <w:t xml:space="preserve"> </w:t>
      </w:r>
      <w:proofErr w:type="spellStart"/>
      <w:r w:rsidR="00AF144E" w:rsidRPr="00883EC9">
        <w:t>m</w:t>
      </w:r>
      <w:r w:rsidRPr="00883EC9">
        <w:t>Ft</w:t>
      </w:r>
      <w:proofErr w:type="spellEnd"/>
      <w:r w:rsidRPr="00883EC9">
        <w:t xml:space="preserve"> (2016. évről áthúzódó építési munka)</w:t>
      </w:r>
    </w:p>
    <w:p w:rsidR="00ED5B45" w:rsidRPr="00883EC9" w:rsidRDefault="00ED5B45" w:rsidP="00572036">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883EC9">
        <w:t xml:space="preserve">Szentgotthárd I. </w:t>
      </w:r>
      <w:r w:rsidR="00AF144E" w:rsidRPr="00883EC9">
        <w:t xml:space="preserve">sz. </w:t>
      </w:r>
      <w:r w:rsidRPr="00883EC9">
        <w:t xml:space="preserve">szennyvíz átemelő </w:t>
      </w:r>
      <w:proofErr w:type="spellStart"/>
      <w:r w:rsidRPr="00883EC9">
        <w:t>Concertor</w:t>
      </w:r>
      <w:proofErr w:type="spellEnd"/>
      <w:r w:rsidRPr="00883EC9">
        <w:t xml:space="preserve"> szivattyúk beszerzése 3,5 </w:t>
      </w:r>
      <w:proofErr w:type="spellStart"/>
      <w:r w:rsidRPr="00883EC9">
        <w:t>mFt</w:t>
      </w:r>
      <w:proofErr w:type="spellEnd"/>
    </w:p>
    <w:p w:rsidR="00ED5B45" w:rsidRPr="00883EC9" w:rsidRDefault="00ED5B45" w:rsidP="00572036">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883EC9">
        <w:t xml:space="preserve">Vasvár </w:t>
      </w:r>
      <w:proofErr w:type="spellStart"/>
      <w:r w:rsidRPr="00883EC9">
        <w:t>Szentmihályfalvi</w:t>
      </w:r>
      <w:proofErr w:type="spellEnd"/>
      <w:r w:rsidRPr="00883EC9">
        <w:t xml:space="preserve"> utca, Március 15-e tér D300 betoncsatorna rekonstrukciója béleléssel 20,5 </w:t>
      </w:r>
      <w:proofErr w:type="spellStart"/>
      <w:r w:rsidRPr="00883EC9">
        <w:t>mFt</w:t>
      </w:r>
      <w:proofErr w:type="spellEnd"/>
    </w:p>
    <w:p w:rsidR="00ED5B45" w:rsidRPr="00883EC9" w:rsidRDefault="00ED5B45" w:rsidP="00572036">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883EC9">
        <w:t xml:space="preserve">Csörötnek közterületi átemelők szivattyúinak cseréje 4 </w:t>
      </w:r>
      <w:proofErr w:type="spellStart"/>
      <w:r w:rsidRPr="00883EC9">
        <w:t>mFt</w:t>
      </w:r>
      <w:proofErr w:type="spellEnd"/>
    </w:p>
    <w:p w:rsidR="00ED5B45" w:rsidRPr="00883EC9" w:rsidRDefault="00ED5B45" w:rsidP="00572036">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883EC9">
        <w:t xml:space="preserve">Egyházasrádóc szennyvíztisztító telep kezelőépület tetőszerkezetének, tetőfedésének cseréje 2,5 </w:t>
      </w:r>
      <w:proofErr w:type="spellStart"/>
      <w:r w:rsidRPr="00883EC9">
        <w:t>mFt</w:t>
      </w:r>
      <w:proofErr w:type="spellEnd"/>
      <w:r w:rsidRPr="00883EC9">
        <w:t xml:space="preserve"> </w:t>
      </w:r>
      <w:r w:rsidR="00AF144E" w:rsidRPr="00883EC9">
        <w:t>(</w:t>
      </w:r>
      <w:r w:rsidR="00BB45B7" w:rsidRPr="00883EC9">
        <w:t>l</w:t>
      </w:r>
      <w:r w:rsidRPr="00883EC9">
        <w:t>eszámlázva</w:t>
      </w:r>
      <w:r w:rsidR="00AF144E" w:rsidRPr="00883EC9">
        <w:t>)</w:t>
      </w:r>
    </w:p>
    <w:p w:rsidR="00ED5B45" w:rsidRPr="00883EC9" w:rsidRDefault="00ED5B45" w:rsidP="00572036">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883EC9">
        <w:t xml:space="preserve">Uraiújfalu </w:t>
      </w:r>
      <w:r w:rsidR="00AF144E" w:rsidRPr="00883EC9">
        <w:t xml:space="preserve">szennyvíztisztító telep </w:t>
      </w:r>
      <w:r w:rsidRPr="00883EC9">
        <w:t xml:space="preserve">levegőztető elemek cseréje 1,9 </w:t>
      </w:r>
      <w:proofErr w:type="spellStart"/>
      <w:r w:rsidRPr="00883EC9">
        <w:t>mFt</w:t>
      </w:r>
      <w:proofErr w:type="spellEnd"/>
      <w:r w:rsidRPr="00883EC9">
        <w:t xml:space="preserve"> </w:t>
      </w:r>
      <w:r w:rsidR="00AF144E" w:rsidRPr="00883EC9">
        <w:t>(l</w:t>
      </w:r>
      <w:r w:rsidRPr="00883EC9">
        <w:t>eszámlázva</w:t>
      </w:r>
      <w:r w:rsidR="00AF144E" w:rsidRPr="00883EC9">
        <w:t>)</w:t>
      </w:r>
    </w:p>
    <w:p w:rsidR="00ED5B45" w:rsidRPr="00FE10CA" w:rsidRDefault="00AF144E" w:rsidP="00572036">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883EC9">
        <w:t>Celldömölk</w:t>
      </w:r>
      <w:r w:rsidR="00ED5B45" w:rsidRPr="00883EC9">
        <w:t xml:space="preserve"> szennyvíztisztító telep 2 db telepített aut</w:t>
      </w:r>
      <w:r w:rsidRPr="00883EC9">
        <w:t>o</w:t>
      </w:r>
      <w:r w:rsidR="00ED5B45" w:rsidRPr="00883EC9">
        <w:t xml:space="preserve">mata mintavevő beszerzése </w:t>
      </w:r>
      <w:r w:rsidR="00ED5B45" w:rsidRPr="00883EC9">
        <w:br/>
      </w:r>
      <w:r w:rsidR="00ED5B45" w:rsidRPr="00FE10CA">
        <w:t xml:space="preserve">3 </w:t>
      </w:r>
      <w:proofErr w:type="spellStart"/>
      <w:r w:rsidR="00ED5B45" w:rsidRPr="00FE10CA">
        <w:t>mFt</w:t>
      </w:r>
      <w:proofErr w:type="spellEnd"/>
      <w:r w:rsidR="00ED5B45" w:rsidRPr="00FE10CA">
        <w:t xml:space="preserve"> </w:t>
      </w:r>
      <w:r w:rsidRPr="00FE10CA">
        <w:t>(l</w:t>
      </w:r>
      <w:r w:rsidR="00ED5B45" w:rsidRPr="00FE10CA">
        <w:t>eszámlázva</w:t>
      </w:r>
      <w:r w:rsidRPr="00FE10CA">
        <w:t>)</w:t>
      </w:r>
    </w:p>
    <w:p w:rsidR="00ED5B45" w:rsidRPr="00FE10CA" w:rsidRDefault="00ED5B45" w:rsidP="00572036">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FE10CA">
        <w:t xml:space="preserve">Kenyeri szennyvíztisztító telep fejlesztése, levegőztető elemek cseréje 2,3 </w:t>
      </w:r>
      <w:proofErr w:type="spellStart"/>
      <w:r w:rsidRPr="00FE10CA">
        <w:t>mFt</w:t>
      </w:r>
      <w:proofErr w:type="spellEnd"/>
      <w:r w:rsidRPr="00FE10CA">
        <w:t xml:space="preserve"> (saját és külső kivitelezésben)</w:t>
      </w:r>
    </w:p>
    <w:p w:rsidR="0004154F" w:rsidRPr="005C7830" w:rsidRDefault="0004154F">
      <w:pPr>
        <w:rPr>
          <w:bCs/>
          <w:i/>
          <w:iCs/>
          <w:color w:val="000000" w:themeColor="text1"/>
          <w:sz w:val="12"/>
          <w:szCs w:val="12"/>
        </w:rPr>
      </w:pPr>
    </w:p>
    <w:p w:rsidR="0045281F" w:rsidRPr="00E445DB" w:rsidRDefault="0045281F" w:rsidP="00E445DB">
      <w:pPr>
        <w:pStyle w:val="Cmsor2"/>
        <w:rPr>
          <w:i/>
          <w:color w:val="auto"/>
        </w:rPr>
      </w:pPr>
      <w:bookmarkStart w:id="22" w:name="_Toc489278855"/>
      <w:r w:rsidRPr="00E445DB">
        <w:rPr>
          <w:i/>
          <w:color w:val="auto"/>
        </w:rPr>
        <w:t>Egyéb megrendelésre végzett fő</w:t>
      </w:r>
      <w:r w:rsidR="0004154F" w:rsidRPr="00E445DB">
        <w:rPr>
          <w:i/>
          <w:color w:val="auto"/>
        </w:rPr>
        <w:t>bb építőipari munkák</w:t>
      </w:r>
      <w:bookmarkEnd w:id="22"/>
    </w:p>
    <w:p w:rsidR="008749C6" w:rsidRPr="00572036" w:rsidRDefault="008749C6" w:rsidP="00572036">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72036">
        <w:t xml:space="preserve">Szombathely, Haladás Sportkomplexum vízvezeték építés (kiváltás, </w:t>
      </w:r>
      <w:proofErr w:type="spellStart"/>
      <w:r w:rsidRPr="00572036">
        <w:t>tüzivíz</w:t>
      </w:r>
      <w:proofErr w:type="spellEnd"/>
      <w:r w:rsidRPr="00572036">
        <w:t>, és belső vízvezeték, kiegészítő munkák, meglévő vízbekötés megszüntetése</w:t>
      </w:r>
      <w:r w:rsidR="0004154F" w:rsidRPr="00572036">
        <w:t>; leszámlázva</w:t>
      </w:r>
      <w:r w:rsidRPr="00572036">
        <w:t>)</w:t>
      </w:r>
      <w:r w:rsidR="0004154F" w:rsidRPr="00572036">
        <w:t xml:space="preserve"> 50,5 </w:t>
      </w:r>
      <w:proofErr w:type="spellStart"/>
      <w:r w:rsidR="0004154F" w:rsidRPr="00572036">
        <w:t>mFt</w:t>
      </w:r>
      <w:proofErr w:type="spellEnd"/>
      <w:r w:rsidR="0004154F" w:rsidRPr="00572036">
        <w:t xml:space="preserve"> </w:t>
      </w:r>
    </w:p>
    <w:p w:rsidR="0045281F" w:rsidRPr="00572036" w:rsidRDefault="0004154F" w:rsidP="00572036">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72036">
        <w:t>Szombathely, Berzsenyi D. tér-Szily J</w:t>
      </w:r>
      <w:r w:rsidR="000F2454" w:rsidRPr="00572036">
        <w:t>.</w:t>
      </w:r>
      <w:r w:rsidRPr="00572036">
        <w:t xml:space="preserve"> u</w:t>
      </w:r>
      <w:r w:rsidR="000F2454" w:rsidRPr="00572036">
        <w:t xml:space="preserve">. </w:t>
      </w:r>
      <w:r w:rsidRPr="00572036">
        <w:t xml:space="preserve">ivóvízvezeték rekonstrukció (leszámlázva) 59 </w:t>
      </w:r>
      <w:proofErr w:type="spellStart"/>
      <w:r w:rsidRPr="00572036">
        <w:t>mFt</w:t>
      </w:r>
      <w:proofErr w:type="spellEnd"/>
    </w:p>
    <w:p w:rsidR="0004154F" w:rsidRPr="00572036" w:rsidRDefault="0004154F" w:rsidP="00572036">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72036">
        <w:t xml:space="preserve">Mersevát II. sz. kút melléfúrásos felújítása 4,8 </w:t>
      </w:r>
      <w:proofErr w:type="spellStart"/>
      <w:r w:rsidRPr="00572036">
        <w:t>mFt</w:t>
      </w:r>
      <w:proofErr w:type="spellEnd"/>
    </w:p>
    <w:p w:rsidR="005C7830" w:rsidRPr="00572036" w:rsidRDefault="000C7D2E" w:rsidP="00572036">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72036">
        <w:t xml:space="preserve">Répcelak új utca vízvezeték építés (leszámlázva) 3,7 </w:t>
      </w:r>
      <w:proofErr w:type="spellStart"/>
      <w:r w:rsidRPr="00572036">
        <w:t>mFt</w:t>
      </w:r>
      <w:proofErr w:type="spellEnd"/>
      <w:r w:rsidR="00284B14" w:rsidRPr="00572036">
        <w:t xml:space="preserve">, Petőfi S. u. üzletsor vízvezeték kivitelezése (leszámlázva) 3,8 </w:t>
      </w:r>
      <w:proofErr w:type="spellStart"/>
      <w:r w:rsidR="00284B14" w:rsidRPr="00572036">
        <w:t>mFt</w:t>
      </w:r>
      <w:proofErr w:type="spellEnd"/>
    </w:p>
    <w:p w:rsidR="005C7830" w:rsidRDefault="005C7830">
      <w:pPr>
        <w:rPr>
          <w:sz w:val="24"/>
          <w:szCs w:val="24"/>
        </w:rPr>
      </w:pPr>
      <w:r>
        <w:rPr>
          <w:szCs w:val="24"/>
        </w:rPr>
        <w:br w:type="page"/>
      </w:r>
    </w:p>
    <w:p w:rsidR="0004154F" w:rsidRPr="00FE10CA" w:rsidRDefault="0004154F" w:rsidP="0045281F">
      <w:pPr>
        <w:jc w:val="both"/>
      </w:pPr>
    </w:p>
    <w:p w:rsidR="008B7CC4" w:rsidRPr="00FE10CA" w:rsidRDefault="008B7CC4">
      <w:pPr>
        <w:rPr>
          <w:bCs/>
          <w:i/>
          <w:iCs/>
          <w:sz w:val="16"/>
          <w:szCs w:val="16"/>
        </w:rPr>
      </w:pPr>
    </w:p>
    <w:p w:rsidR="00E8097E" w:rsidRPr="00124846" w:rsidRDefault="00E8097E">
      <w:pPr>
        <w:pStyle w:val="Cmsor1"/>
        <w:ind w:left="0"/>
        <w:rPr>
          <w:b/>
          <w:bCs/>
          <w:i/>
          <w:iCs/>
          <w:sz w:val="28"/>
          <w:szCs w:val="28"/>
        </w:rPr>
      </w:pPr>
      <w:bookmarkStart w:id="23" w:name="_Toc330999132"/>
      <w:bookmarkStart w:id="24" w:name="_Toc331589982"/>
      <w:bookmarkStart w:id="25" w:name="_Toc489278856"/>
      <w:r w:rsidRPr="00124846">
        <w:rPr>
          <w:b/>
          <w:bCs/>
          <w:i/>
          <w:iCs/>
          <w:sz w:val="28"/>
          <w:szCs w:val="28"/>
        </w:rPr>
        <w:t>Hibaelhárítás, eszközfenntartás</w:t>
      </w:r>
      <w:bookmarkEnd w:id="23"/>
      <w:bookmarkEnd w:id="24"/>
      <w:bookmarkEnd w:id="25"/>
    </w:p>
    <w:p w:rsidR="00E8097E" w:rsidRPr="00883EC9" w:rsidRDefault="00E8097E">
      <w:pPr>
        <w:jc w:val="both"/>
        <w:rPr>
          <w:sz w:val="24"/>
          <w:szCs w:val="24"/>
        </w:rPr>
      </w:pPr>
    </w:p>
    <w:p w:rsidR="00E8097E" w:rsidRPr="00883EC9" w:rsidRDefault="00E8097E">
      <w:pPr>
        <w:pStyle w:val="Szvegtrzs3"/>
        <w:ind w:right="-1"/>
      </w:pPr>
      <w:r w:rsidRPr="00883EC9">
        <w:t>A zavartalan szolgáltatásnyújtás biztosítéka a víz- és szennyvíz közművek és kiszolgáló eszközök megfelelő üzemi körülményeinek folyamatos biztosítása az eszközök tervszerű karbantartásán, a meghibásodások azonnali kijavításán, a mérésügyi előírások szerinti vízóra-hitelesítések, mérőcserék elvégzésén, hálózatöblítéseken, víztározók tervszerű fertőtlenítő mosatásán keresztül. Mindezek egyre nagyobb része, mintegy 85-90 %-a saját kivitelezésben történik, kisebb része pedig megbízásba adott munka.</w:t>
      </w:r>
    </w:p>
    <w:p w:rsidR="00E8097E" w:rsidRDefault="00E8097E">
      <w:pPr>
        <w:ind w:right="-1"/>
        <w:jc w:val="both"/>
        <w:rPr>
          <w:sz w:val="24"/>
        </w:rPr>
      </w:pPr>
      <w:r w:rsidRPr="00883EC9">
        <w:rPr>
          <w:sz w:val="24"/>
        </w:rPr>
        <w:t>A társaság 201</w:t>
      </w:r>
      <w:r w:rsidR="00407CCB" w:rsidRPr="00883EC9">
        <w:rPr>
          <w:sz w:val="24"/>
        </w:rPr>
        <w:t>7</w:t>
      </w:r>
      <w:r w:rsidRPr="00883EC9">
        <w:rPr>
          <w:sz w:val="24"/>
        </w:rPr>
        <w:t xml:space="preserve">. évi </w:t>
      </w:r>
      <w:r w:rsidR="00401EC0" w:rsidRPr="00883EC9">
        <w:rPr>
          <w:sz w:val="24"/>
        </w:rPr>
        <w:t xml:space="preserve">módosított </w:t>
      </w:r>
      <w:r w:rsidRPr="00883EC9">
        <w:rPr>
          <w:sz w:val="24"/>
        </w:rPr>
        <w:t xml:space="preserve">üzleti terve </w:t>
      </w:r>
      <w:r w:rsidR="00401EC0" w:rsidRPr="00883EC9">
        <w:rPr>
          <w:sz w:val="24"/>
        </w:rPr>
        <w:t xml:space="preserve">948 318 </w:t>
      </w:r>
      <w:proofErr w:type="spellStart"/>
      <w:r w:rsidRPr="00883EC9">
        <w:rPr>
          <w:sz w:val="24"/>
        </w:rPr>
        <w:t>eFt</w:t>
      </w:r>
      <w:proofErr w:type="spellEnd"/>
      <w:r w:rsidRPr="00883EC9">
        <w:rPr>
          <w:sz w:val="24"/>
        </w:rPr>
        <w:t xml:space="preserve"> saját, valamint 1</w:t>
      </w:r>
      <w:r w:rsidR="00401EC0" w:rsidRPr="00883EC9">
        <w:rPr>
          <w:sz w:val="24"/>
        </w:rPr>
        <w:t>55 0</w:t>
      </w:r>
      <w:r w:rsidRPr="00883EC9">
        <w:rPr>
          <w:sz w:val="24"/>
        </w:rPr>
        <w:t xml:space="preserve">00 </w:t>
      </w:r>
      <w:proofErr w:type="spellStart"/>
      <w:r w:rsidRPr="00883EC9">
        <w:rPr>
          <w:sz w:val="24"/>
        </w:rPr>
        <w:t>eFt</w:t>
      </w:r>
      <w:proofErr w:type="spellEnd"/>
      <w:r w:rsidRPr="00883EC9">
        <w:rPr>
          <w:sz w:val="24"/>
        </w:rPr>
        <w:t xml:space="preserve"> megbízásba adott, összesen </w:t>
      </w:r>
      <w:r w:rsidR="00012CD7" w:rsidRPr="00883EC9">
        <w:rPr>
          <w:sz w:val="24"/>
        </w:rPr>
        <w:t>1</w:t>
      </w:r>
      <w:r w:rsidR="00401EC0" w:rsidRPr="00883EC9">
        <w:rPr>
          <w:sz w:val="24"/>
        </w:rPr>
        <w:t> 103 318</w:t>
      </w:r>
      <w:r w:rsidRPr="00883EC9">
        <w:rPr>
          <w:sz w:val="24"/>
        </w:rPr>
        <w:t xml:space="preserve"> </w:t>
      </w:r>
      <w:proofErr w:type="spellStart"/>
      <w:r w:rsidRPr="00883EC9">
        <w:rPr>
          <w:sz w:val="24"/>
        </w:rPr>
        <w:t>eFt</w:t>
      </w:r>
      <w:proofErr w:type="spellEnd"/>
      <w:r w:rsidRPr="00883EC9">
        <w:rPr>
          <w:sz w:val="24"/>
        </w:rPr>
        <w:t xml:space="preserve"> értékű fenntartási munkát tartalmaz. A 201</w:t>
      </w:r>
      <w:r w:rsidR="00401EC0" w:rsidRPr="00883EC9">
        <w:rPr>
          <w:sz w:val="24"/>
        </w:rPr>
        <w:t>7</w:t>
      </w:r>
      <w:r w:rsidRPr="00883EC9">
        <w:rPr>
          <w:sz w:val="24"/>
        </w:rPr>
        <w:t>. I. félévi saját kivitelezésű eszközfenntartás</w:t>
      </w:r>
      <w:r w:rsidR="00012CD7" w:rsidRPr="00883EC9">
        <w:rPr>
          <w:sz w:val="24"/>
        </w:rPr>
        <w:t xml:space="preserve"> a tervhez képest </w:t>
      </w:r>
      <w:r w:rsidR="00401EC0" w:rsidRPr="00883EC9">
        <w:rPr>
          <w:sz w:val="24"/>
        </w:rPr>
        <w:t>45,1</w:t>
      </w:r>
      <w:r w:rsidR="00012CD7" w:rsidRPr="00883EC9">
        <w:rPr>
          <w:sz w:val="24"/>
        </w:rPr>
        <w:t xml:space="preserve"> %</w:t>
      </w:r>
      <w:r w:rsidR="00EF23DF">
        <w:rPr>
          <w:sz w:val="24"/>
        </w:rPr>
        <w:t>, a</w:t>
      </w:r>
      <w:r w:rsidRPr="00883EC9">
        <w:rPr>
          <w:sz w:val="24"/>
        </w:rPr>
        <w:t xml:space="preserve"> megbízásba adott munkák értéke </w:t>
      </w:r>
      <w:r w:rsidR="00EF23DF">
        <w:rPr>
          <w:sz w:val="24"/>
        </w:rPr>
        <w:t>a terv 3</w:t>
      </w:r>
      <w:r w:rsidR="00012CD7" w:rsidRPr="00883EC9">
        <w:rPr>
          <w:sz w:val="24"/>
        </w:rPr>
        <w:t>3,</w:t>
      </w:r>
      <w:r w:rsidR="00401EC0" w:rsidRPr="00883EC9">
        <w:rPr>
          <w:sz w:val="24"/>
        </w:rPr>
        <w:t>3</w:t>
      </w:r>
      <w:r w:rsidR="00012CD7" w:rsidRPr="00883EC9">
        <w:rPr>
          <w:sz w:val="24"/>
        </w:rPr>
        <w:t xml:space="preserve"> %-át teszi ki. A</w:t>
      </w:r>
      <w:r w:rsidRPr="00883EC9">
        <w:rPr>
          <w:sz w:val="24"/>
        </w:rPr>
        <w:t xml:space="preserve">z eszközfenntartási terv együttes I. félévi teljesítése </w:t>
      </w:r>
      <w:r w:rsidR="00401EC0" w:rsidRPr="00883EC9">
        <w:rPr>
          <w:sz w:val="24"/>
        </w:rPr>
        <w:t>43,5</w:t>
      </w:r>
      <w:r w:rsidR="00EF23DF">
        <w:rPr>
          <w:sz w:val="24"/>
        </w:rPr>
        <w:t xml:space="preserve"> %.</w:t>
      </w:r>
    </w:p>
    <w:p w:rsidR="00EF23DF" w:rsidRPr="00883EC9" w:rsidRDefault="00EF23DF">
      <w:pPr>
        <w:ind w:right="-1"/>
        <w:jc w:val="both"/>
        <w:rPr>
          <w:sz w:val="24"/>
          <w:szCs w:val="24"/>
        </w:rPr>
      </w:pPr>
    </w:p>
    <w:p w:rsidR="00E8097E" w:rsidRPr="00171FBA" w:rsidRDefault="00E8097E">
      <w:pPr>
        <w:pStyle w:val="Cmsor2"/>
        <w:rPr>
          <w:b/>
          <w:i/>
          <w:color w:val="auto"/>
        </w:rPr>
      </w:pPr>
      <w:bookmarkStart w:id="26" w:name="_Toc331589983"/>
      <w:bookmarkStart w:id="27" w:name="_Toc489278857"/>
      <w:r w:rsidRPr="00171FBA">
        <w:rPr>
          <w:b/>
          <w:i/>
          <w:color w:val="auto"/>
        </w:rPr>
        <w:t>Eszközfenntartási költségek alakulása</w:t>
      </w:r>
      <w:bookmarkEnd w:id="26"/>
      <w:bookmarkEnd w:id="27"/>
    </w:p>
    <w:tbl>
      <w:tblPr>
        <w:tblW w:w="9848" w:type="dxa"/>
        <w:tblInd w:w="-142" w:type="dxa"/>
        <w:tblLayout w:type="fixed"/>
        <w:tblCellMar>
          <w:left w:w="70" w:type="dxa"/>
          <w:right w:w="70" w:type="dxa"/>
        </w:tblCellMar>
        <w:tblLook w:val="04A0" w:firstRow="1" w:lastRow="0" w:firstColumn="1" w:lastColumn="0" w:noHBand="0" w:noVBand="1"/>
      </w:tblPr>
      <w:tblGrid>
        <w:gridCol w:w="4275"/>
        <w:gridCol w:w="261"/>
        <w:gridCol w:w="638"/>
        <w:gridCol w:w="355"/>
        <w:gridCol w:w="918"/>
        <w:gridCol w:w="216"/>
        <w:gridCol w:w="139"/>
        <w:gridCol w:w="779"/>
        <w:gridCol w:w="216"/>
        <w:gridCol w:w="879"/>
        <w:gridCol w:w="113"/>
        <w:gridCol w:w="103"/>
        <w:gridCol w:w="740"/>
        <w:gridCol w:w="113"/>
        <w:gridCol w:w="103"/>
      </w:tblGrid>
      <w:tr w:rsidR="00407CCB" w:rsidRPr="00883EC9" w:rsidTr="009B2B41">
        <w:trPr>
          <w:gridAfter w:val="2"/>
          <w:wAfter w:w="216" w:type="dxa"/>
          <w:trHeight w:val="300"/>
        </w:trPr>
        <w:tc>
          <w:tcPr>
            <w:tcW w:w="4275" w:type="dxa"/>
            <w:tcBorders>
              <w:top w:val="nil"/>
              <w:left w:val="nil"/>
              <w:bottom w:val="single" w:sz="4" w:space="0" w:color="auto"/>
              <w:right w:val="nil"/>
            </w:tcBorders>
            <w:shd w:val="clear" w:color="auto" w:fill="auto"/>
            <w:noWrap/>
            <w:vAlign w:val="bottom"/>
            <w:hideMark/>
          </w:tcPr>
          <w:p w:rsidR="00407CCB" w:rsidRPr="00883EC9" w:rsidRDefault="00407CCB" w:rsidP="00407CCB">
            <w:pPr>
              <w:rPr>
                <w:i/>
                <w:iCs/>
                <w:sz w:val="22"/>
                <w:szCs w:val="22"/>
              </w:rPr>
            </w:pPr>
          </w:p>
        </w:tc>
        <w:tc>
          <w:tcPr>
            <w:tcW w:w="899" w:type="dxa"/>
            <w:gridSpan w:val="2"/>
            <w:tcBorders>
              <w:top w:val="nil"/>
              <w:left w:val="nil"/>
              <w:bottom w:val="single" w:sz="4" w:space="0" w:color="auto"/>
              <w:right w:val="nil"/>
            </w:tcBorders>
            <w:shd w:val="clear" w:color="auto" w:fill="auto"/>
            <w:noWrap/>
            <w:vAlign w:val="bottom"/>
            <w:hideMark/>
          </w:tcPr>
          <w:p w:rsidR="00407CCB" w:rsidRPr="00883EC9" w:rsidRDefault="00407CCB" w:rsidP="00407CCB">
            <w:pPr>
              <w:jc w:val="right"/>
              <w:rPr>
                <w:i/>
                <w:iCs/>
                <w:sz w:val="22"/>
                <w:szCs w:val="22"/>
              </w:rPr>
            </w:pPr>
          </w:p>
        </w:tc>
        <w:tc>
          <w:tcPr>
            <w:tcW w:w="1273" w:type="dxa"/>
            <w:gridSpan w:val="2"/>
            <w:tcBorders>
              <w:top w:val="nil"/>
              <w:left w:val="nil"/>
              <w:bottom w:val="single" w:sz="4" w:space="0" w:color="auto"/>
              <w:right w:val="nil"/>
            </w:tcBorders>
            <w:shd w:val="clear" w:color="auto" w:fill="auto"/>
            <w:noWrap/>
            <w:vAlign w:val="bottom"/>
            <w:hideMark/>
          </w:tcPr>
          <w:p w:rsidR="00407CCB" w:rsidRPr="00883EC9" w:rsidRDefault="00407CCB" w:rsidP="00407CCB">
            <w:pPr>
              <w:jc w:val="right"/>
              <w:rPr>
                <w:i/>
                <w:iCs/>
                <w:sz w:val="22"/>
                <w:szCs w:val="22"/>
              </w:rPr>
            </w:pPr>
          </w:p>
        </w:tc>
        <w:tc>
          <w:tcPr>
            <w:tcW w:w="1134" w:type="dxa"/>
            <w:gridSpan w:val="3"/>
            <w:tcBorders>
              <w:top w:val="nil"/>
              <w:left w:val="nil"/>
              <w:bottom w:val="single" w:sz="4" w:space="0" w:color="auto"/>
              <w:right w:val="nil"/>
            </w:tcBorders>
            <w:shd w:val="clear" w:color="auto" w:fill="auto"/>
            <w:noWrap/>
            <w:vAlign w:val="bottom"/>
            <w:hideMark/>
          </w:tcPr>
          <w:p w:rsidR="00407CCB" w:rsidRPr="00883EC9" w:rsidRDefault="00407CCB" w:rsidP="00407CCB">
            <w:pPr>
              <w:jc w:val="right"/>
              <w:rPr>
                <w:i/>
                <w:iCs/>
                <w:sz w:val="22"/>
                <w:szCs w:val="22"/>
              </w:rPr>
            </w:pPr>
          </w:p>
        </w:tc>
        <w:tc>
          <w:tcPr>
            <w:tcW w:w="1095" w:type="dxa"/>
            <w:gridSpan w:val="2"/>
            <w:tcBorders>
              <w:top w:val="nil"/>
              <w:left w:val="nil"/>
              <w:bottom w:val="single" w:sz="4" w:space="0" w:color="auto"/>
              <w:right w:val="nil"/>
            </w:tcBorders>
            <w:shd w:val="clear" w:color="auto" w:fill="auto"/>
            <w:noWrap/>
            <w:vAlign w:val="bottom"/>
            <w:hideMark/>
          </w:tcPr>
          <w:p w:rsidR="00407CCB" w:rsidRPr="00883EC9" w:rsidRDefault="00407CCB" w:rsidP="00407CCB">
            <w:pPr>
              <w:jc w:val="right"/>
              <w:rPr>
                <w:i/>
                <w:iCs/>
                <w:sz w:val="22"/>
                <w:szCs w:val="22"/>
              </w:rPr>
            </w:pPr>
          </w:p>
        </w:tc>
        <w:tc>
          <w:tcPr>
            <w:tcW w:w="956" w:type="dxa"/>
            <w:gridSpan w:val="3"/>
            <w:tcBorders>
              <w:top w:val="nil"/>
              <w:left w:val="nil"/>
              <w:bottom w:val="single" w:sz="4" w:space="0" w:color="auto"/>
              <w:right w:val="nil"/>
            </w:tcBorders>
            <w:shd w:val="clear" w:color="auto" w:fill="auto"/>
            <w:noWrap/>
            <w:vAlign w:val="bottom"/>
            <w:hideMark/>
          </w:tcPr>
          <w:p w:rsidR="00407CCB" w:rsidRPr="00883EC9" w:rsidRDefault="00407CCB" w:rsidP="00407CCB">
            <w:pPr>
              <w:jc w:val="right"/>
              <w:rPr>
                <w:i/>
                <w:iCs/>
                <w:sz w:val="22"/>
                <w:szCs w:val="22"/>
              </w:rPr>
            </w:pPr>
            <w:proofErr w:type="spellStart"/>
            <w:r w:rsidRPr="00883EC9">
              <w:rPr>
                <w:i/>
                <w:iCs/>
                <w:sz w:val="22"/>
                <w:szCs w:val="22"/>
              </w:rPr>
              <w:t>eFt</w:t>
            </w:r>
            <w:proofErr w:type="spellEnd"/>
          </w:p>
        </w:tc>
      </w:tr>
      <w:tr w:rsidR="00407CCB" w:rsidRPr="00883EC9" w:rsidTr="009B2B41">
        <w:trPr>
          <w:trHeight w:val="300"/>
        </w:trPr>
        <w:tc>
          <w:tcPr>
            <w:tcW w:w="4536" w:type="dxa"/>
            <w:gridSpan w:val="2"/>
            <w:tcBorders>
              <w:top w:val="single" w:sz="4" w:space="0" w:color="auto"/>
              <w:left w:val="nil"/>
              <w:bottom w:val="single" w:sz="4" w:space="0" w:color="auto"/>
              <w:right w:val="nil"/>
            </w:tcBorders>
            <w:shd w:val="clear" w:color="auto" w:fill="auto"/>
            <w:noWrap/>
            <w:vAlign w:val="bottom"/>
            <w:hideMark/>
          </w:tcPr>
          <w:p w:rsidR="00407CCB" w:rsidRPr="00883EC9" w:rsidRDefault="00407CCB" w:rsidP="00407CCB">
            <w:pPr>
              <w:jc w:val="center"/>
              <w:rPr>
                <w:i/>
                <w:iCs/>
                <w:sz w:val="22"/>
                <w:szCs w:val="22"/>
              </w:rPr>
            </w:pPr>
          </w:p>
        </w:tc>
        <w:tc>
          <w:tcPr>
            <w:tcW w:w="993" w:type="dxa"/>
            <w:gridSpan w:val="2"/>
            <w:tcBorders>
              <w:top w:val="single" w:sz="4" w:space="0" w:color="auto"/>
              <w:left w:val="nil"/>
              <w:bottom w:val="single" w:sz="4" w:space="0" w:color="auto"/>
              <w:right w:val="nil"/>
            </w:tcBorders>
            <w:shd w:val="clear" w:color="auto" w:fill="auto"/>
            <w:noWrap/>
            <w:vAlign w:val="bottom"/>
            <w:hideMark/>
          </w:tcPr>
          <w:p w:rsidR="00407CCB" w:rsidRPr="00883EC9" w:rsidRDefault="00407CCB" w:rsidP="00407CCB">
            <w:pPr>
              <w:jc w:val="center"/>
              <w:rPr>
                <w:i/>
                <w:iCs/>
                <w:sz w:val="22"/>
                <w:szCs w:val="22"/>
              </w:rPr>
            </w:pPr>
            <w:r w:rsidRPr="00883EC9">
              <w:rPr>
                <w:i/>
                <w:iCs/>
                <w:sz w:val="22"/>
                <w:szCs w:val="22"/>
              </w:rPr>
              <w:t>2016.</w:t>
            </w:r>
            <w:r w:rsidRPr="00883EC9">
              <w:rPr>
                <w:i/>
                <w:iCs/>
                <w:sz w:val="22"/>
                <w:szCs w:val="22"/>
              </w:rPr>
              <w:br/>
              <w:t>I. félév tény</w:t>
            </w:r>
          </w:p>
        </w:tc>
        <w:tc>
          <w:tcPr>
            <w:tcW w:w="1273" w:type="dxa"/>
            <w:gridSpan w:val="3"/>
            <w:tcBorders>
              <w:top w:val="single" w:sz="4" w:space="0" w:color="auto"/>
              <w:left w:val="nil"/>
              <w:bottom w:val="single" w:sz="4" w:space="0" w:color="auto"/>
              <w:right w:val="nil"/>
            </w:tcBorders>
            <w:shd w:val="clear" w:color="auto" w:fill="auto"/>
            <w:noWrap/>
            <w:vAlign w:val="bottom"/>
            <w:hideMark/>
          </w:tcPr>
          <w:p w:rsidR="00407CCB" w:rsidRPr="00883EC9" w:rsidRDefault="00407CCB" w:rsidP="00407CCB">
            <w:pPr>
              <w:jc w:val="center"/>
              <w:rPr>
                <w:i/>
                <w:iCs/>
                <w:sz w:val="22"/>
                <w:szCs w:val="22"/>
              </w:rPr>
            </w:pPr>
            <w:r w:rsidRPr="00883EC9">
              <w:rPr>
                <w:i/>
                <w:iCs/>
                <w:sz w:val="22"/>
                <w:szCs w:val="22"/>
              </w:rPr>
              <w:t>2017. évi</w:t>
            </w:r>
            <w:r w:rsidRPr="00883EC9">
              <w:rPr>
                <w:i/>
                <w:iCs/>
                <w:sz w:val="22"/>
                <w:szCs w:val="22"/>
              </w:rPr>
              <w:br/>
              <w:t>1. sz. mód.</w:t>
            </w:r>
            <w:r w:rsidRPr="00883EC9">
              <w:rPr>
                <w:i/>
                <w:iCs/>
                <w:sz w:val="22"/>
                <w:szCs w:val="22"/>
              </w:rPr>
              <w:br/>
              <w:t>terv</w:t>
            </w:r>
          </w:p>
        </w:tc>
        <w:tc>
          <w:tcPr>
            <w:tcW w:w="995" w:type="dxa"/>
            <w:gridSpan w:val="2"/>
            <w:tcBorders>
              <w:top w:val="single" w:sz="4" w:space="0" w:color="auto"/>
              <w:left w:val="nil"/>
              <w:bottom w:val="single" w:sz="4" w:space="0" w:color="auto"/>
              <w:right w:val="nil"/>
            </w:tcBorders>
            <w:shd w:val="clear" w:color="auto" w:fill="auto"/>
            <w:noWrap/>
            <w:vAlign w:val="bottom"/>
            <w:hideMark/>
          </w:tcPr>
          <w:p w:rsidR="00407CCB" w:rsidRPr="00883EC9" w:rsidRDefault="00407CCB" w:rsidP="00407CCB">
            <w:pPr>
              <w:jc w:val="center"/>
              <w:rPr>
                <w:i/>
                <w:iCs/>
                <w:sz w:val="22"/>
                <w:szCs w:val="22"/>
              </w:rPr>
            </w:pPr>
            <w:r w:rsidRPr="00883EC9">
              <w:rPr>
                <w:i/>
                <w:iCs/>
                <w:sz w:val="22"/>
                <w:szCs w:val="22"/>
              </w:rPr>
              <w:t>2017.</w:t>
            </w:r>
            <w:r w:rsidRPr="00883EC9">
              <w:rPr>
                <w:i/>
                <w:iCs/>
                <w:sz w:val="22"/>
                <w:szCs w:val="22"/>
              </w:rPr>
              <w:br/>
              <w:t>I. félév tény</w:t>
            </w:r>
          </w:p>
        </w:tc>
        <w:tc>
          <w:tcPr>
            <w:tcW w:w="1095" w:type="dxa"/>
            <w:gridSpan w:val="3"/>
            <w:tcBorders>
              <w:top w:val="single" w:sz="4" w:space="0" w:color="auto"/>
              <w:left w:val="nil"/>
              <w:bottom w:val="single" w:sz="4" w:space="0" w:color="auto"/>
              <w:right w:val="nil"/>
            </w:tcBorders>
            <w:shd w:val="clear" w:color="auto" w:fill="auto"/>
            <w:noWrap/>
            <w:vAlign w:val="bottom"/>
            <w:hideMark/>
          </w:tcPr>
          <w:p w:rsidR="00407CCB" w:rsidRPr="00883EC9" w:rsidRDefault="00407CCB" w:rsidP="00407CCB">
            <w:pPr>
              <w:jc w:val="center"/>
              <w:rPr>
                <w:i/>
                <w:iCs/>
                <w:sz w:val="22"/>
                <w:szCs w:val="22"/>
              </w:rPr>
            </w:pPr>
            <w:r w:rsidRPr="00883EC9">
              <w:rPr>
                <w:i/>
                <w:iCs/>
                <w:sz w:val="22"/>
                <w:szCs w:val="22"/>
              </w:rPr>
              <w:t xml:space="preserve">tény/ </w:t>
            </w:r>
          </w:p>
          <w:p w:rsidR="00407CCB" w:rsidRPr="00883EC9" w:rsidRDefault="00407CCB" w:rsidP="00407CCB">
            <w:pPr>
              <w:jc w:val="center"/>
              <w:rPr>
                <w:i/>
                <w:iCs/>
                <w:sz w:val="22"/>
                <w:szCs w:val="22"/>
              </w:rPr>
            </w:pPr>
            <w:r w:rsidRPr="00883EC9">
              <w:rPr>
                <w:i/>
                <w:iCs/>
                <w:sz w:val="22"/>
                <w:szCs w:val="22"/>
              </w:rPr>
              <w:t>bázis</w:t>
            </w:r>
          </w:p>
        </w:tc>
        <w:tc>
          <w:tcPr>
            <w:tcW w:w="956" w:type="dxa"/>
            <w:gridSpan w:val="3"/>
            <w:tcBorders>
              <w:top w:val="single" w:sz="4" w:space="0" w:color="auto"/>
              <w:left w:val="nil"/>
              <w:bottom w:val="single" w:sz="4" w:space="0" w:color="auto"/>
              <w:right w:val="nil"/>
            </w:tcBorders>
            <w:shd w:val="clear" w:color="auto" w:fill="auto"/>
            <w:noWrap/>
            <w:vAlign w:val="bottom"/>
            <w:hideMark/>
          </w:tcPr>
          <w:p w:rsidR="00407CCB" w:rsidRPr="00883EC9" w:rsidRDefault="00407CCB" w:rsidP="00407CCB">
            <w:pPr>
              <w:jc w:val="center"/>
              <w:rPr>
                <w:i/>
                <w:iCs/>
                <w:sz w:val="22"/>
                <w:szCs w:val="22"/>
              </w:rPr>
            </w:pPr>
            <w:r w:rsidRPr="00883EC9">
              <w:rPr>
                <w:i/>
                <w:iCs/>
                <w:sz w:val="22"/>
                <w:szCs w:val="22"/>
              </w:rPr>
              <w:t>tény/ terv</w:t>
            </w:r>
          </w:p>
        </w:tc>
      </w:tr>
      <w:tr w:rsidR="00407CCB" w:rsidRPr="00883EC9" w:rsidTr="009B2B41">
        <w:trPr>
          <w:gridAfter w:val="1"/>
          <w:wAfter w:w="103" w:type="dxa"/>
          <w:trHeight w:val="300"/>
        </w:trPr>
        <w:tc>
          <w:tcPr>
            <w:tcW w:w="4536" w:type="dxa"/>
            <w:gridSpan w:val="2"/>
            <w:tcBorders>
              <w:top w:val="single" w:sz="4" w:space="0" w:color="auto"/>
              <w:left w:val="nil"/>
              <w:bottom w:val="nil"/>
              <w:right w:val="nil"/>
            </w:tcBorders>
            <w:shd w:val="clear" w:color="auto" w:fill="auto"/>
            <w:noWrap/>
            <w:vAlign w:val="bottom"/>
            <w:hideMark/>
          </w:tcPr>
          <w:p w:rsidR="00407CCB" w:rsidRPr="00883EC9" w:rsidRDefault="00407CCB" w:rsidP="00407CCB">
            <w:pPr>
              <w:rPr>
                <w:i/>
                <w:iCs/>
                <w:sz w:val="22"/>
                <w:szCs w:val="22"/>
              </w:rPr>
            </w:pPr>
            <w:r w:rsidRPr="00883EC9">
              <w:rPr>
                <w:i/>
                <w:iCs/>
                <w:sz w:val="22"/>
                <w:szCs w:val="22"/>
              </w:rPr>
              <w:t>Saját kivitelezésben végzett eszközfenntartás</w:t>
            </w:r>
          </w:p>
        </w:tc>
        <w:tc>
          <w:tcPr>
            <w:tcW w:w="993" w:type="dxa"/>
            <w:gridSpan w:val="2"/>
            <w:tcBorders>
              <w:top w:val="single" w:sz="4" w:space="0" w:color="auto"/>
              <w:left w:val="nil"/>
              <w:bottom w:val="nil"/>
              <w:right w:val="nil"/>
            </w:tcBorders>
            <w:shd w:val="clear" w:color="auto" w:fill="auto"/>
            <w:noWrap/>
            <w:vAlign w:val="bottom"/>
            <w:hideMark/>
          </w:tcPr>
          <w:p w:rsidR="00407CCB" w:rsidRPr="00883EC9" w:rsidRDefault="00407CCB" w:rsidP="00407CCB">
            <w:pPr>
              <w:jc w:val="right"/>
              <w:rPr>
                <w:i/>
                <w:iCs/>
                <w:sz w:val="22"/>
                <w:szCs w:val="22"/>
              </w:rPr>
            </w:pPr>
            <w:r w:rsidRPr="00883EC9">
              <w:rPr>
                <w:i/>
                <w:iCs/>
                <w:sz w:val="22"/>
                <w:szCs w:val="22"/>
              </w:rPr>
              <w:t>523 815</w:t>
            </w:r>
          </w:p>
        </w:tc>
        <w:tc>
          <w:tcPr>
            <w:tcW w:w="1134" w:type="dxa"/>
            <w:gridSpan w:val="2"/>
            <w:tcBorders>
              <w:top w:val="single" w:sz="4" w:space="0" w:color="auto"/>
              <w:left w:val="nil"/>
              <w:bottom w:val="nil"/>
              <w:right w:val="nil"/>
            </w:tcBorders>
            <w:shd w:val="clear" w:color="auto" w:fill="auto"/>
            <w:noWrap/>
            <w:vAlign w:val="bottom"/>
            <w:hideMark/>
          </w:tcPr>
          <w:p w:rsidR="00407CCB" w:rsidRPr="00883EC9" w:rsidRDefault="00407CCB" w:rsidP="00407CCB">
            <w:pPr>
              <w:jc w:val="right"/>
              <w:rPr>
                <w:i/>
                <w:iCs/>
                <w:sz w:val="22"/>
                <w:szCs w:val="22"/>
              </w:rPr>
            </w:pPr>
            <w:r w:rsidRPr="00883EC9">
              <w:rPr>
                <w:i/>
                <w:iCs/>
                <w:sz w:val="22"/>
                <w:szCs w:val="22"/>
              </w:rPr>
              <w:t>948 318</w:t>
            </w:r>
          </w:p>
        </w:tc>
        <w:tc>
          <w:tcPr>
            <w:tcW w:w="1134" w:type="dxa"/>
            <w:gridSpan w:val="3"/>
            <w:tcBorders>
              <w:top w:val="single" w:sz="4" w:space="0" w:color="auto"/>
              <w:left w:val="nil"/>
              <w:bottom w:val="nil"/>
              <w:right w:val="nil"/>
            </w:tcBorders>
            <w:shd w:val="clear" w:color="auto" w:fill="auto"/>
            <w:noWrap/>
            <w:vAlign w:val="bottom"/>
            <w:hideMark/>
          </w:tcPr>
          <w:p w:rsidR="00407CCB" w:rsidRPr="00883EC9" w:rsidRDefault="00407CCB" w:rsidP="00407CCB">
            <w:pPr>
              <w:jc w:val="right"/>
              <w:rPr>
                <w:i/>
                <w:iCs/>
                <w:sz w:val="22"/>
                <w:szCs w:val="22"/>
              </w:rPr>
            </w:pPr>
            <w:r w:rsidRPr="00883EC9">
              <w:rPr>
                <w:i/>
                <w:iCs/>
                <w:sz w:val="22"/>
                <w:szCs w:val="22"/>
              </w:rPr>
              <w:t>428 158</w:t>
            </w:r>
          </w:p>
        </w:tc>
        <w:tc>
          <w:tcPr>
            <w:tcW w:w="992" w:type="dxa"/>
            <w:gridSpan w:val="2"/>
            <w:tcBorders>
              <w:top w:val="single" w:sz="4" w:space="0" w:color="auto"/>
              <w:left w:val="nil"/>
              <w:bottom w:val="nil"/>
              <w:right w:val="nil"/>
            </w:tcBorders>
            <w:shd w:val="clear" w:color="auto" w:fill="auto"/>
            <w:noWrap/>
            <w:vAlign w:val="bottom"/>
            <w:hideMark/>
          </w:tcPr>
          <w:p w:rsidR="00407CCB" w:rsidRPr="00883EC9" w:rsidRDefault="00407CCB" w:rsidP="00407CCB">
            <w:pPr>
              <w:jc w:val="right"/>
              <w:rPr>
                <w:i/>
                <w:iCs/>
                <w:sz w:val="22"/>
                <w:szCs w:val="22"/>
              </w:rPr>
            </w:pPr>
            <w:r w:rsidRPr="00883EC9">
              <w:rPr>
                <w:i/>
                <w:iCs/>
                <w:sz w:val="22"/>
                <w:szCs w:val="22"/>
              </w:rPr>
              <w:t>81,7%</w:t>
            </w:r>
          </w:p>
        </w:tc>
        <w:tc>
          <w:tcPr>
            <w:tcW w:w="956" w:type="dxa"/>
            <w:gridSpan w:val="3"/>
            <w:tcBorders>
              <w:top w:val="single" w:sz="4" w:space="0" w:color="auto"/>
              <w:left w:val="nil"/>
              <w:bottom w:val="nil"/>
              <w:right w:val="nil"/>
            </w:tcBorders>
            <w:shd w:val="clear" w:color="auto" w:fill="auto"/>
            <w:noWrap/>
            <w:vAlign w:val="bottom"/>
            <w:hideMark/>
          </w:tcPr>
          <w:p w:rsidR="00407CCB" w:rsidRPr="00883EC9" w:rsidRDefault="00407CCB" w:rsidP="00407CCB">
            <w:pPr>
              <w:jc w:val="right"/>
              <w:rPr>
                <w:i/>
                <w:iCs/>
                <w:sz w:val="22"/>
                <w:szCs w:val="22"/>
              </w:rPr>
            </w:pPr>
            <w:r w:rsidRPr="00883EC9">
              <w:rPr>
                <w:i/>
                <w:iCs/>
                <w:sz w:val="22"/>
                <w:szCs w:val="22"/>
              </w:rPr>
              <w:t>45,1%</w:t>
            </w:r>
          </w:p>
        </w:tc>
      </w:tr>
      <w:tr w:rsidR="00407CCB" w:rsidRPr="00883EC9" w:rsidTr="009B2B41">
        <w:trPr>
          <w:gridAfter w:val="1"/>
          <w:wAfter w:w="103" w:type="dxa"/>
          <w:trHeight w:val="300"/>
        </w:trPr>
        <w:tc>
          <w:tcPr>
            <w:tcW w:w="4536" w:type="dxa"/>
            <w:gridSpan w:val="2"/>
            <w:tcBorders>
              <w:top w:val="nil"/>
              <w:left w:val="nil"/>
              <w:bottom w:val="nil"/>
              <w:right w:val="nil"/>
            </w:tcBorders>
            <w:shd w:val="clear" w:color="auto" w:fill="auto"/>
            <w:noWrap/>
            <w:vAlign w:val="bottom"/>
            <w:hideMark/>
          </w:tcPr>
          <w:p w:rsidR="00407CCB" w:rsidRPr="00883EC9" w:rsidRDefault="00407CCB" w:rsidP="00407CCB">
            <w:pPr>
              <w:rPr>
                <w:iCs/>
                <w:sz w:val="22"/>
                <w:szCs w:val="22"/>
              </w:rPr>
            </w:pPr>
            <w:r w:rsidRPr="00883EC9">
              <w:rPr>
                <w:iCs/>
                <w:sz w:val="22"/>
                <w:szCs w:val="22"/>
              </w:rPr>
              <w:t>ebből: Üzemmérnökségek által végzett</w:t>
            </w:r>
          </w:p>
        </w:tc>
        <w:tc>
          <w:tcPr>
            <w:tcW w:w="993"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411 873</w:t>
            </w:r>
          </w:p>
        </w:tc>
        <w:tc>
          <w:tcPr>
            <w:tcW w:w="1134"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736 318</w:t>
            </w:r>
          </w:p>
        </w:tc>
        <w:tc>
          <w:tcPr>
            <w:tcW w:w="1134" w:type="dxa"/>
            <w:gridSpan w:val="3"/>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336 679</w:t>
            </w:r>
          </w:p>
        </w:tc>
        <w:tc>
          <w:tcPr>
            <w:tcW w:w="992"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81,7%</w:t>
            </w:r>
          </w:p>
        </w:tc>
        <w:tc>
          <w:tcPr>
            <w:tcW w:w="956" w:type="dxa"/>
            <w:gridSpan w:val="3"/>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45,7%</w:t>
            </w:r>
          </w:p>
        </w:tc>
      </w:tr>
      <w:tr w:rsidR="00407CCB" w:rsidRPr="00883EC9" w:rsidTr="009B2B41">
        <w:trPr>
          <w:gridAfter w:val="1"/>
          <w:wAfter w:w="103" w:type="dxa"/>
          <w:trHeight w:val="300"/>
        </w:trPr>
        <w:tc>
          <w:tcPr>
            <w:tcW w:w="4536" w:type="dxa"/>
            <w:gridSpan w:val="2"/>
            <w:tcBorders>
              <w:top w:val="nil"/>
              <w:left w:val="nil"/>
              <w:bottom w:val="nil"/>
              <w:right w:val="nil"/>
            </w:tcBorders>
            <w:shd w:val="clear" w:color="auto" w:fill="auto"/>
            <w:noWrap/>
            <w:vAlign w:val="bottom"/>
            <w:hideMark/>
          </w:tcPr>
          <w:p w:rsidR="00407CCB" w:rsidRPr="00883EC9" w:rsidRDefault="00407CCB" w:rsidP="00407CCB">
            <w:pPr>
              <w:rPr>
                <w:iCs/>
                <w:sz w:val="22"/>
                <w:szCs w:val="22"/>
              </w:rPr>
            </w:pPr>
            <w:r w:rsidRPr="00883EC9">
              <w:rPr>
                <w:iCs/>
                <w:sz w:val="22"/>
                <w:szCs w:val="22"/>
              </w:rPr>
              <w:t xml:space="preserve">          </w:t>
            </w:r>
            <w:proofErr w:type="spellStart"/>
            <w:r w:rsidRPr="00883EC9">
              <w:rPr>
                <w:iCs/>
                <w:sz w:val="22"/>
                <w:szCs w:val="22"/>
              </w:rPr>
              <w:t>Fenntart.és</w:t>
            </w:r>
            <w:proofErr w:type="spellEnd"/>
            <w:r w:rsidRPr="00883EC9">
              <w:rPr>
                <w:iCs/>
                <w:sz w:val="22"/>
                <w:szCs w:val="22"/>
              </w:rPr>
              <w:t xml:space="preserve"> Építési Üzem által végzett</w:t>
            </w:r>
          </w:p>
        </w:tc>
        <w:tc>
          <w:tcPr>
            <w:tcW w:w="993"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95 261</w:t>
            </w:r>
          </w:p>
        </w:tc>
        <w:tc>
          <w:tcPr>
            <w:tcW w:w="1134"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160 000</w:t>
            </w:r>
          </w:p>
        </w:tc>
        <w:tc>
          <w:tcPr>
            <w:tcW w:w="1134" w:type="dxa"/>
            <w:gridSpan w:val="3"/>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75 982</w:t>
            </w:r>
          </w:p>
        </w:tc>
        <w:tc>
          <w:tcPr>
            <w:tcW w:w="992"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79,8%</w:t>
            </w:r>
          </w:p>
        </w:tc>
        <w:tc>
          <w:tcPr>
            <w:tcW w:w="956" w:type="dxa"/>
            <w:gridSpan w:val="3"/>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47,5%</w:t>
            </w:r>
          </w:p>
        </w:tc>
      </w:tr>
      <w:tr w:rsidR="00407CCB" w:rsidRPr="00883EC9" w:rsidTr="009B2B41">
        <w:trPr>
          <w:gridAfter w:val="1"/>
          <w:wAfter w:w="103" w:type="dxa"/>
          <w:trHeight w:val="300"/>
        </w:trPr>
        <w:tc>
          <w:tcPr>
            <w:tcW w:w="4536" w:type="dxa"/>
            <w:gridSpan w:val="2"/>
            <w:tcBorders>
              <w:top w:val="nil"/>
              <w:left w:val="nil"/>
              <w:bottom w:val="nil"/>
              <w:right w:val="nil"/>
            </w:tcBorders>
            <w:shd w:val="clear" w:color="auto" w:fill="auto"/>
            <w:noWrap/>
            <w:vAlign w:val="bottom"/>
            <w:hideMark/>
          </w:tcPr>
          <w:p w:rsidR="00407CCB" w:rsidRPr="00883EC9" w:rsidRDefault="00407CCB" w:rsidP="00407CCB">
            <w:pPr>
              <w:rPr>
                <w:iCs/>
                <w:sz w:val="22"/>
                <w:szCs w:val="22"/>
              </w:rPr>
            </w:pPr>
            <w:r w:rsidRPr="00883EC9">
              <w:rPr>
                <w:iCs/>
                <w:sz w:val="22"/>
                <w:szCs w:val="22"/>
              </w:rPr>
              <w:t xml:space="preserve">          Uszoda és Termálfürdő által végzett</w:t>
            </w:r>
          </w:p>
        </w:tc>
        <w:tc>
          <w:tcPr>
            <w:tcW w:w="993"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3 887</w:t>
            </w:r>
          </w:p>
        </w:tc>
        <w:tc>
          <w:tcPr>
            <w:tcW w:w="1134"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15 000</w:t>
            </w:r>
          </w:p>
        </w:tc>
        <w:tc>
          <w:tcPr>
            <w:tcW w:w="1134" w:type="dxa"/>
            <w:gridSpan w:val="3"/>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4 068</w:t>
            </w:r>
          </w:p>
        </w:tc>
        <w:tc>
          <w:tcPr>
            <w:tcW w:w="992"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104,7%</w:t>
            </w:r>
          </w:p>
        </w:tc>
        <w:tc>
          <w:tcPr>
            <w:tcW w:w="956" w:type="dxa"/>
            <w:gridSpan w:val="3"/>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27,1%</w:t>
            </w:r>
          </w:p>
        </w:tc>
      </w:tr>
      <w:tr w:rsidR="00407CCB" w:rsidRPr="00883EC9" w:rsidTr="009B2B41">
        <w:trPr>
          <w:gridAfter w:val="1"/>
          <w:wAfter w:w="103" w:type="dxa"/>
          <w:trHeight w:val="300"/>
        </w:trPr>
        <w:tc>
          <w:tcPr>
            <w:tcW w:w="4536" w:type="dxa"/>
            <w:gridSpan w:val="2"/>
            <w:tcBorders>
              <w:top w:val="nil"/>
              <w:left w:val="nil"/>
              <w:bottom w:val="nil"/>
              <w:right w:val="nil"/>
            </w:tcBorders>
            <w:shd w:val="clear" w:color="auto" w:fill="auto"/>
            <w:noWrap/>
            <w:vAlign w:val="bottom"/>
            <w:hideMark/>
          </w:tcPr>
          <w:p w:rsidR="00407CCB" w:rsidRPr="00883EC9" w:rsidRDefault="00407CCB" w:rsidP="00407CCB">
            <w:pPr>
              <w:rPr>
                <w:iCs/>
                <w:sz w:val="22"/>
                <w:szCs w:val="22"/>
              </w:rPr>
            </w:pPr>
            <w:r w:rsidRPr="00883EC9">
              <w:rPr>
                <w:iCs/>
                <w:sz w:val="22"/>
                <w:szCs w:val="22"/>
              </w:rPr>
              <w:t xml:space="preserve">          Logisztika által végzett járműjavítások</w:t>
            </w:r>
          </w:p>
        </w:tc>
        <w:tc>
          <w:tcPr>
            <w:tcW w:w="993"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12 794</w:t>
            </w:r>
          </w:p>
        </w:tc>
        <w:tc>
          <w:tcPr>
            <w:tcW w:w="1134"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22 000</w:t>
            </w:r>
          </w:p>
        </w:tc>
        <w:tc>
          <w:tcPr>
            <w:tcW w:w="1134" w:type="dxa"/>
            <w:gridSpan w:val="3"/>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8 577</w:t>
            </w:r>
          </w:p>
        </w:tc>
        <w:tc>
          <w:tcPr>
            <w:tcW w:w="992"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67,0%</w:t>
            </w:r>
          </w:p>
        </w:tc>
        <w:tc>
          <w:tcPr>
            <w:tcW w:w="956" w:type="dxa"/>
            <w:gridSpan w:val="3"/>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39,0%</w:t>
            </w:r>
          </w:p>
        </w:tc>
      </w:tr>
      <w:tr w:rsidR="00407CCB" w:rsidRPr="00883EC9" w:rsidTr="009B2B41">
        <w:trPr>
          <w:gridAfter w:val="1"/>
          <w:wAfter w:w="103" w:type="dxa"/>
          <w:trHeight w:val="300"/>
        </w:trPr>
        <w:tc>
          <w:tcPr>
            <w:tcW w:w="4536" w:type="dxa"/>
            <w:gridSpan w:val="2"/>
            <w:tcBorders>
              <w:top w:val="nil"/>
              <w:left w:val="nil"/>
              <w:bottom w:val="nil"/>
              <w:right w:val="nil"/>
            </w:tcBorders>
            <w:shd w:val="clear" w:color="auto" w:fill="auto"/>
            <w:noWrap/>
            <w:vAlign w:val="bottom"/>
            <w:hideMark/>
          </w:tcPr>
          <w:p w:rsidR="00407CCB" w:rsidRPr="00883EC9" w:rsidRDefault="00407CCB" w:rsidP="00407CCB">
            <w:pPr>
              <w:rPr>
                <w:iCs/>
                <w:sz w:val="22"/>
                <w:szCs w:val="22"/>
              </w:rPr>
            </w:pPr>
            <w:r w:rsidRPr="00883EC9">
              <w:rPr>
                <w:iCs/>
                <w:sz w:val="22"/>
                <w:szCs w:val="22"/>
              </w:rPr>
              <w:t xml:space="preserve">          Közérdekű üzemeltetés</w:t>
            </w:r>
          </w:p>
        </w:tc>
        <w:tc>
          <w:tcPr>
            <w:tcW w:w="993"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p>
        </w:tc>
        <w:tc>
          <w:tcPr>
            <w:tcW w:w="1134"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15 000</w:t>
            </w:r>
          </w:p>
        </w:tc>
        <w:tc>
          <w:tcPr>
            <w:tcW w:w="1134" w:type="dxa"/>
            <w:gridSpan w:val="3"/>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2 852</w:t>
            </w:r>
          </w:p>
        </w:tc>
        <w:tc>
          <w:tcPr>
            <w:tcW w:w="992"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 xml:space="preserve"> </w:t>
            </w:r>
          </w:p>
        </w:tc>
        <w:tc>
          <w:tcPr>
            <w:tcW w:w="956" w:type="dxa"/>
            <w:gridSpan w:val="3"/>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19,0%</w:t>
            </w:r>
          </w:p>
        </w:tc>
      </w:tr>
      <w:tr w:rsidR="00407CCB" w:rsidRPr="00883EC9" w:rsidTr="009B2B41">
        <w:trPr>
          <w:gridAfter w:val="1"/>
          <w:wAfter w:w="103" w:type="dxa"/>
          <w:trHeight w:val="300"/>
        </w:trPr>
        <w:tc>
          <w:tcPr>
            <w:tcW w:w="4536" w:type="dxa"/>
            <w:gridSpan w:val="2"/>
            <w:tcBorders>
              <w:top w:val="nil"/>
              <w:left w:val="nil"/>
              <w:bottom w:val="nil"/>
              <w:right w:val="nil"/>
            </w:tcBorders>
            <w:shd w:val="clear" w:color="auto" w:fill="auto"/>
            <w:noWrap/>
            <w:vAlign w:val="bottom"/>
            <w:hideMark/>
          </w:tcPr>
          <w:p w:rsidR="00407CCB" w:rsidRPr="00883EC9" w:rsidRDefault="00407CCB" w:rsidP="00407CCB">
            <w:pPr>
              <w:rPr>
                <w:i/>
                <w:iCs/>
                <w:sz w:val="22"/>
                <w:szCs w:val="22"/>
              </w:rPr>
            </w:pPr>
            <w:r w:rsidRPr="00883EC9">
              <w:rPr>
                <w:i/>
                <w:iCs/>
                <w:sz w:val="22"/>
                <w:szCs w:val="22"/>
              </w:rPr>
              <w:t>Megbízásba adott eszközfenntartás</w:t>
            </w:r>
          </w:p>
        </w:tc>
        <w:tc>
          <w:tcPr>
            <w:tcW w:w="993"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
                <w:iCs/>
                <w:sz w:val="22"/>
                <w:szCs w:val="22"/>
              </w:rPr>
            </w:pPr>
            <w:r w:rsidRPr="00883EC9">
              <w:rPr>
                <w:i/>
                <w:iCs/>
                <w:sz w:val="22"/>
                <w:szCs w:val="22"/>
              </w:rPr>
              <w:t>45 797</w:t>
            </w:r>
          </w:p>
        </w:tc>
        <w:tc>
          <w:tcPr>
            <w:tcW w:w="1134"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
                <w:iCs/>
                <w:sz w:val="22"/>
                <w:szCs w:val="22"/>
              </w:rPr>
            </w:pPr>
            <w:r w:rsidRPr="00883EC9">
              <w:rPr>
                <w:i/>
                <w:iCs/>
                <w:sz w:val="22"/>
                <w:szCs w:val="22"/>
              </w:rPr>
              <w:t>155 000</w:t>
            </w:r>
          </w:p>
        </w:tc>
        <w:tc>
          <w:tcPr>
            <w:tcW w:w="1134" w:type="dxa"/>
            <w:gridSpan w:val="3"/>
            <w:tcBorders>
              <w:top w:val="nil"/>
              <w:left w:val="nil"/>
              <w:bottom w:val="nil"/>
              <w:right w:val="nil"/>
            </w:tcBorders>
            <w:shd w:val="clear" w:color="auto" w:fill="auto"/>
            <w:noWrap/>
            <w:vAlign w:val="bottom"/>
            <w:hideMark/>
          </w:tcPr>
          <w:p w:rsidR="00407CCB" w:rsidRPr="00883EC9" w:rsidRDefault="00407CCB" w:rsidP="00407CCB">
            <w:pPr>
              <w:jc w:val="right"/>
              <w:rPr>
                <w:i/>
                <w:iCs/>
                <w:sz w:val="22"/>
                <w:szCs w:val="22"/>
              </w:rPr>
            </w:pPr>
            <w:r w:rsidRPr="00883EC9">
              <w:rPr>
                <w:i/>
                <w:iCs/>
                <w:sz w:val="22"/>
                <w:szCs w:val="22"/>
              </w:rPr>
              <w:t>51 673</w:t>
            </w:r>
          </w:p>
        </w:tc>
        <w:tc>
          <w:tcPr>
            <w:tcW w:w="992"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
                <w:iCs/>
                <w:sz w:val="22"/>
                <w:szCs w:val="22"/>
              </w:rPr>
            </w:pPr>
            <w:r w:rsidRPr="00883EC9">
              <w:rPr>
                <w:i/>
                <w:iCs/>
                <w:sz w:val="22"/>
                <w:szCs w:val="22"/>
              </w:rPr>
              <w:t>112,8%</w:t>
            </w:r>
          </w:p>
        </w:tc>
        <w:tc>
          <w:tcPr>
            <w:tcW w:w="956" w:type="dxa"/>
            <w:gridSpan w:val="3"/>
            <w:tcBorders>
              <w:top w:val="nil"/>
              <w:left w:val="nil"/>
              <w:bottom w:val="nil"/>
              <w:right w:val="nil"/>
            </w:tcBorders>
            <w:shd w:val="clear" w:color="auto" w:fill="auto"/>
            <w:noWrap/>
            <w:vAlign w:val="bottom"/>
            <w:hideMark/>
          </w:tcPr>
          <w:p w:rsidR="00407CCB" w:rsidRPr="00883EC9" w:rsidRDefault="00407CCB" w:rsidP="00407CCB">
            <w:pPr>
              <w:jc w:val="right"/>
              <w:rPr>
                <w:i/>
                <w:iCs/>
                <w:sz w:val="22"/>
                <w:szCs w:val="22"/>
              </w:rPr>
            </w:pPr>
            <w:r w:rsidRPr="00883EC9">
              <w:rPr>
                <w:i/>
                <w:iCs/>
                <w:sz w:val="22"/>
                <w:szCs w:val="22"/>
              </w:rPr>
              <w:t>33,3%</w:t>
            </w:r>
          </w:p>
        </w:tc>
      </w:tr>
      <w:tr w:rsidR="00407CCB" w:rsidRPr="00883EC9" w:rsidTr="009B2B41">
        <w:trPr>
          <w:gridAfter w:val="1"/>
          <w:wAfter w:w="103" w:type="dxa"/>
          <w:trHeight w:val="300"/>
        </w:trPr>
        <w:tc>
          <w:tcPr>
            <w:tcW w:w="4536" w:type="dxa"/>
            <w:gridSpan w:val="2"/>
            <w:tcBorders>
              <w:top w:val="nil"/>
              <w:left w:val="nil"/>
              <w:bottom w:val="nil"/>
              <w:right w:val="nil"/>
            </w:tcBorders>
            <w:shd w:val="clear" w:color="auto" w:fill="auto"/>
            <w:noWrap/>
            <w:vAlign w:val="bottom"/>
            <w:hideMark/>
          </w:tcPr>
          <w:p w:rsidR="00407CCB" w:rsidRPr="00883EC9" w:rsidRDefault="00407CCB" w:rsidP="00407CCB">
            <w:pPr>
              <w:rPr>
                <w:iCs/>
                <w:sz w:val="22"/>
                <w:szCs w:val="22"/>
              </w:rPr>
            </w:pPr>
            <w:r w:rsidRPr="00883EC9">
              <w:rPr>
                <w:iCs/>
                <w:sz w:val="22"/>
                <w:szCs w:val="22"/>
              </w:rPr>
              <w:t>ebből: Fenntartási és Építési Üzem megrendelése</w:t>
            </w:r>
          </w:p>
        </w:tc>
        <w:tc>
          <w:tcPr>
            <w:tcW w:w="993"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5 181</w:t>
            </w:r>
          </w:p>
        </w:tc>
        <w:tc>
          <w:tcPr>
            <w:tcW w:w="1134"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10 000</w:t>
            </w:r>
          </w:p>
        </w:tc>
        <w:tc>
          <w:tcPr>
            <w:tcW w:w="1134" w:type="dxa"/>
            <w:gridSpan w:val="3"/>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604</w:t>
            </w:r>
          </w:p>
        </w:tc>
        <w:tc>
          <w:tcPr>
            <w:tcW w:w="992"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11,7%</w:t>
            </w:r>
          </w:p>
        </w:tc>
        <w:tc>
          <w:tcPr>
            <w:tcW w:w="956" w:type="dxa"/>
            <w:gridSpan w:val="3"/>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6,0%</w:t>
            </w:r>
          </w:p>
        </w:tc>
      </w:tr>
      <w:tr w:rsidR="00407CCB" w:rsidRPr="00883EC9" w:rsidTr="009B2B41">
        <w:trPr>
          <w:gridAfter w:val="1"/>
          <w:wAfter w:w="103" w:type="dxa"/>
          <w:trHeight w:val="300"/>
        </w:trPr>
        <w:tc>
          <w:tcPr>
            <w:tcW w:w="4536" w:type="dxa"/>
            <w:gridSpan w:val="2"/>
            <w:tcBorders>
              <w:top w:val="nil"/>
              <w:left w:val="nil"/>
              <w:bottom w:val="nil"/>
              <w:right w:val="nil"/>
            </w:tcBorders>
            <w:shd w:val="clear" w:color="auto" w:fill="auto"/>
            <w:noWrap/>
            <w:vAlign w:val="bottom"/>
            <w:hideMark/>
          </w:tcPr>
          <w:p w:rsidR="00407CCB" w:rsidRPr="00883EC9" w:rsidRDefault="00407CCB" w:rsidP="00407CCB">
            <w:pPr>
              <w:rPr>
                <w:iCs/>
                <w:sz w:val="22"/>
                <w:szCs w:val="22"/>
              </w:rPr>
            </w:pPr>
            <w:r w:rsidRPr="00883EC9">
              <w:rPr>
                <w:iCs/>
                <w:sz w:val="22"/>
                <w:szCs w:val="22"/>
              </w:rPr>
              <w:t xml:space="preserve">          Uszoda és Termálfürdő területén</w:t>
            </w:r>
          </w:p>
        </w:tc>
        <w:tc>
          <w:tcPr>
            <w:tcW w:w="993"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426</w:t>
            </w:r>
          </w:p>
        </w:tc>
        <w:tc>
          <w:tcPr>
            <w:tcW w:w="1134"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5 000</w:t>
            </w:r>
          </w:p>
        </w:tc>
        <w:tc>
          <w:tcPr>
            <w:tcW w:w="1134" w:type="dxa"/>
            <w:gridSpan w:val="3"/>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730</w:t>
            </w:r>
          </w:p>
        </w:tc>
        <w:tc>
          <w:tcPr>
            <w:tcW w:w="992"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171,4%</w:t>
            </w:r>
          </w:p>
        </w:tc>
        <w:tc>
          <w:tcPr>
            <w:tcW w:w="956" w:type="dxa"/>
            <w:gridSpan w:val="3"/>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14,6%</w:t>
            </w:r>
          </w:p>
        </w:tc>
      </w:tr>
      <w:tr w:rsidR="00407CCB" w:rsidRPr="00883EC9" w:rsidTr="009B2B41">
        <w:trPr>
          <w:gridAfter w:val="1"/>
          <w:wAfter w:w="103" w:type="dxa"/>
          <w:trHeight w:val="300"/>
        </w:trPr>
        <w:tc>
          <w:tcPr>
            <w:tcW w:w="4536" w:type="dxa"/>
            <w:gridSpan w:val="2"/>
            <w:tcBorders>
              <w:top w:val="nil"/>
              <w:left w:val="nil"/>
              <w:bottom w:val="nil"/>
              <w:right w:val="nil"/>
            </w:tcBorders>
            <w:shd w:val="clear" w:color="auto" w:fill="auto"/>
            <w:noWrap/>
            <w:vAlign w:val="bottom"/>
            <w:hideMark/>
          </w:tcPr>
          <w:p w:rsidR="00407CCB" w:rsidRPr="00883EC9" w:rsidRDefault="00407CCB" w:rsidP="00407CCB">
            <w:pPr>
              <w:rPr>
                <w:iCs/>
                <w:sz w:val="22"/>
                <w:szCs w:val="22"/>
              </w:rPr>
            </w:pPr>
            <w:r w:rsidRPr="00883EC9">
              <w:rPr>
                <w:iCs/>
                <w:sz w:val="22"/>
                <w:szCs w:val="22"/>
              </w:rPr>
              <w:t xml:space="preserve">          Gépjárművek, munkagépek</w:t>
            </w:r>
          </w:p>
        </w:tc>
        <w:tc>
          <w:tcPr>
            <w:tcW w:w="993"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17 876</w:t>
            </w:r>
          </w:p>
        </w:tc>
        <w:tc>
          <w:tcPr>
            <w:tcW w:w="1134"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40 000</w:t>
            </w:r>
          </w:p>
        </w:tc>
        <w:tc>
          <w:tcPr>
            <w:tcW w:w="1134" w:type="dxa"/>
            <w:gridSpan w:val="3"/>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17 437</w:t>
            </w:r>
          </w:p>
        </w:tc>
        <w:tc>
          <w:tcPr>
            <w:tcW w:w="992"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97,5%</w:t>
            </w:r>
          </w:p>
        </w:tc>
        <w:tc>
          <w:tcPr>
            <w:tcW w:w="956" w:type="dxa"/>
            <w:gridSpan w:val="3"/>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43,6%</w:t>
            </w:r>
          </w:p>
        </w:tc>
      </w:tr>
      <w:tr w:rsidR="00407CCB" w:rsidRPr="00883EC9" w:rsidTr="009B2B41">
        <w:trPr>
          <w:gridAfter w:val="1"/>
          <w:wAfter w:w="103" w:type="dxa"/>
          <w:trHeight w:val="300"/>
        </w:trPr>
        <w:tc>
          <w:tcPr>
            <w:tcW w:w="4536" w:type="dxa"/>
            <w:gridSpan w:val="2"/>
            <w:tcBorders>
              <w:top w:val="nil"/>
              <w:left w:val="nil"/>
              <w:bottom w:val="nil"/>
              <w:right w:val="nil"/>
            </w:tcBorders>
            <w:shd w:val="clear" w:color="auto" w:fill="auto"/>
            <w:noWrap/>
            <w:vAlign w:val="bottom"/>
            <w:hideMark/>
          </w:tcPr>
          <w:p w:rsidR="00407CCB" w:rsidRPr="00883EC9" w:rsidRDefault="00407CCB" w:rsidP="00407CCB">
            <w:pPr>
              <w:rPr>
                <w:iCs/>
                <w:sz w:val="22"/>
                <w:szCs w:val="22"/>
              </w:rPr>
            </w:pPr>
            <w:r w:rsidRPr="00883EC9">
              <w:rPr>
                <w:iCs/>
                <w:sz w:val="22"/>
                <w:szCs w:val="22"/>
              </w:rPr>
              <w:t xml:space="preserve">          Informatika, labor, raktár</w:t>
            </w:r>
          </w:p>
        </w:tc>
        <w:tc>
          <w:tcPr>
            <w:tcW w:w="993"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2 398</w:t>
            </w:r>
          </w:p>
        </w:tc>
        <w:tc>
          <w:tcPr>
            <w:tcW w:w="1134"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11 000</w:t>
            </w:r>
          </w:p>
        </w:tc>
        <w:tc>
          <w:tcPr>
            <w:tcW w:w="1134" w:type="dxa"/>
            <w:gridSpan w:val="3"/>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2 048</w:t>
            </w:r>
          </w:p>
        </w:tc>
        <w:tc>
          <w:tcPr>
            <w:tcW w:w="992"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85,4%</w:t>
            </w:r>
          </w:p>
        </w:tc>
        <w:tc>
          <w:tcPr>
            <w:tcW w:w="956" w:type="dxa"/>
            <w:gridSpan w:val="3"/>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18,6%</w:t>
            </w:r>
          </w:p>
        </w:tc>
      </w:tr>
      <w:tr w:rsidR="00407CCB" w:rsidRPr="00883EC9" w:rsidTr="009B2B41">
        <w:trPr>
          <w:gridAfter w:val="1"/>
          <w:wAfter w:w="103" w:type="dxa"/>
          <w:trHeight w:val="300"/>
        </w:trPr>
        <w:tc>
          <w:tcPr>
            <w:tcW w:w="4536" w:type="dxa"/>
            <w:gridSpan w:val="2"/>
            <w:tcBorders>
              <w:top w:val="nil"/>
              <w:left w:val="nil"/>
              <w:bottom w:val="nil"/>
              <w:right w:val="nil"/>
            </w:tcBorders>
            <w:shd w:val="clear" w:color="auto" w:fill="auto"/>
            <w:noWrap/>
            <w:vAlign w:val="bottom"/>
            <w:hideMark/>
          </w:tcPr>
          <w:p w:rsidR="00407CCB" w:rsidRPr="00883EC9" w:rsidRDefault="00407CCB" w:rsidP="00407CCB">
            <w:pPr>
              <w:rPr>
                <w:iCs/>
                <w:sz w:val="22"/>
                <w:szCs w:val="22"/>
              </w:rPr>
            </w:pPr>
            <w:r w:rsidRPr="00883EC9">
              <w:rPr>
                <w:iCs/>
                <w:sz w:val="22"/>
                <w:szCs w:val="22"/>
              </w:rPr>
              <w:t xml:space="preserve">          Közmű műtárgyak</w:t>
            </w:r>
          </w:p>
        </w:tc>
        <w:tc>
          <w:tcPr>
            <w:tcW w:w="993"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19 916</w:t>
            </w:r>
          </w:p>
        </w:tc>
        <w:tc>
          <w:tcPr>
            <w:tcW w:w="1134"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82 000</w:t>
            </w:r>
          </w:p>
        </w:tc>
        <w:tc>
          <w:tcPr>
            <w:tcW w:w="1134" w:type="dxa"/>
            <w:gridSpan w:val="3"/>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30 764</w:t>
            </w:r>
          </w:p>
        </w:tc>
        <w:tc>
          <w:tcPr>
            <w:tcW w:w="992" w:type="dxa"/>
            <w:gridSpan w:val="2"/>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154,5%</w:t>
            </w:r>
          </w:p>
        </w:tc>
        <w:tc>
          <w:tcPr>
            <w:tcW w:w="956" w:type="dxa"/>
            <w:gridSpan w:val="3"/>
            <w:tcBorders>
              <w:top w:val="nil"/>
              <w:left w:val="nil"/>
              <w:bottom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37,5%</w:t>
            </w:r>
          </w:p>
        </w:tc>
      </w:tr>
      <w:tr w:rsidR="00407CCB" w:rsidRPr="00883EC9" w:rsidTr="009B2B41">
        <w:trPr>
          <w:gridAfter w:val="1"/>
          <w:wAfter w:w="103" w:type="dxa"/>
          <w:trHeight w:val="300"/>
        </w:trPr>
        <w:tc>
          <w:tcPr>
            <w:tcW w:w="4536" w:type="dxa"/>
            <w:gridSpan w:val="2"/>
            <w:tcBorders>
              <w:top w:val="nil"/>
              <w:left w:val="nil"/>
              <w:right w:val="nil"/>
            </w:tcBorders>
            <w:shd w:val="clear" w:color="auto" w:fill="auto"/>
            <w:noWrap/>
            <w:vAlign w:val="bottom"/>
            <w:hideMark/>
          </w:tcPr>
          <w:p w:rsidR="00407CCB" w:rsidRPr="00883EC9" w:rsidRDefault="00407CCB" w:rsidP="00407CCB">
            <w:pPr>
              <w:rPr>
                <w:iCs/>
                <w:sz w:val="22"/>
                <w:szCs w:val="22"/>
              </w:rPr>
            </w:pPr>
            <w:r w:rsidRPr="00883EC9">
              <w:rPr>
                <w:iCs/>
                <w:sz w:val="22"/>
                <w:szCs w:val="22"/>
              </w:rPr>
              <w:t xml:space="preserve">          </w:t>
            </w:r>
            <w:proofErr w:type="spellStart"/>
            <w:r w:rsidRPr="00883EC9">
              <w:rPr>
                <w:iCs/>
                <w:sz w:val="22"/>
                <w:szCs w:val="22"/>
              </w:rPr>
              <w:t>Havaria</w:t>
            </w:r>
            <w:proofErr w:type="spellEnd"/>
            <w:r w:rsidRPr="00883EC9">
              <w:rPr>
                <w:iCs/>
                <w:sz w:val="22"/>
                <w:szCs w:val="22"/>
              </w:rPr>
              <w:t xml:space="preserve"> tartalék</w:t>
            </w:r>
          </w:p>
        </w:tc>
        <w:tc>
          <w:tcPr>
            <w:tcW w:w="993" w:type="dxa"/>
            <w:gridSpan w:val="2"/>
            <w:tcBorders>
              <w:top w:val="nil"/>
              <w:left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0</w:t>
            </w:r>
          </w:p>
        </w:tc>
        <w:tc>
          <w:tcPr>
            <w:tcW w:w="1134" w:type="dxa"/>
            <w:gridSpan w:val="2"/>
            <w:tcBorders>
              <w:top w:val="nil"/>
              <w:left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4 000</w:t>
            </w:r>
          </w:p>
        </w:tc>
        <w:tc>
          <w:tcPr>
            <w:tcW w:w="1134" w:type="dxa"/>
            <w:gridSpan w:val="3"/>
            <w:tcBorders>
              <w:top w:val="nil"/>
              <w:left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0</w:t>
            </w:r>
          </w:p>
        </w:tc>
        <w:tc>
          <w:tcPr>
            <w:tcW w:w="992" w:type="dxa"/>
            <w:gridSpan w:val="2"/>
            <w:tcBorders>
              <w:top w:val="nil"/>
              <w:left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 xml:space="preserve"> </w:t>
            </w:r>
          </w:p>
        </w:tc>
        <w:tc>
          <w:tcPr>
            <w:tcW w:w="956" w:type="dxa"/>
            <w:gridSpan w:val="3"/>
            <w:tcBorders>
              <w:top w:val="nil"/>
              <w:left w:val="nil"/>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0,0%</w:t>
            </w:r>
          </w:p>
        </w:tc>
      </w:tr>
      <w:tr w:rsidR="00407CCB" w:rsidRPr="00883EC9" w:rsidTr="009B2B41">
        <w:trPr>
          <w:gridAfter w:val="1"/>
          <w:wAfter w:w="103" w:type="dxa"/>
          <w:trHeight w:val="300"/>
        </w:trPr>
        <w:tc>
          <w:tcPr>
            <w:tcW w:w="4536" w:type="dxa"/>
            <w:gridSpan w:val="2"/>
            <w:tcBorders>
              <w:top w:val="nil"/>
              <w:left w:val="nil"/>
              <w:bottom w:val="single" w:sz="4" w:space="0" w:color="auto"/>
              <w:right w:val="nil"/>
            </w:tcBorders>
            <w:shd w:val="clear" w:color="auto" w:fill="auto"/>
            <w:noWrap/>
            <w:vAlign w:val="bottom"/>
            <w:hideMark/>
          </w:tcPr>
          <w:p w:rsidR="00407CCB" w:rsidRPr="00883EC9" w:rsidRDefault="00407CCB" w:rsidP="00407CCB">
            <w:pPr>
              <w:rPr>
                <w:iCs/>
                <w:sz w:val="22"/>
                <w:szCs w:val="22"/>
              </w:rPr>
            </w:pPr>
            <w:r w:rsidRPr="00883EC9">
              <w:rPr>
                <w:iCs/>
                <w:sz w:val="22"/>
                <w:szCs w:val="22"/>
              </w:rPr>
              <w:t xml:space="preserve">          Közérdekű üzemeltetés</w:t>
            </w:r>
          </w:p>
        </w:tc>
        <w:tc>
          <w:tcPr>
            <w:tcW w:w="993" w:type="dxa"/>
            <w:gridSpan w:val="2"/>
            <w:tcBorders>
              <w:top w:val="nil"/>
              <w:left w:val="nil"/>
              <w:bottom w:val="single" w:sz="4" w:space="0" w:color="auto"/>
              <w:right w:val="nil"/>
            </w:tcBorders>
            <w:shd w:val="clear" w:color="auto" w:fill="auto"/>
            <w:noWrap/>
            <w:vAlign w:val="bottom"/>
            <w:hideMark/>
          </w:tcPr>
          <w:p w:rsidR="00407CCB" w:rsidRPr="00883EC9" w:rsidRDefault="00407CCB" w:rsidP="00407CCB">
            <w:pPr>
              <w:jc w:val="right"/>
              <w:rPr>
                <w:iCs/>
                <w:sz w:val="22"/>
                <w:szCs w:val="22"/>
              </w:rPr>
            </w:pPr>
          </w:p>
        </w:tc>
        <w:tc>
          <w:tcPr>
            <w:tcW w:w="1134" w:type="dxa"/>
            <w:gridSpan w:val="2"/>
            <w:tcBorders>
              <w:top w:val="nil"/>
              <w:left w:val="nil"/>
              <w:bottom w:val="single" w:sz="4" w:space="0" w:color="auto"/>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3 000</w:t>
            </w:r>
          </w:p>
        </w:tc>
        <w:tc>
          <w:tcPr>
            <w:tcW w:w="1134" w:type="dxa"/>
            <w:gridSpan w:val="3"/>
            <w:tcBorders>
              <w:top w:val="nil"/>
              <w:left w:val="nil"/>
              <w:bottom w:val="single" w:sz="4" w:space="0" w:color="auto"/>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90</w:t>
            </w:r>
          </w:p>
        </w:tc>
        <w:tc>
          <w:tcPr>
            <w:tcW w:w="992" w:type="dxa"/>
            <w:gridSpan w:val="2"/>
            <w:tcBorders>
              <w:top w:val="nil"/>
              <w:left w:val="nil"/>
              <w:bottom w:val="single" w:sz="4" w:space="0" w:color="auto"/>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 xml:space="preserve"> </w:t>
            </w:r>
          </w:p>
        </w:tc>
        <w:tc>
          <w:tcPr>
            <w:tcW w:w="956" w:type="dxa"/>
            <w:gridSpan w:val="3"/>
            <w:tcBorders>
              <w:top w:val="nil"/>
              <w:left w:val="nil"/>
              <w:bottom w:val="single" w:sz="4" w:space="0" w:color="auto"/>
              <w:right w:val="nil"/>
            </w:tcBorders>
            <w:shd w:val="clear" w:color="auto" w:fill="auto"/>
            <w:noWrap/>
            <w:vAlign w:val="bottom"/>
            <w:hideMark/>
          </w:tcPr>
          <w:p w:rsidR="00407CCB" w:rsidRPr="00883EC9" w:rsidRDefault="00407CCB" w:rsidP="00407CCB">
            <w:pPr>
              <w:jc w:val="right"/>
              <w:rPr>
                <w:iCs/>
                <w:sz w:val="22"/>
                <w:szCs w:val="22"/>
              </w:rPr>
            </w:pPr>
            <w:r w:rsidRPr="00883EC9">
              <w:rPr>
                <w:iCs/>
                <w:sz w:val="22"/>
                <w:szCs w:val="22"/>
              </w:rPr>
              <w:t>3,0%</w:t>
            </w:r>
          </w:p>
        </w:tc>
      </w:tr>
      <w:tr w:rsidR="00407CCB" w:rsidRPr="00883EC9" w:rsidTr="009B2B41">
        <w:trPr>
          <w:gridAfter w:val="1"/>
          <w:wAfter w:w="103" w:type="dxa"/>
          <w:trHeight w:val="300"/>
        </w:trPr>
        <w:tc>
          <w:tcPr>
            <w:tcW w:w="4536" w:type="dxa"/>
            <w:gridSpan w:val="2"/>
            <w:tcBorders>
              <w:top w:val="single" w:sz="4" w:space="0" w:color="auto"/>
              <w:left w:val="nil"/>
              <w:bottom w:val="nil"/>
              <w:right w:val="nil"/>
            </w:tcBorders>
            <w:shd w:val="clear" w:color="auto" w:fill="auto"/>
            <w:noWrap/>
            <w:vAlign w:val="bottom"/>
            <w:hideMark/>
          </w:tcPr>
          <w:p w:rsidR="00407CCB" w:rsidRPr="00883EC9" w:rsidRDefault="00407CCB" w:rsidP="00407CCB">
            <w:pPr>
              <w:rPr>
                <w:i/>
                <w:iCs/>
                <w:sz w:val="22"/>
                <w:szCs w:val="22"/>
              </w:rPr>
            </w:pPr>
            <w:r w:rsidRPr="00883EC9">
              <w:rPr>
                <w:i/>
                <w:iCs/>
                <w:sz w:val="22"/>
                <w:szCs w:val="22"/>
              </w:rPr>
              <w:t>Eszközfenntartás összesen</w:t>
            </w:r>
          </w:p>
        </w:tc>
        <w:tc>
          <w:tcPr>
            <w:tcW w:w="993" w:type="dxa"/>
            <w:gridSpan w:val="2"/>
            <w:tcBorders>
              <w:top w:val="single" w:sz="4" w:space="0" w:color="auto"/>
              <w:left w:val="nil"/>
              <w:bottom w:val="nil"/>
              <w:right w:val="nil"/>
            </w:tcBorders>
            <w:shd w:val="clear" w:color="auto" w:fill="auto"/>
            <w:noWrap/>
            <w:vAlign w:val="bottom"/>
            <w:hideMark/>
          </w:tcPr>
          <w:p w:rsidR="00407CCB" w:rsidRPr="00883EC9" w:rsidRDefault="00407CCB" w:rsidP="00407CCB">
            <w:pPr>
              <w:jc w:val="right"/>
              <w:rPr>
                <w:i/>
                <w:iCs/>
                <w:sz w:val="22"/>
                <w:szCs w:val="22"/>
              </w:rPr>
            </w:pPr>
            <w:r w:rsidRPr="00883EC9">
              <w:rPr>
                <w:i/>
                <w:iCs/>
                <w:sz w:val="22"/>
                <w:szCs w:val="22"/>
              </w:rPr>
              <w:t>569 612</w:t>
            </w:r>
          </w:p>
        </w:tc>
        <w:tc>
          <w:tcPr>
            <w:tcW w:w="1134" w:type="dxa"/>
            <w:gridSpan w:val="2"/>
            <w:tcBorders>
              <w:top w:val="single" w:sz="4" w:space="0" w:color="auto"/>
              <w:left w:val="nil"/>
              <w:bottom w:val="nil"/>
              <w:right w:val="nil"/>
            </w:tcBorders>
            <w:shd w:val="clear" w:color="auto" w:fill="auto"/>
            <w:noWrap/>
            <w:vAlign w:val="bottom"/>
            <w:hideMark/>
          </w:tcPr>
          <w:p w:rsidR="00407CCB" w:rsidRPr="00883EC9" w:rsidRDefault="00407CCB" w:rsidP="00407CCB">
            <w:pPr>
              <w:jc w:val="right"/>
              <w:rPr>
                <w:i/>
                <w:iCs/>
                <w:sz w:val="22"/>
                <w:szCs w:val="22"/>
              </w:rPr>
            </w:pPr>
            <w:r w:rsidRPr="00883EC9">
              <w:rPr>
                <w:i/>
                <w:iCs/>
                <w:sz w:val="22"/>
                <w:szCs w:val="22"/>
              </w:rPr>
              <w:t>1 103 318</w:t>
            </w:r>
          </w:p>
        </w:tc>
        <w:tc>
          <w:tcPr>
            <w:tcW w:w="1134" w:type="dxa"/>
            <w:gridSpan w:val="3"/>
            <w:tcBorders>
              <w:top w:val="single" w:sz="4" w:space="0" w:color="auto"/>
              <w:left w:val="nil"/>
              <w:bottom w:val="nil"/>
              <w:right w:val="nil"/>
            </w:tcBorders>
            <w:shd w:val="clear" w:color="auto" w:fill="auto"/>
            <w:noWrap/>
            <w:vAlign w:val="bottom"/>
            <w:hideMark/>
          </w:tcPr>
          <w:p w:rsidR="00407CCB" w:rsidRPr="00883EC9" w:rsidRDefault="00407CCB" w:rsidP="00407CCB">
            <w:pPr>
              <w:jc w:val="right"/>
              <w:rPr>
                <w:i/>
                <w:iCs/>
                <w:sz w:val="22"/>
                <w:szCs w:val="22"/>
              </w:rPr>
            </w:pPr>
            <w:r w:rsidRPr="00883EC9">
              <w:rPr>
                <w:i/>
                <w:iCs/>
                <w:sz w:val="22"/>
                <w:szCs w:val="22"/>
              </w:rPr>
              <w:t>479 831</w:t>
            </w:r>
          </w:p>
        </w:tc>
        <w:tc>
          <w:tcPr>
            <w:tcW w:w="992" w:type="dxa"/>
            <w:gridSpan w:val="2"/>
            <w:tcBorders>
              <w:top w:val="single" w:sz="4" w:space="0" w:color="auto"/>
              <w:left w:val="nil"/>
              <w:bottom w:val="nil"/>
              <w:right w:val="nil"/>
            </w:tcBorders>
            <w:shd w:val="clear" w:color="auto" w:fill="auto"/>
            <w:noWrap/>
            <w:vAlign w:val="bottom"/>
            <w:hideMark/>
          </w:tcPr>
          <w:p w:rsidR="00407CCB" w:rsidRPr="00883EC9" w:rsidRDefault="00407CCB" w:rsidP="00407CCB">
            <w:pPr>
              <w:jc w:val="right"/>
              <w:rPr>
                <w:i/>
                <w:iCs/>
                <w:sz w:val="22"/>
                <w:szCs w:val="22"/>
              </w:rPr>
            </w:pPr>
            <w:r w:rsidRPr="00883EC9">
              <w:rPr>
                <w:i/>
                <w:iCs/>
                <w:sz w:val="22"/>
                <w:szCs w:val="22"/>
              </w:rPr>
              <w:t>84,2%</w:t>
            </w:r>
          </w:p>
        </w:tc>
        <w:tc>
          <w:tcPr>
            <w:tcW w:w="956" w:type="dxa"/>
            <w:gridSpan w:val="3"/>
            <w:tcBorders>
              <w:top w:val="single" w:sz="4" w:space="0" w:color="auto"/>
              <w:left w:val="nil"/>
              <w:bottom w:val="nil"/>
              <w:right w:val="nil"/>
            </w:tcBorders>
            <w:shd w:val="clear" w:color="auto" w:fill="auto"/>
            <w:noWrap/>
            <w:vAlign w:val="bottom"/>
            <w:hideMark/>
          </w:tcPr>
          <w:p w:rsidR="00407CCB" w:rsidRPr="00883EC9" w:rsidRDefault="00407CCB" w:rsidP="00407CCB">
            <w:pPr>
              <w:jc w:val="right"/>
              <w:rPr>
                <w:i/>
                <w:iCs/>
                <w:sz w:val="22"/>
                <w:szCs w:val="22"/>
              </w:rPr>
            </w:pPr>
            <w:r w:rsidRPr="00883EC9">
              <w:rPr>
                <w:i/>
                <w:iCs/>
                <w:sz w:val="22"/>
                <w:szCs w:val="22"/>
              </w:rPr>
              <w:t>43,5%</w:t>
            </w:r>
          </w:p>
        </w:tc>
      </w:tr>
    </w:tbl>
    <w:p w:rsidR="005970FF" w:rsidRPr="00883EC9" w:rsidRDefault="005970FF">
      <w:pPr>
        <w:pStyle w:val="Szvegtrzs31"/>
        <w:widowControl/>
        <w:overflowPunct/>
        <w:autoSpaceDE/>
        <w:autoSpaceDN/>
        <w:adjustRightInd/>
        <w:textAlignment w:val="auto"/>
        <w:rPr>
          <w:sz w:val="16"/>
          <w:szCs w:val="16"/>
        </w:rPr>
      </w:pPr>
    </w:p>
    <w:p w:rsidR="00407CCB" w:rsidRPr="00883EC9" w:rsidRDefault="00407CCB">
      <w:pPr>
        <w:pStyle w:val="Szvegtrzs31"/>
        <w:widowControl/>
        <w:overflowPunct/>
        <w:autoSpaceDE/>
        <w:autoSpaceDN/>
        <w:adjustRightInd/>
        <w:textAlignment w:val="auto"/>
        <w:rPr>
          <w:sz w:val="16"/>
          <w:szCs w:val="16"/>
        </w:rPr>
      </w:pPr>
    </w:p>
    <w:p w:rsidR="00E8097E" w:rsidRPr="00171FBA" w:rsidRDefault="00E8097E">
      <w:pPr>
        <w:pStyle w:val="Cmsor2"/>
        <w:rPr>
          <w:b/>
          <w:i/>
          <w:color w:val="auto"/>
        </w:rPr>
      </w:pPr>
      <w:bookmarkStart w:id="28" w:name="_Toc331589984"/>
      <w:bookmarkStart w:id="29" w:name="_Toc489278858"/>
      <w:r w:rsidRPr="00171FBA">
        <w:rPr>
          <w:rFonts w:hint="eastAsia"/>
          <w:b/>
          <w:i/>
          <w:color w:val="auto"/>
        </w:rPr>
        <w:t xml:space="preserve">Saját </w:t>
      </w:r>
      <w:r w:rsidRPr="00171FBA">
        <w:rPr>
          <w:b/>
          <w:i/>
          <w:color w:val="auto"/>
        </w:rPr>
        <w:t xml:space="preserve">kivitelezésben végzett </w:t>
      </w:r>
      <w:r w:rsidRPr="00171FBA">
        <w:rPr>
          <w:rFonts w:hint="eastAsia"/>
          <w:b/>
          <w:i/>
          <w:color w:val="auto"/>
        </w:rPr>
        <w:t>eszközfenntartás</w:t>
      </w:r>
      <w:bookmarkEnd w:id="28"/>
      <w:bookmarkEnd w:id="29"/>
    </w:p>
    <w:p w:rsidR="00E8097E" w:rsidRPr="00EF23DF" w:rsidRDefault="00E8097E">
      <w:pPr>
        <w:jc w:val="both"/>
        <w:rPr>
          <w:sz w:val="22"/>
          <w:szCs w:val="22"/>
        </w:rPr>
      </w:pPr>
    </w:p>
    <w:p w:rsidR="00E8097E" w:rsidRPr="00883EC9" w:rsidRDefault="00E8097E" w:rsidP="003F214D">
      <w:pPr>
        <w:ind w:right="-1"/>
        <w:jc w:val="both"/>
        <w:rPr>
          <w:sz w:val="24"/>
        </w:rPr>
      </w:pPr>
      <w:r w:rsidRPr="00883EC9">
        <w:rPr>
          <w:rFonts w:hint="eastAsia"/>
          <w:sz w:val="24"/>
        </w:rPr>
        <w:t xml:space="preserve">Saját </w:t>
      </w:r>
      <w:r w:rsidRPr="00883EC9">
        <w:rPr>
          <w:sz w:val="24"/>
        </w:rPr>
        <w:t>kivitelezésben az üzemmérnökségek, a Fenntartási és Építési Üzem, az Uszoda és Termálfürdő</w:t>
      </w:r>
      <w:r w:rsidR="006A50DC" w:rsidRPr="00883EC9">
        <w:rPr>
          <w:sz w:val="24"/>
        </w:rPr>
        <w:t>,</w:t>
      </w:r>
      <w:r w:rsidRPr="00883EC9">
        <w:rPr>
          <w:sz w:val="24"/>
        </w:rPr>
        <w:t xml:space="preserve"> </w:t>
      </w:r>
      <w:r w:rsidR="006A50DC" w:rsidRPr="00883EC9">
        <w:rPr>
          <w:sz w:val="24"/>
        </w:rPr>
        <w:t xml:space="preserve">valamint a Logisztika és Szállítmányozás </w:t>
      </w:r>
      <w:r w:rsidRPr="00883EC9">
        <w:rPr>
          <w:sz w:val="24"/>
        </w:rPr>
        <w:t>vége</w:t>
      </w:r>
      <w:r w:rsidR="0045021B" w:rsidRPr="00883EC9">
        <w:rPr>
          <w:sz w:val="24"/>
        </w:rPr>
        <w:t>znek eszközfenntartást, a terv 45</w:t>
      </w:r>
      <w:r w:rsidR="00012CD7" w:rsidRPr="00883EC9">
        <w:rPr>
          <w:sz w:val="24"/>
        </w:rPr>
        <w:t>,1</w:t>
      </w:r>
      <w:r w:rsidRPr="00883EC9">
        <w:rPr>
          <w:sz w:val="24"/>
        </w:rPr>
        <w:t xml:space="preserve"> %-ra teljesült.</w:t>
      </w:r>
    </w:p>
    <w:p w:rsidR="00E8097E" w:rsidRPr="00883EC9" w:rsidRDefault="00E8097E" w:rsidP="003F214D">
      <w:pPr>
        <w:pStyle w:val="Szvegtrzs"/>
        <w:ind w:right="-1"/>
      </w:pPr>
      <w:r w:rsidRPr="00883EC9">
        <w:t>Az üzemmérnökségek saját eszközfenntartása a közmű műtárgyak tervszerű karbantartásából és a váratlan meghibásodások elhárításából áll, a Fenntartási és Építési Üzem tevékenysége a vízmérő-, szivattyú- és kisgépjavítás, gépészeti és lakatos munkák, villamos, automatikai és irányítástechnikai karbantartások. A</w:t>
      </w:r>
      <w:r w:rsidR="006A50DC" w:rsidRPr="00883EC9">
        <w:t xml:space="preserve"> Logisztika és Szállítmányozás a </w:t>
      </w:r>
      <w:r w:rsidR="00714C7C" w:rsidRPr="00883EC9">
        <w:t>gép</w:t>
      </w:r>
      <w:r w:rsidR="006A50DC" w:rsidRPr="00883EC9">
        <w:t>járművek és munkagépek, a</w:t>
      </w:r>
      <w:r w:rsidRPr="00883EC9">
        <w:t>z Uszoda és Termálfürdő a létesítmény üzemeltetésével kapcsolatosan felmerülő villamos, gépészeti, lakatos karbantartási munkákat, illetve az esetlegesen felmerülő meghibásodások javítását vég</w:t>
      </w:r>
      <w:r w:rsidR="006A50DC" w:rsidRPr="00883EC9">
        <w:t>zi el.</w:t>
      </w:r>
    </w:p>
    <w:p w:rsidR="00671A4B" w:rsidRDefault="00671A4B">
      <w:r>
        <w:br w:type="page"/>
      </w:r>
    </w:p>
    <w:p w:rsidR="00E8097E" w:rsidRPr="00671A4B" w:rsidRDefault="00E8097E" w:rsidP="00714C7C">
      <w:pPr>
        <w:ind w:right="-141"/>
        <w:jc w:val="both"/>
        <w:rPr>
          <w:sz w:val="24"/>
          <w:szCs w:val="24"/>
        </w:rPr>
      </w:pPr>
    </w:p>
    <w:p w:rsidR="00E8097E" w:rsidRPr="00883EC9" w:rsidRDefault="00E8097E" w:rsidP="00714C7C">
      <w:pPr>
        <w:pStyle w:val="Szvegtrzs"/>
        <w:tabs>
          <w:tab w:val="left" w:pos="709"/>
          <w:tab w:val="right" w:pos="8222"/>
        </w:tabs>
        <w:ind w:right="-141"/>
        <w:rPr>
          <w:i/>
          <w:iCs/>
          <w:szCs w:val="24"/>
        </w:rPr>
      </w:pPr>
      <w:bookmarkStart w:id="30" w:name="_Toc331589985"/>
      <w:r w:rsidRPr="00883EC9">
        <w:rPr>
          <w:i/>
          <w:iCs/>
          <w:szCs w:val="24"/>
        </w:rPr>
        <w:t>Üzemmérnökségek által végzett</w:t>
      </w:r>
      <w:r w:rsidRPr="00883EC9">
        <w:rPr>
          <w:rFonts w:hint="eastAsia"/>
          <w:i/>
          <w:iCs/>
          <w:szCs w:val="24"/>
        </w:rPr>
        <w:t xml:space="preserve"> eszközfenntartás</w:t>
      </w:r>
      <w:bookmarkEnd w:id="30"/>
    </w:p>
    <w:p w:rsidR="00E8097E" w:rsidRPr="00883EC9" w:rsidRDefault="00E8097E" w:rsidP="00714C7C">
      <w:pPr>
        <w:ind w:right="-141"/>
        <w:jc w:val="both"/>
        <w:rPr>
          <w:sz w:val="12"/>
        </w:rPr>
      </w:pPr>
    </w:p>
    <w:p w:rsidR="00E8097E" w:rsidRPr="00883EC9" w:rsidRDefault="00E8097E" w:rsidP="00933EA1">
      <w:pPr>
        <w:ind w:right="141"/>
        <w:jc w:val="both"/>
        <w:rPr>
          <w:sz w:val="24"/>
        </w:rPr>
      </w:pPr>
      <w:r w:rsidRPr="00883EC9">
        <w:rPr>
          <w:sz w:val="24"/>
        </w:rPr>
        <w:t xml:space="preserve">Tervszerű karbantartások: kutak, szivattyúk, víztároló létesítmények, </w:t>
      </w:r>
      <w:proofErr w:type="spellStart"/>
      <w:r w:rsidRPr="00883EC9">
        <w:rPr>
          <w:sz w:val="24"/>
        </w:rPr>
        <w:t>védterületek</w:t>
      </w:r>
      <w:proofErr w:type="spellEnd"/>
      <w:r w:rsidRPr="00883EC9">
        <w:rPr>
          <w:sz w:val="24"/>
        </w:rPr>
        <w:t xml:space="preserve"> karbantartása, víz- és szennyvízelvezetési hálózatok manuális és műszeres ellenőrzése, mosatása, a lejárt hitelesítésű és meghibásodott vízmérők cseréje, bekötés cserék, stb. </w:t>
      </w:r>
    </w:p>
    <w:p w:rsidR="00E8097E" w:rsidRPr="00883EC9" w:rsidRDefault="00E8097E" w:rsidP="00933EA1">
      <w:pPr>
        <w:ind w:right="141"/>
        <w:jc w:val="both"/>
        <w:rPr>
          <w:sz w:val="24"/>
        </w:rPr>
      </w:pPr>
      <w:r w:rsidRPr="00883EC9">
        <w:rPr>
          <w:sz w:val="24"/>
        </w:rPr>
        <w:t>Váratlan meghibásodások elhárítása: bekötések és szerelvényei meghibásodásának javítása,</w:t>
      </w:r>
      <w:r w:rsidR="000C54FA">
        <w:rPr>
          <w:sz w:val="24"/>
        </w:rPr>
        <w:t xml:space="preserve"> </w:t>
      </w:r>
      <w:r w:rsidRPr="00883EC9">
        <w:rPr>
          <w:sz w:val="24"/>
        </w:rPr>
        <w:t xml:space="preserve">gerincvezeték csőtörések javítása, tűzcsapjavítások és cserék, stb. </w:t>
      </w:r>
    </w:p>
    <w:p w:rsidR="00E8097E" w:rsidRPr="00883EC9" w:rsidRDefault="00E8097E" w:rsidP="00933EA1">
      <w:pPr>
        <w:pStyle w:val="Szvegtrzs"/>
        <w:numPr>
          <w:ilvl w:val="12"/>
          <w:numId w:val="0"/>
        </w:numPr>
        <w:ind w:right="141"/>
      </w:pPr>
      <w:r w:rsidRPr="00883EC9">
        <w:t xml:space="preserve">Az üzemmérnökségek által végzett eszközfenntartás költsége </w:t>
      </w:r>
      <w:r w:rsidR="0045021B" w:rsidRPr="00883EC9">
        <w:t>336 679</w:t>
      </w:r>
      <w:r w:rsidRPr="00883EC9">
        <w:t xml:space="preserve"> </w:t>
      </w:r>
      <w:proofErr w:type="spellStart"/>
      <w:r w:rsidRPr="00883EC9">
        <w:t>eFt</w:t>
      </w:r>
      <w:proofErr w:type="spellEnd"/>
      <w:r w:rsidRPr="00883EC9">
        <w:t xml:space="preserve">, a terv </w:t>
      </w:r>
      <w:r w:rsidR="0045021B" w:rsidRPr="00883EC9">
        <w:t>45</w:t>
      </w:r>
      <w:r w:rsidR="00A42808" w:rsidRPr="00883EC9">
        <w:t>,7</w:t>
      </w:r>
      <w:r w:rsidRPr="00883EC9">
        <w:t xml:space="preserve"> %-a.</w:t>
      </w:r>
    </w:p>
    <w:p w:rsidR="00B34AF8" w:rsidRPr="00671A4B" w:rsidRDefault="00B34AF8">
      <w:pPr>
        <w:pStyle w:val="Szvegtrzs"/>
        <w:numPr>
          <w:ilvl w:val="12"/>
          <w:numId w:val="0"/>
        </w:numPr>
        <w:rPr>
          <w:szCs w:val="24"/>
        </w:rPr>
      </w:pPr>
    </w:p>
    <w:p w:rsidR="00E8097E" w:rsidRPr="00883EC9" w:rsidRDefault="00E8097E">
      <w:pPr>
        <w:pStyle w:val="Szvegtrzs"/>
        <w:tabs>
          <w:tab w:val="left" w:pos="709"/>
          <w:tab w:val="right" w:pos="8222"/>
        </w:tabs>
        <w:rPr>
          <w:i/>
          <w:iCs/>
          <w:sz w:val="23"/>
        </w:rPr>
      </w:pPr>
      <w:r w:rsidRPr="00883EC9">
        <w:rPr>
          <w:i/>
          <w:iCs/>
          <w:sz w:val="23"/>
        </w:rPr>
        <w:t>Meghibásodások főbb csoportjainak alakulása</w:t>
      </w:r>
    </w:p>
    <w:p w:rsidR="00A42808" w:rsidRPr="00671A4B" w:rsidRDefault="00A42808">
      <w:pPr>
        <w:pStyle w:val="Szvegtrzs"/>
        <w:ind w:right="-1"/>
        <w:rPr>
          <w:sz w:val="8"/>
          <w:szCs w:val="8"/>
        </w:rPr>
      </w:pPr>
    </w:p>
    <w:tbl>
      <w:tblPr>
        <w:tblW w:w="7720" w:type="dxa"/>
        <w:tblCellMar>
          <w:left w:w="70" w:type="dxa"/>
          <w:right w:w="70" w:type="dxa"/>
        </w:tblCellMar>
        <w:tblLook w:val="04A0" w:firstRow="1" w:lastRow="0" w:firstColumn="1" w:lastColumn="0" w:noHBand="0" w:noVBand="1"/>
      </w:tblPr>
      <w:tblGrid>
        <w:gridCol w:w="3496"/>
        <w:gridCol w:w="899"/>
        <w:gridCol w:w="551"/>
        <w:gridCol w:w="214"/>
        <w:gridCol w:w="899"/>
        <w:gridCol w:w="551"/>
        <w:gridCol w:w="214"/>
        <w:gridCol w:w="682"/>
        <w:gridCol w:w="214"/>
      </w:tblGrid>
      <w:tr w:rsidR="0026360E" w:rsidRPr="00883EC9" w:rsidTr="0026360E">
        <w:trPr>
          <w:trHeight w:val="315"/>
        </w:trPr>
        <w:tc>
          <w:tcPr>
            <w:tcW w:w="3496" w:type="dxa"/>
            <w:tcBorders>
              <w:top w:val="nil"/>
              <w:left w:val="nil"/>
              <w:bottom w:val="single" w:sz="4" w:space="0" w:color="auto"/>
              <w:right w:val="nil"/>
            </w:tcBorders>
            <w:shd w:val="clear" w:color="auto" w:fill="auto"/>
            <w:noWrap/>
            <w:vAlign w:val="bottom"/>
            <w:hideMark/>
          </w:tcPr>
          <w:p w:rsidR="0026360E" w:rsidRPr="00883EC9" w:rsidRDefault="0026360E" w:rsidP="0026360E">
            <w:pPr>
              <w:jc w:val="both"/>
              <w:rPr>
                <w:sz w:val="24"/>
                <w:szCs w:val="24"/>
              </w:rPr>
            </w:pPr>
            <w:r w:rsidRPr="00883EC9">
              <w:rPr>
                <w:sz w:val="24"/>
                <w:szCs w:val="24"/>
              </w:rPr>
              <w:t> </w:t>
            </w:r>
          </w:p>
        </w:tc>
        <w:tc>
          <w:tcPr>
            <w:tcW w:w="1664" w:type="dxa"/>
            <w:gridSpan w:val="3"/>
            <w:tcBorders>
              <w:top w:val="nil"/>
              <w:left w:val="nil"/>
              <w:bottom w:val="single" w:sz="4" w:space="0" w:color="auto"/>
              <w:right w:val="nil"/>
            </w:tcBorders>
            <w:shd w:val="clear" w:color="auto" w:fill="auto"/>
            <w:vAlign w:val="bottom"/>
            <w:hideMark/>
          </w:tcPr>
          <w:p w:rsidR="0026360E" w:rsidRPr="00883EC9" w:rsidRDefault="0026360E" w:rsidP="0026360E">
            <w:pPr>
              <w:jc w:val="both"/>
              <w:rPr>
                <w:i/>
                <w:iCs/>
                <w:sz w:val="23"/>
                <w:szCs w:val="23"/>
              </w:rPr>
            </w:pPr>
            <w:r w:rsidRPr="00883EC9">
              <w:rPr>
                <w:i/>
                <w:iCs/>
                <w:sz w:val="23"/>
                <w:szCs w:val="23"/>
              </w:rPr>
              <w:t xml:space="preserve">2016. I. félév </w:t>
            </w:r>
          </w:p>
        </w:tc>
        <w:tc>
          <w:tcPr>
            <w:tcW w:w="1664" w:type="dxa"/>
            <w:gridSpan w:val="3"/>
            <w:tcBorders>
              <w:top w:val="nil"/>
              <w:left w:val="nil"/>
              <w:bottom w:val="single" w:sz="4" w:space="0" w:color="auto"/>
              <w:right w:val="nil"/>
            </w:tcBorders>
            <w:shd w:val="clear" w:color="auto" w:fill="auto"/>
            <w:vAlign w:val="bottom"/>
            <w:hideMark/>
          </w:tcPr>
          <w:p w:rsidR="0026360E" w:rsidRPr="00883EC9" w:rsidRDefault="0026360E" w:rsidP="0026360E">
            <w:pPr>
              <w:jc w:val="both"/>
              <w:rPr>
                <w:i/>
                <w:iCs/>
                <w:sz w:val="23"/>
                <w:szCs w:val="23"/>
              </w:rPr>
            </w:pPr>
            <w:r w:rsidRPr="00883EC9">
              <w:rPr>
                <w:i/>
                <w:iCs/>
                <w:sz w:val="23"/>
                <w:szCs w:val="23"/>
              </w:rPr>
              <w:t xml:space="preserve">2017. I. félév </w:t>
            </w:r>
          </w:p>
        </w:tc>
        <w:tc>
          <w:tcPr>
            <w:tcW w:w="896" w:type="dxa"/>
            <w:gridSpan w:val="2"/>
            <w:tcBorders>
              <w:top w:val="nil"/>
              <w:left w:val="nil"/>
              <w:bottom w:val="single" w:sz="4" w:space="0" w:color="auto"/>
              <w:right w:val="nil"/>
            </w:tcBorders>
            <w:shd w:val="clear" w:color="auto" w:fill="auto"/>
            <w:noWrap/>
            <w:vAlign w:val="bottom"/>
            <w:hideMark/>
          </w:tcPr>
          <w:p w:rsidR="0026360E" w:rsidRPr="00883EC9" w:rsidRDefault="0026360E" w:rsidP="0026360E">
            <w:pPr>
              <w:jc w:val="both"/>
              <w:rPr>
                <w:i/>
                <w:iCs/>
                <w:sz w:val="23"/>
                <w:szCs w:val="23"/>
              </w:rPr>
            </w:pPr>
            <w:r w:rsidRPr="00883EC9">
              <w:rPr>
                <w:i/>
                <w:iCs/>
                <w:sz w:val="23"/>
                <w:szCs w:val="23"/>
              </w:rPr>
              <w:t xml:space="preserve">Index </w:t>
            </w:r>
          </w:p>
        </w:tc>
      </w:tr>
      <w:tr w:rsidR="0026360E" w:rsidRPr="00883EC9" w:rsidTr="00883E96">
        <w:trPr>
          <w:gridAfter w:val="1"/>
          <w:wAfter w:w="214" w:type="dxa"/>
          <w:trHeight w:val="300"/>
        </w:trPr>
        <w:tc>
          <w:tcPr>
            <w:tcW w:w="3496" w:type="dxa"/>
            <w:tcBorders>
              <w:top w:val="nil"/>
              <w:left w:val="nil"/>
              <w:bottom w:val="nil"/>
              <w:right w:val="nil"/>
            </w:tcBorders>
            <w:shd w:val="clear" w:color="auto" w:fill="auto"/>
            <w:noWrap/>
            <w:vAlign w:val="bottom"/>
            <w:hideMark/>
          </w:tcPr>
          <w:p w:rsidR="0026360E" w:rsidRPr="00883EC9" w:rsidRDefault="0026360E" w:rsidP="0026360E">
            <w:pPr>
              <w:jc w:val="both"/>
              <w:rPr>
                <w:i/>
                <w:iCs/>
                <w:sz w:val="23"/>
                <w:szCs w:val="23"/>
              </w:rPr>
            </w:pPr>
            <w:r w:rsidRPr="00883EC9">
              <w:rPr>
                <w:i/>
                <w:iCs/>
                <w:sz w:val="23"/>
                <w:szCs w:val="23"/>
              </w:rPr>
              <w:t>Ivóvíz hálózat</w:t>
            </w:r>
          </w:p>
        </w:tc>
        <w:tc>
          <w:tcPr>
            <w:tcW w:w="899" w:type="dxa"/>
            <w:tcBorders>
              <w:top w:val="nil"/>
              <w:left w:val="nil"/>
              <w:bottom w:val="nil"/>
              <w:right w:val="nil"/>
            </w:tcBorders>
            <w:shd w:val="clear" w:color="auto" w:fill="auto"/>
            <w:noWrap/>
            <w:vAlign w:val="bottom"/>
            <w:hideMark/>
          </w:tcPr>
          <w:p w:rsidR="0026360E" w:rsidRPr="00883EC9" w:rsidRDefault="0026360E" w:rsidP="0026360E">
            <w:pPr>
              <w:jc w:val="both"/>
              <w:rPr>
                <w:i/>
                <w:iCs/>
                <w:sz w:val="23"/>
                <w:szCs w:val="23"/>
              </w:rPr>
            </w:pP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pPr>
          </w:p>
        </w:tc>
        <w:tc>
          <w:tcPr>
            <w:tcW w:w="1113" w:type="dxa"/>
            <w:gridSpan w:val="2"/>
            <w:tcBorders>
              <w:top w:val="nil"/>
              <w:left w:val="nil"/>
              <w:bottom w:val="nil"/>
              <w:right w:val="nil"/>
            </w:tcBorders>
            <w:shd w:val="clear" w:color="auto" w:fill="auto"/>
            <w:noWrap/>
            <w:vAlign w:val="bottom"/>
            <w:hideMark/>
          </w:tcPr>
          <w:p w:rsidR="0026360E" w:rsidRPr="00883EC9" w:rsidRDefault="0026360E" w:rsidP="0026360E">
            <w:pPr>
              <w:jc w:val="both"/>
            </w:pP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pPr>
          </w:p>
        </w:tc>
        <w:tc>
          <w:tcPr>
            <w:tcW w:w="896" w:type="dxa"/>
            <w:gridSpan w:val="2"/>
            <w:tcBorders>
              <w:top w:val="nil"/>
              <w:left w:val="nil"/>
              <w:bottom w:val="nil"/>
              <w:right w:val="nil"/>
            </w:tcBorders>
            <w:shd w:val="clear" w:color="auto" w:fill="auto"/>
            <w:noWrap/>
            <w:vAlign w:val="bottom"/>
            <w:hideMark/>
          </w:tcPr>
          <w:p w:rsidR="0026360E" w:rsidRPr="00883EC9" w:rsidRDefault="0026360E" w:rsidP="0026360E">
            <w:pPr>
              <w:jc w:val="both"/>
            </w:pPr>
          </w:p>
        </w:tc>
      </w:tr>
      <w:tr w:rsidR="0026360E" w:rsidRPr="00883EC9" w:rsidTr="00883E96">
        <w:trPr>
          <w:gridAfter w:val="1"/>
          <w:wAfter w:w="214" w:type="dxa"/>
          <w:trHeight w:val="300"/>
        </w:trPr>
        <w:tc>
          <w:tcPr>
            <w:tcW w:w="3496"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Csőtörések száma</w:t>
            </w:r>
          </w:p>
        </w:tc>
        <w:tc>
          <w:tcPr>
            <w:tcW w:w="899"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pPr>
          </w:p>
        </w:tc>
        <w:tc>
          <w:tcPr>
            <w:tcW w:w="1113" w:type="dxa"/>
            <w:gridSpan w:val="2"/>
            <w:tcBorders>
              <w:top w:val="nil"/>
              <w:left w:val="nil"/>
              <w:bottom w:val="nil"/>
              <w:right w:val="nil"/>
            </w:tcBorders>
            <w:shd w:val="clear" w:color="auto" w:fill="auto"/>
            <w:noWrap/>
            <w:vAlign w:val="bottom"/>
            <w:hideMark/>
          </w:tcPr>
          <w:p w:rsidR="0026360E" w:rsidRPr="00883EC9" w:rsidRDefault="0026360E" w:rsidP="0026360E">
            <w:pPr>
              <w:jc w:val="both"/>
            </w:pP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pPr>
          </w:p>
        </w:tc>
        <w:tc>
          <w:tcPr>
            <w:tcW w:w="896" w:type="dxa"/>
            <w:gridSpan w:val="2"/>
            <w:tcBorders>
              <w:top w:val="nil"/>
              <w:left w:val="nil"/>
              <w:bottom w:val="nil"/>
              <w:right w:val="nil"/>
            </w:tcBorders>
            <w:shd w:val="clear" w:color="auto" w:fill="auto"/>
            <w:noWrap/>
            <w:vAlign w:val="bottom"/>
            <w:hideMark/>
          </w:tcPr>
          <w:p w:rsidR="0026360E" w:rsidRPr="00883EC9" w:rsidRDefault="0026360E" w:rsidP="0026360E">
            <w:pPr>
              <w:jc w:val="both"/>
            </w:pPr>
          </w:p>
        </w:tc>
      </w:tr>
      <w:tr w:rsidR="0026360E" w:rsidRPr="00883EC9" w:rsidTr="00883E96">
        <w:trPr>
          <w:gridAfter w:val="1"/>
          <w:wAfter w:w="214" w:type="dxa"/>
          <w:trHeight w:val="132"/>
        </w:trPr>
        <w:tc>
          <w:tcPr>
            <w:tcW w:w="3496"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 xml:space="preserve">    gerincvezetéken</w:t>
            </w:r>
          </w:p>
        </w:tc>
        <w:tc>
          <w:tcPr>
            <w:tcW w:w="899" w:type="dxa"/>
            <w:tcBorders>
              <w:top w:val="nil"/>
              <w:left w:val="nil"/>
              <w:bottom w:val="nil"/>
              <w:right w:val="nil"/>
            </w:tcBorders>
            <w:shd w:val="clear" w:color="auto" w:fill="auto"/>
            <w:noWrap/>
            <w:vAlign w:val="bottom"/>
            <w:hideMark/>
          </w:tcPr>
          <w:p w:rsidR="0026360E" w:rsidRPr="00883EC9" w:rsidRDefault="0026360E" w:rsidP="0026360E">
            <w:pPr>
              <w:jc w:val="right"/>
              <w:rPr>
                <w:rFonts w:ascii="Times New Roman CE" w:hAnsi="Times New Roman CE" w:cs="Times New Roman CE"/>
                <w:sz w:val="23"/>
                <w:szCs w:val="23"/>
              </w:rPr>
            </w:pPr>
            <w:r w:rsidRPr="00883EC9">
              <w:rPr>
                <w:rFonts w:ascii="Times New Roman CE" w:hAnsi="Times New Roman CE" w:cs="Times New Roman CE"/>
                <w:sz w:val="23"/>
                <w:szCs w:val="23"/>
              </w:rPr>
              <w:t>132</w:t>
            </w: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db</w:t>
            </w:r>
          </w:p>
        </w:tc>
        <w:tc>
          <w:tcPr>
            <w:tcW w:w="1113" w:type="dxa"/>
            <w:gridSpan w:val="2"/>
            <w:tcBorders>
              <w:top w:val="nil"/>
              <w:left w:val="nil"/>
              <w:bottom w:val="nil"/>
              <w:right w:val="nil"/>
            </w:tcBorders>
            <w:shd w:val="clear" w:color="auto" w:fill="auto"/>
            <w:noWrap/>
            <w:vAlign w:val="bottom"/>
            <w:hideMark/>
          </w:tcPr>
          <w:p w:rsidR="0026360E" w:rsidRPr="00883EC9" w:rsidRDefault="0026360E" w:rsidP="0026360E">
            <w:pPr>
              <w:jc w:val="right"/>
              <w:rPr>
                <w:rFonts w:ascii="Times New Roman CE" w:hAnsi="Times New Roman CE" w:cs="Times New Roman CE"/>
                <w:sz w:val="23"/>
                <w:szCs w:val="23"/>
              </w:rPr>
            </w:pPr>
            <w:r w:rsidRPr="00883EC9">
              <w:rPr>
                <w:rFonts w:ascii="Times New Roman CE" w:hAnsi="Times New Roman CE" w:cs="Times New Roman CE"/>
                <w:sz w:val="23"/>
                <w:szCs w:val="23"/>
              </w:rPr>
              <w:t>138</w:t>
            </w: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db</w:t>
            </w:r>
          </w:p>
        </w:tc>
        <w:tc>
          <w:tcPr>
            <w:tcW w:w="896" w:type="dxa"/>
            <w:gridSpan w:val="2"/>
            <w:tcBorders>
              <w:top w:val="nil"/>
              <w:left w:val="nil"/>
              <w:bottom w:val="nil"/>
              <w:right w:val="nil"/>
            </w:tcBorders>
            <w:shd w:val="clear" w:color="auto" w:fill="auto"/>
            <w:noWrap/>
            <w:vAlign w:val="bottom"/>
            <w:hideMark/>
          </w:tcPr>
          <w:p w:rsidR="0026360E" w:rsidRPr="00883EC9" w:rsidRDefault="0026360E" w:rsidP="0026360E">
            <w:pPr>
              <w:jc w:val="right"/>
              <w:rPr>
                <w:sz w:val="23"/>
                <w:szCs w:val="23"/>
              </w:rPr>
            </w:pPr>
            <w:r w:rsidRPr="00883EC9">
              <w:rPr>
                <w:sz w:val="23"/>
                <w:szCs w:val="23"/>
              </w:rPr>
              <w:t>104,5%</w:t>
            </w:r>
          </w:p>
        </w:tc>
      </w:tr>
      <w:tr w:rsidR="0026360E" w:rsidRPr="00883EC9" w:rsidTr="00883E96">
        <w:trPr>
          <w:gridAfter w:val="1"/>
          <w:wAfter w:w="214" w:type="dxa"/>
          <w:trHeight w:val="300"/>
        </w:trPr>
        <w:tc>
          <w:tcPr>
            <w:tcW w:w="3496"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 xml:space="preserve">    bekötővezetéken</w:t>
            </w:r>
          </w:p>
        </w:tc>
        <w:tc>
          <w:tcPr>
            <w:tcW w:w="899" w:type="dxa"/>
            <w:tcBorders>
              <w:top w:val="nil"/>
              <w:left w:val="nil"/>
              <w:bottom w:val="nil"/>
              <w:right w:val="nil"/>
            </w:tcBorders>
            <w:shd w:val="clear" w:color="auto" w:fill="auto"/>
            <w:noWrap/>
            <w:vAlign w:val="bottom"/>
            <w:hideMark/>
          </w:tcPr>
          <w:p w:rsidR="0026360E" w:rsidRPr="00883EC9" w:rsidRDefault="0026360E" w:rsidP="0026360E">
            <w:pPr>
              <w:jc w:val="right"/>
              <w:rPr>
                <w:sz w:val="23"/>
                <w:szCs w:val="23"/>
              </w:rPr>
            </w:pPr>
            <w:r w:rsidRPr="00883EC9">
              <w:rPr>
                <w:sz w:val="23"/>
                <w:szCs w:val="23"/>
              </w:rPr>
              <w:t>205</w:t>
            </w: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db</w:t>
            </w:r>
          </w:p>
        </w:tc>
        <w:tc>
          <w:tcPr>
            <w:tcW w:w="1113" w:type="dxa"/>
            <w:gridSpan w:val="2"/>
            <w:tcBorders>
              <w:top w:val="nil"/>
              <w:left w:val="nil"/>
              <w:bottom w:val="nil"/>
              <w:right w:val="nil"/>
            </w:tcBorders>
            <w:shd w:val="clear" w:color="auto" w:fill="auto"/>
            <w:noWrap/>
            <w:vAlign w:val="bottom"/>
            <w:hideMark/>
          </w:tcPr>
          <w:p w:rsidR="0026360E" w:rsidRPr="00883EC9" w:rsidRDefault="0026360E" w:rsidP="0026360E">
            <w:pPr>
              <w:jc w:val="right"/>
              <w:rPr>
                <w:sz w:val="23"/>
                <w:szCs w:val="23"/>
              </w:rPr>
            </w:pPr>
            <w:r w:rsidRPr="00883EC9">
              <w:rPr>
                <w:sz w:val="23"/>
                <w:szCs w:val="23"/>
              </w:rPr>
              <w:t>228</w:t>
            </w: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db</w:t>
            </w:r>
          </w:p>
        </w:tc>
        <w:tc>
          <w:tcPr>
            <w:tcW w:w="896" w:type="dxa"/>
            <w:gridSpan w:val="2"/>
            <w:tcBorders>
              <w:top w:val="nil"/>
              <w:left w:val="nil"/>
              <w:bottom w:val="nil"/>
              <w:right w:val="nil"/>
            </w:tcBorders>
            <w:shd w:val="clear" w:color="auto" w:fill="auto"/>
            <w:noWrap/>
            <w:vAlign w:val="bottom"/>
            <w:hideMark/>
          </w:tcPr>
          <w:p w:rsidR="0026360E" w:rsidRPr="00883EC9" w:rsidRDefault="0026360E" w:rsidP="0026360E">
            <w:pPr>
              <w:jc w:val="right"/>
              <w:rPr>
                <w:sz w:val="23"/>
                <w:szCs w:val="23"/>
              </w:rPr>
            </w:pPr>
            <w:r w:rsidRPr="00883EC9">
              <w:rPr>
                <w:sz w:val="23"/>
                <w:szCs w:val="23"/>
              </w:rPr>
              <w:t>111,2%</w:t>
            </w:r>
          </w:p>
        </w:tc>
      </w:tr>
      <w:tr w:rsidR="0026360E" w:rsidRPr="00883EC9" w:rsidTr="00883E96">
        <w:trPr>
          <w:gridAfter w:val="1"/>
          <w:wAfter w:w="214" w:type="dxa"/>
          <w:trHeight w:val="240"/>
        </w:trPr>
        <w:tc>
          <w:tcPr>
            <w:tcW w:w="3496"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Csőcsere</w:t>
            </w:r>
          </w:p>
        </w:tc>
        <w:tc>
          <w:tcPr>
            <w:tcW w:w="899"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right"/>
            </w:pPr>
          </w:p>
        </w:tc>
        <w:tc>
          <w:tcPr>
            <w:tcW w:w="1113" w:type="dxa"/>
            <w:gridSpan w:val="2"/>
            <w:tcBorders>
              <w:top w:val="nil"/>
              <w:left w:val="nil"/>
              <w:bottom w:val="nil"/>
              <w:right w:val="nil"/>
            </w:tcBorders>
            <w:shd w:val="clear" w:color="auto" w:fill="auto"/>
            <w:noWrap/>
            <w:vAlign w:val="bottom"/>
            <w:hideMark/>
          </w:tcPr>
          <w:p w:rsidR="0026360E" w:rsidRPr="00883EC9" w:rsidRDefault="0026360E" w:rsidP="0026360E">
            <w:pPr>
              <w:jc w:val="both"/>
            </w:pP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right"/>
            </w:pPr>
          </w:p>
        </w:tc>
        <w:tc>
          <w:tcPr>
            <w:tcW w:w="896" w:type="dxa"/>
            <w:gridSpan w:val="2"/>
            <w:tcBorders>
              <w:top w:val="nil"/>
              <w:left w:val="nil"/>
              <w:bottom w:val="nil"/>
              <w:right w:val="nil"/>
            </w:tcBorders>
            <w:shd w:val="clear" w:color="auto" w:fill="auto"/>
            <w:noWrap/>
            <w:vAlign w:val="bottom"/>
            <w:hideMark/>
          </w:tcPr>
          <w:p w:rsidR="0026360E" w:rsidRPr="00883EC9" w:rsidRDefault="0026360E" w:rsidP="0026360E">
            <w:pPr>
              <w:jc w:val="both"/>
            </w:pPr>
          </w:p>
        </w:tc>
      </w:tr>
      <w:tr w:rsidR="0026360E" w:rsidRPr="00883EC9" w:rsidTr="00883E96">
        <w:trPr>
          <w:gridAfter w:val="1"/>
          <w:wAfter w:w="214" w:type="dxa"/>
          <w:trHeight w:val="80"/>
        </w:trPr>
        <w:tc>
          <w:tcPr>
            <w:tcW w:w="3496"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 xml:space="preserve">    gerincvezetéken</w:t>
            </w:r>
          </w:p>
        </w:tc>
        <w:tc>
          <w:tcPr>
            <w:tcW w:w="899" w:type="dxa"/>
            <w:tcBorders>
              <w:top w:val="nil"/>
              <w:left w:val="nil"/>
              <w:bottom w:val="nil"/>
              <w:right w:val="nil"/>
            </w:tcBorders>
            <w:shd w:val="clear" w:color="auto" w:fill="auto"/>
            <w:noWrap/>
            <w:vAlign w:val="bottom"/>
            <w:hideMark/>
          </w:tcPr>
          <w:p w:rsidR="0026360E" w:rsidRPr="00883EC9" w:rsidRDefault="0026360E" w:rsidP="0026360E">
            <w:pPr>
              <w:jc w:val="right"/>
              <w:rPr>
                <w:rFonts w:ascii="Times New Roman CE" w:hAnsi="Times New Roman CE" w:cs="Times New Roman CE"/>
                <w:sz w:val="23"/>
                <w:szCs w:val="23"/>
              </w:rPr>
            </w:pPr>
            <w:r w:rsidRPr="00883EC9">
              <w:rPr>
                <w:rFonts w:ascii="Times New Roman CE" w:hAnsi="Times New Roman CE" w:cs="Times New Roman CE"/>
                <w:sz w:val="23"/>
                <w:szCs w:val="23"/>
              </w:rPr>
              <w:t>566</w:t>
            </w: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proofErr w:type="spellStart"/>
            <w:r w:rsidRPr="00883EC9">
              <w:rPr>
                <w:sz w:val="23"/>
                <w:szCs w:val="23"/>
              </w:rPr>
              <w:t>fm</w:t>
            </w:r>
            <w:proofErr w:type="spellEnd"/>
          </w:p>
        </w:tc>
        <w:tc>
          <w:tcPr>
            <w:tcW w:w="1113" w:type="dxa"/>
            <w:gridSpan w:val="2"/>
            <w:tcBorders>
              <w:top w:val="nil"/>
              <w:left w:val="nil"/>
              <w:bottom w:val="nil"/>
              <w:right w:val="nil"/>
            </w:tcBorders>
            <w:shd w:val="clear" w:color="auto" w:fill="auto"/>
            <w:noWrap/>
            <w:vAlign w:val="bottom"/>
            <w:hideMark/>
          </w:tcPr>
          <w:p w:rsidR="0026360E" w:rsidRPr="00883EC9" w:rsidRDefault="0026360E" w:rsidP="0026360E">
            <w:pPr>
              <w:jc w:val="right"/>
              <w:rPr>
                <w:rFonts w:ascii="Times New Roman CE" w:hAnsi="Times New Roman CE" w:cs="Times New Roman CE"/>
                <w:sz w:val="23"/>
                <w:szCs w:val="23"/>
              </w:rPr>
            </w:pPr>
            <w:r w:rsidRPr="00883EC9">
              <w:rPr>
                <w:rFonts w:ascii="Times New Roman CE" w:hAnsi="Times New Roman CE" w:cs="Times New Roman CE"/>
                <w:sz w:val="23"/>
                <w:szCs w:val="23"/>
              </w:rPr>
              <w:t>243</w:t>
            </w: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proofErr w:type="spellStart"/>
            <w:r w:rsidRPr="00883EC9">
              <w:rPr>
                <w:sz w:val="23"/>
                <w:szCs w:val="23"/>
              </w:rPr>
              <w:t>fm</w:t>
            </w:r>
            <w:proofErr w:type="spellEnd"/>
          </w:p>
        </w:tc>
        <w:tc>
          <w:tcPr>
            <w:tcW w:w="896" w:type="dxa"/>
            <w:gridSpan w:val="2"/>
            <w:tcBorders>
              <w:top w:val="nil"/>
              <w:left w:val="nil"/>
              <w:bottom w:val="nil"/>
              <w:right w:val="nil"/>
            </w:tcBorders>
            <w:shd w:val="clear" w:color="auto" w:fill="auto"/>
            <w:noWrap/>
            <w:vAlign w:val="bottom"/>
            <w:hideMark/>
          </w:tcPr>
          <w:p w:rsidR="0026360E" w:rsidRPr="00883EC9" w:rsidRDefault="0026360E" w:rsidP="0026360E">
            <w:pPr>
              <w:jc w:val="right"/>
              <w:rPr>
                <w:sz w:val="23"/>
                <w:szCs w:val="23"/>
              </w:rPr>
            </w:pPr>
            <w:r w:rsidRPr="00883EC9">
              <w:rPr>
                <w:sz w:val="23"/>
                <w:szCs w:val="23"/>
              </w:rPr>
              <w:t>42,9%</w:t>
            </w:r>
          </w:p>
        </w:tc>
      </w:tr>
      <w:tr w:rsidR="0026360E" w:rsidRPr="00883EC9" w:rsidTr="00883E96">
        <w:trPr>
          <w:gridAfter w:val="1"/>
          <w:wAfter w:w="214" w:type="dxa"/>
          <w:trHeight w:val="206"/>
        </w:trPr>
        <w:tc>
          <w:tcPr>
            <w:tcW w:w="3496"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 xml:space="preserve">    bekötővezetéken</w:t>
            </w:r>
          </w:p>
        </w:tc>
        <w:tc>
          <w:tcPr>
            <w:tcW w:w="899" w:type="dxa"/>
            <w:tcBorders>
              <w:top w:val="nil"/>
              <w:left w:val="nil"/>
              <w:bottom w:val="nil"/>
              <w:right w:val="nil"/>
            </w:tcBorders>
            <w:shd w:val="clear" w:color="auto" w:fill="auto"/>
            <w:noWrap/>
            <w:vAlign w:val="bottom"/>
            <w:hideMark/>
          </w:tcPr>
          <w:p w:rsidR="0026360E" w:rsidRPr="00883EC9" w:rsidRDefault="0026360E" w:rsidP="0026360E">
            <w:pPr>
              <w:jc w:val="right"/>
              <w:rPr>
                <w:sz w:val="23"/>
                <w:szCs w:val="23"/>
              </w:rPr>
            </w:pPr>
            <w:r w:rsidRPr="00883EC9">
              <w:rPr>
                <w:sz w:val="23"/>
                <w:szCs w:val="23"/>
              </w:rPr>
              <w:t>1 763</w:t>
            </w: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proofErr w:type="spellStart"/>
            <w:r w:rsidRPr="00883EC9">
              <w:rPr>
                <w:sz w:val="23"/>
                <w:szCs w:val="23"/>
              </w:rPr>
              <w:t>fm</w:t>
            </w:r>
            <w:proofErr w:type="spellEnd"/>
          </w:p>
        </w:tc>
        <w:tc>
          <w:tcPr>
            <w:tcW w:w="1113" w:type="dxa"/>
            <w:gridSpan w:val="2"/>
            <w:tcBorders>
              <w:top w:val="nil"/>
              <w:left w:val="nil"/>
              <w:bottom w:val="nil"/>
              <w:right w:val="nil"/>
            </w:tcBorders>
            <w:shd w:val="clear" w:color="auto" w:fill="auto"/>
            <w:noWrap/>
            <w:vAlign w:val="bottom"/>
            <w:hideMark/>
          </w:tcPr>
          <w:p w:rsidR="0026360E" w:rsidRPr="00883EC9" w:rsidRDefault="0026360E" w:rsidP="0026360E">
            <w:pPr>
              <w:jc w:val="right"/>
              <w:rPr>
                <w:sz w:val="23"/>
                <w:szCs w:val="23"/>
              </w:rPr>
            </w:pPr>
            <w:r w:rsidRPr="00883EC9">
              <w:rPr>
                <w:sz w:val="23"/>
                <w:szCs w:val="23"/>
              </w:rPr>
              <w:t>1 349</w:t>
            </w: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proofErr w:type="spellStart"/>
            <w:r w:rsidRPr="00883EC9">
              <w:rPr>
                <w:sz w:val="23"/>
                <w:szCs w:val="23"/>
              </w:rPr>
              <w:t>fm</w:t>
            </w:r>
            <w:proofErr w:type="spellEnd"/>
          </w:p>
        </w:tc>
        <w:tc>
          <w:tcPr>
            <w:tcW w:w="896" w:type="dxa"/>
            <w:gridSpan w:val="2"/>
            <w:tcBorders>
              <w:top w:val="nil"/>
              <w:left w:val="nil"/>
              <w:bottom w:val="nil"/>
              <w:right w:val="nil"/>
            </w:tcBorders>
            <w:shd w:val="clear" w:color="auto" w:fill="auto"/>
            <w:noWrap/>
            <w:vAlign w:val="bottom"/>
            <w:hideMark/>
          </w:tcPr>
          <w:p w:rsidR="0026360E" w:rsidRPr="00883EC9" w:rsidRDefault="0026360E" w:rsidP="0026360E">
            <w:pPr>
              <w:jc w:val="right"/>
              <w:rPr>
                <w:sz w:val="23"/>
                <w:szCs w:val="23"/>
              </w:rPr>
            </w:pPr>
            <w:r w:rsidRPr="00883EC9">
              <w:rPr>
                <w:sz w:val="23"/>
                <w:szCs w:val="23"/>
              </w:rPr>
              <w:t>76,5%</w:t>
            </w:r>
          </w:p>
        </w:tc>
      </w:tr>
      <w:tr w:rsidR="0026360E" w:rsidRPr="00883EC9" w:rsidTr="00883E96">
        <w:trPr>
          <w:gridAfter w:val="1"/>
          <w:wAfter w:w="214" w:type="dxa"/>
          <w:trHeight w:val="300"/>
        </w:trPr>
        <w:tc>
          <w:tcPr>
            <w:tcW w:w="3496"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 xml:space="preserve">Szerelvény javítások </w:t>
            </w:r>
          </w:p>
        </w:tc>
        <w:tc>
          <w:tcPr>
            <w:tcW w:w="899"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p>
        </w:tc>
        <w:tc>
          <w:tcPr>
            <w:tcW w:w="551" w:type="dxa"/>
            <w:tcBorders>
              <w:top w:val="nil"/>
              <w:left w:val="nil"/>
              <w:bottom w:val="nil"/>
              <w:right w:val="nil"/>
            </w:tcBorders>
            <w:shd w:val="clear" w:color="auto" w:fill="auto"/>
            <w:noWrap/>
            <w:vAlign w:val="bottom"/>
            <w:hideMark/>
          </w:tcPr>
          <w:p w:rsidR="0026360E" w:rsidRPr="00883EC9" w:rsidRDefault="0026360E" w:rsidP="0026360E"/>
        </w:tc>
        <w:tc>
          <w:tcPr>
            <w:tcW w:w="1113" w:type="dxa"/>
            <w:gridSpan w:val="2"/>
            <w:tcBorders>
              <w:top w:val="nil"/>
              <w:left w:val="nil"/>
              <w:bottom w:val="nil"/>
              <w:right w:val="nil"/>
            </w:tcBorders>
            <w:shd w:val="clear" w:color="auto" w:fill="auto"/>
            <w:noWrap/>
            <w:vAlign w:val="bottom"/>
            <w:hideMark/>
          </w:tcPr>
          <w:p w:rsidR="0026360E" w:rsidRPr="00883EC9" w:rsidRDefault="0026360E" w:rsidP="0026360E"/>
        </w:tc>
        <w:tc>
          <w:tcPr>
            <w:tcW w:w="551" w:type="dxa"/>
            <w:tcBorders>
              <w:top w:val="nil"/>
              <w:left w:val="nil"/>
              <w:bottom w:val="nil"/>
              <w:right w:val="nil"/>
            </w:tcBorders>
            <w:shd w:val="clear" w:color="auto" w:fill="auto"/>
            <w:noWrap/>
            <w:vAlign w:val="bottom"/>
            <w:hideMark/>
          </w:tcPr>
          <w:p w:rsidR="0026360E" w:rsidRPr="00883EC9" w:rsidRDefault="0026360E" w:rsidP="0026360E"/>
        </w:tc>
        <w:tc>
          <w:tcPr>
            <w:tcW w:w="896" w:type="dxa"/>
            <w:gridSpan w:val="2"/>
            <w:tcBorders>
              <w:top w:val="nil"/>
              <w:left w:val="nil"/>
              <w:bottom w:val="nil"/>
              <w:right w:val="nil"/>
            </w:tcBorders>
            <w:shd w:val="clear" w:color="auto" w:fill="auto"/>
            <w:noWrap/>
            <w:vAlign w:val="bottom"/>
            <w:hideMark/>
          </w:tcPr>
          <w:p w:rsidR="0026360E" w:rsidRPr="00883EC9" w:rsidRDefault="0026360E" w:rsidP="0026360E"/>
        </w:tc>
      </w:tr>
      <w:tr w:rsidR="0026360E" w:rsidRPr="00883EC9" w:rsidTr="00883E96">
        <w:trPr>
          <w:gridAfter w:val="1"/>
          <w:wAfter w:w="214" w:type="dxa"/>
          <w:trHeight w:val="80"/>
        </w:trPr>
        <w:tc>
          <w:tcPr>
            <w:tcW w:w="3496"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 xml:space="preserve">   gerincvezetéken</w:t>
            </w:r>
          </w:p>
        </w:tc>
        <w:tc>
          <w:tcPr>
            <w:tcW w:w="899" w:type="dxa"/>
            <w:tcBorders>
              <w:top w:val="nil"/>
              <w:left w:val="nil"/>
              <w:bottom w:val="nil"/>
              <w:right w:val="nil"/>
            </w:tcBorders>
            <w:shd w:val="clear" w:color="auto" w:fill="auto"/>
            <w:noWrap/>
            <w:vAlign w:val="bottom"/>
            <w:hideMark/>
          </w:tcPr>
          <w:p w:rsidR="0026360E" w:rsidRPr="00883EC9" w:rsidRDefault="0026360E" w:rsidP="0026360E">
            <w:pPr>
              <w:jc w:val="right"/>
              <w:rPr>
                <w:sz w:val="23"/>
                <w:szCs w:val="23"/>
              </w:rPr>
            </w:pPr>
            <w:r w:rsidRPr="00883EC9">
              <w:rPr>
                <w:sz w:val="23"/>
                <w:szCs w:val="23"/>
              </w:rPr>
              <w:t>117</w:t>
            </w: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db</w:t>
            </w:r>
          </w:p>
        </w:tc>
        <w:tc>
          <w:tcPr>
            <w:tcW w:w="1113" w:type="dxa"/>
            <w:gridSpan w:val="2"/>
            <w:tcBorders>
              <w:top w:val="nil"/>
              <w:left w:val="nil"/>
              <w:bottom w:val="nil"/>
              <w:right w:val="nil"/>
            </w:tcBorders>
            <w:shd w:val="clear" w:color="auto" w:fill="auto"/>
            <w:noWrap/>
            <w:vAlign w:val="bottom"/>
            <w:hideMark/>
          </w:tcPr>
          <w:p w:rsidR="0026360E" w:rsidRPr="00883EC9" w:rsidRDefault="0026360E" w:rsidP="0026360E">
            <w:pPr>
              <w:jc w:val="right"/>
              <w:rPr>
                <w:sz w:val="23"/>
                <w:szCs w:val="23"/>
              </w:rPr>
            </w:pPr>
            <w:r w:rsidRPr="00883EC9">
              <w:rPr>
                <w:sz w:val="23"/>
                <w:szCs w:val="23"/>
              </w:rPr>
              <w:t>172</w:t>
            </w: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db</w:t>
            </w:r>
          </w:p>
        </w:tc>
        <w:tc>
          <w:tcPr>
            <w:tcW w:w="896" w:type="dxa"/>
            <w:gridSpan w:val="2"/>
            <w:tcBorders>
              <w:top w:val="nil"/>
              <w:left w:val="nil"/>
              <w:bottom w:val="nil"/>
              <w:right w:val="nil"/>
            </w:tcBorders>
            <w:shd w:val="clear" w:color="auto" w:fill="auto"/>
            <w:noWrap/>
            <w:vAlign w:val="bottom"/>
            <w:hideMark/>
          </w:tcPr>
          <w:p w:rsidR="0026360E" w:rsidRPr="00883EC9" w:rsidRDefault="0026360E" w:rsidP="0026360E">
            <w:pPr>
              <w:jc w:val="right"/>
              <w:rPr>
                <w:sz w:val="23"/>
                <w:szCs w:val="23"/>
              </w:rPr>
            </w:pPr>
            <w:r w:rsidRPr="00883EC9">
              <w:rPr>
                <w:sz w:val="23"/>
                <w:szCs w:val="23"/>
              </w:rPr>
              <w:t>147,0%</w:t>
            </w:r>
          </w:p>
        </w:tc>
      </w:tr>
      <w:tr w:rsidR="0026360E" w:rsidRPr="00883EC9" w:rsidTr="00883E96">
        <w:trPr>
          <w:gridAfter w:val="1"/>
          <w:wAfter w:w="214" w:type="dxa"/>
          <w:trHeight w:val="160"/>
        </w:trPr>
        <w:tc>
          <w:tcPr>
            <w:tcW w:w="3496"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 xml:space="preserve">   bekötővezetéken</w:t>
            </w:r>
          </w:p>
        </w:tc>
        <w:tc>
          <w:tcPr>
            <w:tcW w:w="899" w:type="dxa"/>
            <w:tcBorders>
              <w:top w:val="nil"/>
              <w:left w:val="nil"/>
              <w:bottom w:val="nil"/>
              <w:right w:val="nil"/>
            </w:tcBorders>
            <w:shd w:val="clear" w:color="auto" w:fill="auto"/>
            <w:noWrap/>
            <w:vAlign w:val="bottom"/>
            <w:hideMark/>
          </w:tcPr>
          <w:p w:rsidR="0026360E" w:rsidRPr="00883EC9" w:rsidRDefault="0026360E" w:rsidP="0026360E">
            <w:pPr>
              <w:jc w:val="right"/>
              <w:rPr>
                <w:sz w:val="23"/>
                <w:szCs w:val="23"/>
              </w:rPr>
            </w:pPr>
            <w:r w:rsidRPr="00883EC9">
              <w:rPr>
                <w:sz w:val="23"/>
                <w:szCs w:val="23"/>
              </w:rPr>
              <w:t>644</w:t>
            </w: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db</w:t>
            </w:r>
          </w:p>
        </w:tc>
        <w:tc>
          <w:tcPr>
            <w:tcW w:w="1113" w:type="dxa"/>
            <w:gridSpan w:val="2"/>
            <w:tcBorders>
              <w:top w:val="nil"/>
              <w:left w:val="nil"/>
              <w:bottom w:val="nil"/>
              <w:right w:val="nil"/>
            </w:tcBorders>
            <w:shd w:val="clear" w:color="auto" w:fill="auto"/>
            <w:noWrap/>
            <w:vAlign w:val="bottom"/>
            <w:hideMark/>
          </w:tcPr>
          <w:p w:rsidR="0026360E" w:rsidRPr="00883EC9" w:rsidRDefault="0026360E" w:rsidP="0026360E">
            <w:pPr>
              <w:jc w:val="right"/>
              <w:rPr>
                <w:sz w:val="23"/>
                <w:szCs w:val="23"/>
              </w:rPr>
            </w:pPr>
            <w:r w:rsidRPr="00883EC9">
              <w:rPr>
                <w:sz w:val="23"/>
                <w:szCs w:val="23"/>
              </w:rPr>
              <w:t>767</w:t>
            </w: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db</w:t>
            </w:r>
          </w:p>
        </w:tc>
        <w:tc>
          <w:tcPr>
            <w:tcW w:w="896" w:type="dxa"/>
            <w:gridSpan w:val="2"/>
            <w:tcBorders>
              <w:top w:val="nil"/>
              <w:left w:val="nil"/>
              <w:bottom w:val="nil"/>
              <w:right w:val="nil"/>
            </w:tcBorders>
            <w:shd w:val="clear" w:color="auto" w:fill="auto"/>
            <w:noWrap/>
            <w:vAlign w:val="bottom"/>
            <w:hideMark/>
          </w:tcPr>
          <w:p w:rsidR="0026360E" w:rsidRPr="00883EC9" w:rsidRDefault="0026360E" w:rsidP="0026360E">
            <w:pPr>
              <w:jc w:val="right"/>
              <w:rPr>
                <w:sz w:val="23"/>
                <w:szCs w:val="23"/>
              </w:rPr>
            </w:pPr>
            <w:r w:rsidRPr="00883EC9">
              <w:rPr>
                <w:sz w:val="23"/>
                <w:szCs w:val="23"/>
              </w:rPr>
              <w:t>119,1%</w:t>
            </w:r>
          </w:p>
        </w:tc>
      </w:tr>
      <w:tr w:rsidR="0026360E" w:rsidRPr="00883EC9" w:rsidTr="00883E96">
        <w:trPr>
          <w:gridAfter w:val="1"/>
          <w:wAfter w:w="214" w:type="dxa"/>
          <w:trHeight w:val="80"/>
        </w:trPr>
        <w:tc>
          <w:tcPr>
            <w:tcW w:w="3496" w:type="dxa"/>
            <w:tcBorders>
              <w:top w:val="nil"/>
              <w:left w:val="nil"/>
              <w:bottom w:val="nil"/>
              <w:right w:val="nil"/>
            </w:tcBorders>
            <w:shd w:val="clear" w:color="auto" w:fill="auto"/>
            <w:noWrap/>
            <w:vAlign w:val="bottom"/>
            <w:hideMark/>
          </w:tcPr>
          <w:p w:rsidR="0026360E" w:rsidRPr="00883EC9" w:rsidRDefault="0026360E" w:rsidP="0026360E">
            <w:pPr>
              <w:jc w:val="right"/>
              <w:rPr>
                <w:sz w:val="16"/>
                <w:szCs w:val="16"/>
              </w:rPr>
            </w:pPr>
          </w:p>
        </w:tc>
        <w:tc>
          <w:tcPr>
            <w:tcW w:w="899" w:type="dxa"/>
            <w:tcBorders>
              <w:top w:val="nil"/>
              <w:left w:val="nil"/>
              <w:bottom w:val="nil"/>
              <w:right w:val="nil"/>
            </w:tcBorders>
            <w:shd w:val="clear" w:color="auto" w:fill="auto"/>
            <w:noWrap/>
            <w:vAlign w:val="bottom"/>
            <w:hideMark/>
          </w:tcPr>
          <w:p w:rsidR="0026360E" w:rsidRPr="00883EC9" w:rsidRDefault="0026360E" w:rsidP="0026360E">
            <w:pPr>
              <w:jc w:val="both"/>
              <w:rPr>
                <w:sz w:val="16"/>
                <w:szCs w:val="16"/>
              </w:rPr>
            </w:pP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right"/>
              <w:rPr>
                <w:sz w:val="16"/>
                <w:szCs w:val="16"/>
              </w:rPr>
            </w:pPr>
          </w:p>
        </w:tc>
        <w:tc>
          <w:tcPr>
            <w:tcW w:w="1113" w:type="dxa"/>
            <w:gridSpan w:val="2"/>
            <w:tcBorders>
              <w:top w:val="nil"/>
              <w:left w:val="nil"/>
              <w:bottom w:val="nil"/>
              <w:right w:val="nil"/>
            </w:tcBorders>
            <w:shd w:val="clear" w:color="auto" w:fill="auto"/>
            <w:noWrap/>
            <w:vAlign w:val="bottom"/>
            <w:hideMark/>
          </w:tcPr>
          <w:p w:rsidR="0026360E" w:rsidRPr="00883EC9" w:rsidRDefault="0026360E" w:rsidP="0026360E">
            <w:pPr>
              <w:jc w:val="both"/>
              <w:rPr>
                <w:sz w:val="16"/>
                <w:szCs w:val="16"/>
              </w:rPr>
            </w:pP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right"/>
              <w:rPr>
                <w:sz w:val="16"/>
                <w:szCs w:val="16"/>
              </w:rPr>
            </w:pPr>
          </w:p>
        </w:tc>
        <w:tc>
          <w:tcPr>
            <w:tcW w:w="896" w:type="dxa"/>
            <w:gridSpan w:val="2"/>
            <w:tcBorders>
              <w:top w:val="nil"/>
              <w:left w:val="nil"/>
              <w:bottom w:val="nil"/>
              <w:right w:val="nil"/>
            </w:tcBorders>
            <w:shd w:val="clear" w:color="auto" w:fill="auto"/>
            <w:noWrap/>
            <w:vAlign w:val="bottom"/>
            <w:hideMark/>
          </w:tcPr>
          <w:p w:rsidR="0026360E" w:rsidRPr="00883EC9" w:rsidRDefault="0026360E" w:rsidP="0026360E">
            <w:pPr>
              <w:jc w:val="both"/>
              <w:rPr>
                <w:sz w:val="16"/>
                <w:szCs w:val="16"/>
              </w:rPr>
            </w:pPr>
          </w:p>
        </w:tc>
      </w:tr>
      <w:tr w:rsidR="0026360E" w:rsidRPr="00883EC9" w:rsidTr="00883E96">
        <w:trPr>
          <w:gridAfter w:val="1"/>
          <w:wAfter w:w="214" w:type="dxa"/>
          <w:trHeight w:val="300"/>
        </w:trPr>
        <w:tc>
          <w:tcPr>
            <w:tcW w:w="3496" w:type="dxa"/>
            <w:tcBorders>
              <w:top w:val="nil"/>
              <w:left w:val="nil"/>
              <w:bottom w:val="nil"/>
              <w:right w:val="nil"/>
            </w:tcBorders>
            <w:shd w:val="clear" w:color="auto" w:fill="auto"/>
            <w:noWrap/>
            <w:vAlign w:val="bottom"/>
            <w:hideMark/>
          </w:tcPr>
          <w:p w:rsidR="0026360E" w:rsidRPr="00883EC9" w:rsidRDefault="0026360E" w:rsidP="0026360E">
            <w:pPr>
              <w:jc w:val="both"/>
              <w:rPr>
                <w:i/>
                <w:iCs/>
                <w:sz w:val="23"/>
                <w:szCs w:val="23"/>
              </w:rPr>
            </w:pPr>
            <w:r w:rsidRPr="00883EC9">
              <w:rPr>
                <w:i/>
                <w:iCs/>
                <w:sz w:val="23"/>
                <w:szCs w:val="23"/>
              </w:rPr>
              <w:t xml:space="preserve">Szennyvíz hálózat </w:t>
            </w:r>
          </w:p>
        </w:tc>
        <w:tc>
          <w:tcPr>
            <w:tcW w:w="899" w:type="dxa"/>
            <w:tcBorders>
              <w:top w:val="nil"/>
              <w:left w:val="nil"/>
              <w:bottom w:val="nil"/>
              <w:right w:val="nil"/>
            </w:tcBorders>
            <w:shd w:val="clear" w:color="auto" w:fill="auto"/>
            <w:noWrap/>
            <w:vAlign w:val="bottom"/>
            <w:hideMark/>
          </w:tcPr>
          <w:p w:rsidR="0026360E" w:rsidRPr="00883EC9" w:rsidRDefault="0026360E" w:rsidP="0026360E">
            <w:pPr>
              <w:jc w:val="both"/>
              <w:rPr>
                <w:i/>
                <w:iCs/>
                <w:sz w:val="23"/>
                <w:szCs w:val="23"/>
              </w:rPr>
            </w:pP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right"/>
            </w:pPr>
          </w:p>
        </w:tc>
        <w:tc>
          <w:tcPr>
            <w:tcW w:w="1113" w:type="dxa"/>
            <w:gridSpan w:val="2"/>
            <w:tcBorders>
              <w:top w:val="nil"/>
              <w:left w:val="nil"/>
              <w:bottom w:val="nil"/>
              <w:right w:val="nil"/>
            </w:tcBorders>
            <w:shd w:val="clear" w:color="auto" w:fill="auto"/>
            <w:noWrap/>
            <w:vAlign w:val="bottom"/>
            <w:hideMark/>
          </w:tcPr>
          <w:p w:rsidR="0026360E" w:rsidRPr="00883EC9" w:rsidRDefault="0026360E" w:rsidP="0026360E">
            <w:pPr>
              <w:jc w:val="both"/>
            </w:pP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right"/>
            </w:pPr>
          </w:p>
        </w:tc>
        <w:tc>
          <w:tcPr>
            <w:tcW w:w="896" w:type="dxa"/>
            <w:gridSpan w:val="2"/>
            <w:tcBorders>
              <w:top w:val="nil"/>
              <w:left w:val="nil"/>
              <w:bottom w:val="nil"/>
              <w:right w:val="nil"/>
            </w:tcBorders>
            <w:shd w:val="clear" w:color="auto" w:fill="auto"/>
            <w:noWrap/>
            <w:vAlign w:val="bottom"/>
            <w:hideMark/>
          </w:tcPr>
          <w:p w:rsidR="0026360E" w:rsidRPr="00883EC9" w:rsidRDefault="0026360E" w:rsidP="0026360E">
            <w:pPr>
              <w:jc w:val="both"/>
            </w:pPr>
          </w:p>
        </w:tc>
      </w:tr>
      <w:tr w:rsidR="0026360E" w:rsidRPr="00883EC9" w:rsidTr="00883E96">
        <w:trPr>
          <w:gridAfter w:val="1"/>
          <w:wAfter w:w="214" w:type="dxa"/>
          <w:trHeight w:val="300"/>
        </w:trPr>
        <w:tc>
          <w:tcPr>
            <w:tcW w:w="3496"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Dugulások száma</w:t>
            </w:r>
          </w:p>
        </w:tc>
        <w:tc>
          <w:tcPr>
            <w:tcW w:w="899"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right"/>
            </w:pPr>
          </w:p>
        </w:tc>
        <w:tc>
          <w:tcPr>
            <w:tcW w:w="1113" w:type="dxa"/>
            <w:gridSpan w:val="2"/>
            <w:tcBorders>
              <w:top w:val="nil"/>
              <w:left w:val="nil"/>
              <w:bottom w:val="nil"/>
              <w:right w:val="nil"/>
            </w:tcBorders>
            <w:shd w:val="clear" w:color="auto" w:fill="auto"/>
            <w:noWrap/>
            <w:vAlign w:val="bottom"/>
            <w:hideMark/>
          </w:tcPr>
          <w:p w:rsidR="0026360E" w:rsidRPr="00883EC9" w:rsidRDefault="0026360E" w:rsidP="0026360E">
            <w:pPr>
              <w:jc w:val="both"/>
            </w:pP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right"/>
            </w:pPr>
          </w:p>
        </w:tc>
        <w:tc>
          <w:tcPr>
            <w:tcW w:w="896" w:type="dxa"/>
            <w:gridSpan w:val="2"/>
            <w:tcBorders>
              <w:top w:val="nil"/>
              <w:left w:val="nil"/>
              <w:bottom w:val="nil"/>
              <w:right w:val="nil"/>
            </w:tcBorders>
            <w:shd w:val="clear" w:color="auto" w:fill="auto"/>
            <w:noWrap/>
            <w:vAlign w:val="bottom"/>
            <w:hideMark/>
          </w:tcPr>
          <w:p w:rsidR="0026360E" w:rsidRPr="00883EC9" w:rsidRDefault="0026360E" w:rsidP="0026360E">
            <w:pPr>
              <w:jc w:val="both"/>
            </w:pPr>
          </w:p>
        </w:tc>
      </w:tr>
      <w:tr w:rsidR="0026360E" w:rsidRPr="00883EC9" w:rsidTr="00883E96">
        <w:trPr>
          <w:gridAfter w:val="1"/>
          <w:wAfter w:w="214" w:type="dxa"/>
          <w:trHeight w:val="80"/>
        </w:trPr>
        <w:tc>
          <w:tcPr>
            <w:tcW w:w="3496"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 xml:space="preserve">    gerincvezetéken</w:t>
            </w:r>
          </w:p>
        </w:tc>
        <w:tc>
          <w:tcPr>
            <w:tcW w:w="899" w:type="dxa"/>
            <w:tcBorders>
              <w:top w:val="nil"/>
              <w:left w:val="nil"/>
              <w:bottom w:val="nil"/>
              <w:right w:val="nil"/>
            </w:tcBorders>
            <w:shd w:val="clear" w:color="auto" w:fill="auto"/>
            <w:noWrap/>
            <w:vAlign w:val="bottom"/>
            <w:hideMark/>
          </w:tcPr>
          <w:p w:rsidR="0026360E" w:rsidRPr="00883EC9" w:rsidRDefault="0026360E" w:rsidP="0026360E">
            <w:pPr>
              <w:jc w:val="right"/>
              <w:rPr>
                <w:sz w:val="23"/>
                <w:szCs w:val="23"/>
              </w:rPr>
            </w:pPr>
            <w:r w:rsidRPr="00883EC9">
              <w:rPr>
                <w:sz w:val="23"/>
                <w:szCs w:val="23"/>
              </w:rPr>
              <w:t>149</w:t>
            </w: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db</w:t>
            </w:r>
          </w:p>
        </w:tc>
        <w:tc>
          <w:tcPr>
            <w:tcW w:w="1113" w:type="dxa"/>
            <w:gridSpan w:val="2"/>
            <w:tcBorders>
              <w:top w:val="nil"/>
              <w:left w:val="nil"/>
              <w:bottom w:val="nil"/>
              <w:right w:val="nil"/>
            </w:tcBorders>
            <w:shd w:val="clear" w:color="auto" w:fill="auto"/>
            <w:noWrap/>
            <w:vAlign w:val="bottom"/>
            <w:hideMark/>
          </w:tcPr>
          <w:p w:rsidR="0026360E" w:rsidRPr="00883EC9" w:rsidRDefault="0026360E" w:rsidP="0026360E">
            <w:pPr>
              <w:jc w:val="right"/>
              <w:rPr>
                <w:sz w:val="23"/>
                <w:szCs w:val="23"/>
              </w:rPr>
            </w:pPr>
            <w:r w:rsidRPr="00883EC9">
              <w:rPr>
                <w:sz w:val="23"/>
                <w:szCs w:val="23"/>
              </w:rPr>
              <w:t>156</w:t>
            </w: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db</w:t>
            </w:r>
          </w:p>
        </w:tc>
        <w:tc>
          <w:tcPr>
            <w:tcW w:w="896" w:type="dxa"/>
            <w:gridSpan w:val="2"/>
            <w:tcBorders>
              <w:top w:val="nil"/>
              <w:left w:val="nil"/>
              <w:bottom w:val="nil"/>
              <w:right w:val="nil"/>
            </w:tcBorders>
            <w:shd w:val="clear" w:color="auto" w:fill="auto"/>
            <w:noWrap/>
            <w:vAlign w:val="bottom"/>
            <w:hideMark/>
          </w:tcPr>
          <w:p w:rsidR="0026360E" w:rsidRPr="00883EC9" w:rsidRDefault="0026360E" w:rsidP="0026360E">
            <w:pPr>
              <w:jc w:val="right"/>
              <w:rPr>
                <w:sz w:val="23"/>
                <w:szCs w:val="23"/>
              </w:rPr>
            </w:pPr>
            <w:r w:rsidRPr="00883EC9">
              <w:rPr>
                <w:sz w:val="23"/>
                <w:szCs w:val="23"/>
              </w:rPr>
              <w:t>104,7%</w:t>
            </w:r>
          </w:p>
        </w:tc>
      </w:tr>
      <w:tr w:rsidR="0026360E" w:rsidRPr="00883EC9" w:rsidTr="00883E96">
        <w:trPr>
          <w:gridAfter w:val="1"/>
          <w:wAfter w:w="214" w:type="dxa"/>
          <w:trHeight w:val="80"/>
        </w:trPr>
        <w:tc>
          <w:tcPr>
            <w:tcW w:w="3496"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 xml:space="preserve">    bekötővezetéken</w:t>
            </w:r>
          </w:p>
        </w:tc>
        <w:tc>
          <w:tcPr>
            <w:tcW w:w="899" w:type="dxa"/>
            <w:tcBorders>
              <w:top w:val="nil"/>
              <w:left w:val="nil"/>
              <w:bottom w:val="nil"/>
              <w:right w:val="nil"/>
            </w:tcBorders>
            <w:shd w:val="clear" w:color="auto" w:fill="auto"/>
            <w:noWrap/>
            <w:vAlign w:val="bottom"/>
            <w:hideMark/>
          </w:tcPr>
          <w:p w:rsidR="0026360E" w:rsidRPr="00883EC9" w:rsidRDefault="0026360E" w:rsidP="0026360E">
            <w:pPr>
              <w:jc w:val="right"/>
              <w:rPr>
                <w:sz w:val="23"/>
                <w:szCs w:val="23"/>
              </w:rPr>
            </w:pPr>
            <w:r w:rsidRPr="00883EC9">
              <w:rPr>
                <w:sz w:val="23"/>
                <w:szCs w:val="23"/>
              </w:rPr>
              <w:t>251</w:t>
            </w: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db</w:t>
            </w:r>
          </w:p>
        </w:tc>
        <w:tc>
          <w:tcPr>
            <w:tcW w:w="1113" w:type="dxa"/>
            <w:gridSpan w:val="2"/>
            <w:tcBorders>
              <w:top w:val="nil"/>
              <w:left w:val="nil"/>
              <w:bottom w:val="nil"/>
              <w:right w:val="nil"/>
            </w:tcBorders>
            <w:shd w:val="clear" w:color="auto" w:fill="auto"/>
            <w:noWrap/>
            <w:vAlign w:val="bottom"/>
            <w:hideMark/>
          </w:tcPr>
          <w:p w:rsidR="0026360E" w:rsidRPr="00883EC9" w:rsidRDefault="0026360E" w:rsidP="0026360E">
            <w:pPr>
              <w:jc w:val="right"/>
              <w:rPr>
                <w:sz w:val="23"/>
                <w:szCs w:val="23"/>
              </w:rPr>
            </w:pPr>
            <w:r w:rsidRPr="00883EC9">
              <w:rPr>
                <w:sz w:val="23"/>
                <w:szCs w:val="23"/>
              </w:rPr>
              <w:t>244</w:t>
            </w: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db</w:t>
            </w:r>
          </w:p>
        </w:tc>
        <w:tc>
          <w:tcPr>
            <w:tcW w:w="896" w:type="dxa"/>
            <w:gridSpan w:val="2"/>
            <w:tcBorders>
              <w:top w:val="nil"/>
              <w:left w:val="nil"/>
              <w:bottom w:val="nil"/>
              <w:right w:val="nil"/>
            </w:tcBorders>
            <w:shd w:val="clear" w:color="auto" w:fill="auto"/>
            <w:noWrap/>
            <w:vAlign w:val="bottom"/>
            <w:hideMark/>
          </w:tcPr>
          <w:p w:rsidR="0026360E" w:rsidRPr="00883EC9" w:rsidRDefault="0026360E" w:rsidP="0026360E">
            <w:pPr>
              <w:jc w:val="right"/>
              <w:rPr>
                <w:sz w:val="23"/>
                <w:szCs w:val="23"/>
              </w:rPr>
            </w:pPr>
            <w:r w:rsidRPr="00883EC9">
              <w:rPr>
                <w:sz w:val="23"/>
                <w:szCs w:val="23"/>
              </w:rPr>
              <w:t>97,2%</w:t>
            </w:r>
          </w:p>
        </w:tc>
      </w:tr>
      <w:tr w:rsidR="0026360E" w:rsidRPr="00883EC9" w:rsidTr="00883E96">
        <w:trPr>
          <w:gridAfter w:val="1"/>
          <w:wAfter w:w="214" w:type="dxa"/>
          <w:trHeight w:val="300"/>
        </w:trPr>
        <w:tc>
          <w:tcPr>
            <w:tcW w:w="3496"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Szennyvízátemelő meghibásodások</w:t>
            </w:r>
          </w:p>
        </w:tc>
        <w:tc>
          <w:tcPr>
            <w:tcW w:w="899"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right"/>
            </w:pPr>
          </w:p>
        </w:tc>
        <w:tc>
          <w:tcPr>
            <w:tcW w:w="1113" w:type="dxa"/>
            <w:gridSpan w:val="2"/>
            <w:tcBorders>
              <w:top w:val="nil"/>
              <w:left w:val="nil"/>
              <w:bottom w:val="nil"/>
              <w:right w:val="nil"/>
            </w:tcBorders>
            <w:shd w:val="clear" w:color="auto" w:fill="auto"/>
            <w:noWrap/>
            <w:vAlign w:val="bottom"/>
            <w:hideMark/>
          </w:tcPr>
          <w:p w:rsidR="0026360E" w:rsidRPr="00883EC9" w:rsidRDefault="0026360E" w:rsidP="0026360E">
            <w:pPr>
              <w:jc w:val="both"/>
            </w:pP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right"/>
            </w:pPr>
          </w:p>
        </w:tc>
        <w:tc>
          <w:tcPr>
            <w:tcW w:w="896" w:type="dxa"/>
            <w:gridSpan w:val="2"/>
            <w:tcBorders>
              <w:top w:val="nil"/>
              <w:left w:val="nil"/>
              <w:bottom w:val="nil"/>
              <w:right w:val="nil"/>
            </w:tcBorders>
            <w:shd w:val="clear" w:color="auto" w:fill="auto"/>
            <w:noWrap/>
            <w:vAlign w:val="bottom"/>
            <w:hideMark/>
          </w:tcPr>
          <w:p w:rsidR="0026360E" w:rsidRPr="00883EC9" w:rsidRDefault="0026360E" w:rsidP="0026360E">
            <w:pPr>
              <w:jc w:val="both"/>
            </w:pPr>
          </w:p>
        </w:tc>
      </w:tr>
      <w:tr w:rsidR="0026360E" w:rsidRPr="00883EC9" w:rsidTr="00883E96">
        <w:trPr>
          <w:gridAfter w:val="1"/>
          <w:wAfter w:w="214" w:type="dxa"/>
          <w:trHeight w:val="80"/>
        </w:trPr>
        <w:tc>
          <w:tcPr>
            <w:tcW w:w="3496"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 xml:space="preserve">    dugulás, gépészeti beavatkozás</w:t>
            </w:r>
          </w:p>
        </w:tc>
        <w:tc>
          <w:tcPr>
            <w:tcW w:w="899" w:type="dxa"/>
            <w:tcBorders>
              <w:top w:val="nil"/>
              <w:left w:val="nil"/>
              <w:bottom w:val="nil"/>
              <w:right w:val="nil"/>
            </w:tcBorders>
            <w:shd w:val="clear" w:color="auto" w:fill="auto"/>
            <w:noWrap/>
            <w:vAlign w:val="bottom"/>
            <w:hideMark/>
          </w:tcPr>
          <w:p w:rsidR="0026360E" w:rsidRPr="00883EC9" w:rsidRDefault="00061129" w:rsidP="0026360E">
            <w:pPr>
              <w:jc w:val="right"/>
              <w:rPr>
                <w:sz w:val="23"/>
                <w:szCs w:val="23"/>
              </w:rPr>
            </w:pPr>
            <w:r w:rsidRPr="00883EC9">
              <w:rPr>
                <w:sz w:val="23"/>
                <w:szCs w:val="23"/>
              </w:rPr>
              <w:t>1 738</w:t>
            </w: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db</w:t>
            </w:r>
          </w:p>
        </w:tc>
        <w:tc>
          <w:tcPr>
            <w:tcW w:w="1113" w:type="dxa"/>
            <w:gridSpan w:val="2"/>
            <w:tcBorders>
              <w:top w:val="nil"/>
              <w:left w:val="nil"/>
              <w:bottom w:val="nil"/>
              <w:right w:val="nil"/>
            </w:tcBorders>
            <w:shd w:val="clear" w:color="auto" w:fill="auto"/>
            <w:noWrap/>
            <w:vAlign w:val="bottom"/>
            <w:hideMark/>
          </w:tcPr>
          <w:p w:rsidR="0026360E" w:rsidRPr="00883EC9" w:rsidRDefault="00061129" w:rsidP="0026360E">
            <w:pPr>
              <w:jc w:val="right"/>
              <w:rPr>
                <w:sz w:val="23"/>
                <w:szCs w:val="23"/>
              </w:rPr>
            </w:pPr>
            <w:r w:rsidRPr="00883EC9">
              <w:rPr>
                <w:sz w:val="23"/>
                <w:szCs w:val="23"/>
              </w:rPr>
              <w:t>1 307</w:t>
            </w: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db</w:t>
            </w:r>
          </w:p>
        </w:tc>
        <w:tc>
          <w:tcPr>
            <w:tcW w:w="896" w:type="dxa"/>
            <w:gridSpan w:val="2"/>
            <w:tcBorders>
              <w:top w:val="nil"/>
              <w:left w:val="nil"/>
              <w:bottom w:val="nil"/>
              <w:right w:val="nil"/>
            </w:tcBorders>
            <w:shd w:val="clear" w:color="auto" w:fill="auto"/>
            <w:noWrap/>
            <w:vAlign w:val="bottom"/>
            <w:hideMark/>
          </w:tcPr>
          <w:p w:rsidR="0026360E" w:rsidRPr="00883EC9" w:rsidRDefault="003271F0" w:rsidP="0026360E">
            <w:pPr>
              <w:jc w:val="right"/>
              <w:rPr>
                <w:sz w:val="23"/>
                <w:szCs w:val="23"/>
              </w:rPr>
            </w:pPr>
            <w:r w:rsidRPr="00883EC9">
              <w:rPr>
                <w:sz w:val="23"/>
                <w:szCs w:val="23"/>
              </w:rPr>
              <w:t>75</w:t>
            </w:r>
            <w:r w:rsidR="0026360E" w:rsidRPr="00883EC9">
              <w:rPr>
                <w:sz w:val="23"/>
                <w:szCs w:val="23"/>
              </w:rPr>
              <w:t>,2%</w:t>
            </w:r>
          </w:p>
        </w:tc>
      </w:tr>
      <w:tr w:rsidR="0026360E" w:rsidRPr="00883EC9" w:rsidTr="00883E96">
        <w:trPr>
          <w:gridAfter w:val="1"/>
          <w:wAfter w:w="214" w:type="dxa"/>
          <w:trHeight w:val="80"/>
        </w:trPr>
        <w:tc>
          <w:tcPr>
            <w:tcW w:w="3496"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 xml:space="preserve">    villamos és automatika</w:t>
            </w:r>
          </w:p>
        </w:tc>
        <w:tc>
          <w:tcPr>
            <w:tcW w:w="899" w:type="dxa"/>
            <w:tcBorders>
              <w:top w:val="nil"/>
              <w:left w:val="nil"/>
              <w:bottom w:val="nil"/>
              <w:right w:val="nil"/>
            </w:tcBorders>
            <w:shd w:val="clear" w:color="auto" w:fill="auto"/>
            <w:noWrap/>
            <w:vAlign w:val="bottom"/>
            <w:hideMark/>
          </w:tcPr>
          <w:p w:rsidR="0026360E" w:rsidRPr="00883EC9" w:rsidRDefault="00061129" w:rsidP="0026360E">
            <w:pPr>
              <w:jc w:val="right"/>
              <w:rPr>
                <w:sz w:val="23"/>
                <w:szCs w:val="23"/>
              </w:rPr>
            </w:pPr>
            <w:r w:rsidRPr="00883EC9">
              <w:rPr>
                <w:sz w:val="23"/>
                <w:szCs w:val="23"/>
              </w:rPr>
              <w:t>785</w:t>
            </w: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db</w:t>
            </w:r>
          </w:p>
        </w:tc>
        <w:tc>
          <w:tcPr>
            <w:tcW w:w="1113" w:type="dxa"/>
            <w:gridSpan w:val="2"/>
            <w:tcBorders>
              <w:top w:val="nil"/>
              <w:left w:val="nil"/>
              <w:bottom w:val="nil"/>
              <w:right w:val="nil"/>
            </w:tcBorders>
            <w:shd w:val="clear" w:color="auto" w:fill="auto"/>
            <w:noWrap/>
            <w:vAlign w:val="bottom"/>
            <w:hideMark/>
          </w:tcPr>
          <w:p w:rsidR="0026360E" w:rsidRPr="00883EC9" w:rsidRDefault="00061129" w:rsidP="0026360E">
            <w:pPr>
              <w:jc w:val="right"/>
              <w:rPr>
                <w:sz w:val="23"/>
                <w:szCs w:val="23"/>
              </w:rPr>
            </w:pPr>
            <w:r w:rsidRPr="00883EC9">
              <w:rPr>
                <w:sz w:val="23"/>
                <w:szCs w:val="23"/>
              </w:rPr>
              <w:t>792</w:t>
            </w:r>
          </w:p>
        </w:tc>
        <w:tc>
          <w:tcPr>
            <w:tcW w:w="551" w:type="dxa"/>
            <w:tcBorders>
              <w:top w:val="nil"/>
              <w:left w:val="nil"/>
              <w:bottom w:val="nil"/>
              <w:right w:val="nil"/>
            </w:tcBorders>
            <w:shd w:val="clear" w:color="auto" w:fill="auto"/>
            <w:noWrap/>
            <w:vAlign w:val="bottom"/>
            <w:hideMark/>
          </w:tcPr>
          <w:p w:rsidR="0026360E" w:rsidRPr="00883EC9" w:rsidRDefault="0026360E" w:rsidP="0026360E">
            <w:pPr>
              <w:jc w:val="both"/>
              <w:rPr>
                <w:sz w:val="23"/>
                <w:szCs w:val="23"/>
              </w:rPr>
            </w:pPr>
            <w:r w:rsidRPr="00883EC9">
              <w:rPr>
                <w:sz w:val="23"/>
                <w:szCs w:val="23"/>
              </w:rPr>
              <w:t>db</w:t>
            </w:r>
          </w:p>
        </w:tc>
        <w:tc>
          <w:tcPr>
            <w:tcW w:w="896" w:type="dxa"/>
            <w:gridSpan w:val="2"/>
            <w:tcBorders>
              <w:top w:val="nil"/>
              <w:left w:val="nil"/>
              <w:bottom w:val="nil"/>
              <w:right w:val="nil"/>
            </w:tcBorders>
            <w:shd w:val="clear" w:color="auto" w:fill="auto"/>
            <w:noWrap/>
            <w:vAlign w:val="bottom"/>
            <w:hideMark/>
          </w:tcPr>
          <w:p w:rsidR="0026360E" w:rsidRPr="00883EC9" w:rsidRDefault="003271F0" w:rsidP="0026360E">
            <w:pPr>
              <w:jc w:val="right"/>
              <w:rPr>
                <w:sz w:val="23"/>
                <w:szCs w:val="23"/>
              </w:rPr>
            </w:pPr>
            <w:r w:rsidRPr="00883EC9">
              <w:rPr>
                <w:sz w:val="23"/>
                <w:szCs w:val="23"/>
              </w:rPr>
              <w:t>100</w:t>
            </w:r>
            <w:r w:rsidR="0026360E" w:rsidRPr="00883EC9">
              <w:rPr>
                <w:sz w:val="23"/>
                <w:szCs w:val="23"/>
              </w:rPr>
              <w:t>,9%</w:t>
            </w:r>
          </w:p>
        </w:tc>
      </w:tr>
    </w:tbl>
    <w:p w:rsidR="0026360E" w:rsidRPr="00883EC9" w:rsidRDefault="0026360E">
      <w:pPr>
        <w:pStyle w:val="Szvegtrzs"/>
        <w:ind w:right="-1"/>
      </w:pPr>
    </w:p>
    <w:p w:rsidR="00E8097E" w:rsidRPr="00F35CCE" w:rsidRDefault="00E8097E" w:rsidP="007669B3">
      <w:pPr>
        <w:pStyle w:val="Szvegtrzs"/>
        <w:ind w:right="141"/>
        <w:rPr>
          <w:szCs w:val="24"/>
        </w:rPr>
      </w:pPr>
      <w:r w:rsidRPr="00F35CCE">
        <w:rPr>
          <w:szCs w:val="24"/>
        </w:rPr>
        <w:t xml:space="preserve">A </w:t>
      </w:r>
      <w:r w:rsidRPr="00F35CCE">
        <w:rPr>
          <w:i/>
          <w:iCs/>
          <w:szCs w:val="24"/>
        </w:rPr>
        <w:t>vízhálózaton</w:t>
      </w:r>
      <w:r w:rsidRPr="00F35CCE">
        <w:rPr>
          <w:szCs w:val="24"/>
        </w:rPr>
        <w:t xml:space="preserve"> jelentkezett gerincvezeték meghibásodások nagy része a vas csővezetékek korrodálódásából, valamint az eternit csövek kagylós töréséből és KM-PVC csövek repedéséből </w:t>
      </w:r>
      <w:r w:rsidR="00256C04" w:rsidRPr="00F35CCE">
        <w:rPr>
          <w:szCs w:val="24"/>
        </w:rPr>
        <w:t>ered</w:t>
      </w:r>
      <w:r w:rsidRPr="00F35CCE">
        <w:rPr>
          <w:szCs w:val="24"/>
        </w:rPr>
        <w:t xml:space="preserve">. Ezek oka lehet a vezetékek kora, műszaki állapota, kivitelezés hibái. </w:t>
      </w:r>
    </w:p>
    <w:p w:rsidR="00E8097E" w:rsidRPr="00F35CCE" w:rsidRDefault="00E8097E" w:rsidP="007669B3">
      <w:pPr>
        <w:pStyle w:val="Szvegtrzs"/>
        <w:ind w:right="141"/>
        <w:rPr>
          <w:szCs w:val="24"/>
        </w:rPr>
      </w:pPr>
      <w:r w:rsidRPr="00F35CCE">
        <w:rPr>
          <w:szCs w:val="24"/>
        </w:rPr>
        <w:t xml:space="preserve">A </w:t>
      </w:r>
      <w:r w:rsidRPr="00F35CCE">
        <w:rPr>
          <w:i/>
          <w:iCs/>
          <w:szCs w:val="24"/>
        </w:rPr>
        <w:t>bekötővezetéken</w:t>
      </w:r>
      <w:r w:rsidRPr="00F35CCE">
        <w:rPr>
          <w:szCs w:val="24"/>
        </w:rPr>
        <w:t xml:space="preserve"> bekövetkező meghibásodások</w:t>
      </w:r>
      <w:r w:rsidR="008D5752" w:rsidRPr="00F35CCE">
        <w:rPr>
          <w:szCs w:val="24"/>
        </w:rPr>
        <w:t>at túlnyomórészt</w:t>
      </w:r>
      <w:r w:rsidRPr="00F35CCE">
        <w:rPr>
          <w:szCs w:val="24"/>
        </w:rPr>
        <w:t xml:space="preserve"> az elöregedett horganyzott vezetékek kilyukadás</w:t>
      </w:r>
      <w:r w:rsidR="008D5752" w:rsidRPr="00F35CCE">
        <w:rPr>
          <w:szCs w:val="24"/>
        </w:rPr>
        <w:t>a</w:t>
      </w:r>
      <w:r w:rsidRPr="00F35CCE">
        <w:rPr>
          <w:szCs w:val="24"/>
        </w:rPr>
        <w:t>, régi megfúró idomok és egyéb vas szerelvények korrodálódás</w:t>
      </w:r>
      <w:r w:rsidR="008D5752" w:rsidRPr="00F35CCE">
        <w:rPr>
          <w:szCs w:val="24"/>
        </w:rPr>
        <w:t>a okozza.</w:t>
      </w:r>
      <w:r w:rsidR="000C54FA">
        <w:rPr>
          <w:szCs w:val="24"/>
        </w:rPr>
        <w:t xml:space="preserve"> 2017. I. félévben </w:t>
      </w:r>
      <w:r w:rsidR="00164D46">
        <w:rPr>
          <w:szCs w:val="24"/>
        </w:rPr>
        <w:t xml:space="preserve">az előző időszakhoz képest magasabb volt </w:t>
      </w:r>
      <w:r w:rsidR="00164D46" w:rsidRPr="00883EC9">
        <w:t>a vízmérők, illetve a bekötővezetékek szerelvényeinek fagyás miatt bekövetkezett hib</w:t>
      </w:r>
      <w:r w:rsidR="00164D46">
        <w:t>ája.</w:t>
      </w:r>
    </w:p>
    <w:p w:rsidR="00883E96" w:rsidRPr="00F35CCE" w:rsidRDefault="00E8097E" w:rsidP="007669B3">
      <w:pPr>
        <w:pStyle w:val="Szvegtrzs"/>
        <w:ind w:right="141"/>
        <w:rPr>
          <w:szCs w:val="24"/>
        </w:rPr>
      </w:pPr>
      <w:r w:rsidRPr="00F35CCE">
        <w:rPr>
          <w:szCs w:val="24"/>
        </w:rPr>
        <w:t xml:space="preserve">A váratlan meghibásodások számának csökkentését, illetve ezek megelőzését szolgálják a tervszerű csőcserék. </w:t>
      </w:r>
    </w:p>
    <w:p w:rsidR="00E8097E" w:rsidRPr="00F35CCE" w:rsidRDefault="00E8097E" w:rsidP="007669B3">
      <w:pPr>
        <w:pStyle w:val="Szvegtrzs"/>
        <w:ind w:right="141"/>
        <w:rPr>
          <w:szCs w:val="24"/>
        </w:rPr>
      </w:pPr>
      <w:r w:rsidRPr="00F35CCE">
        <w:rPr>
          <w:szCs w:val="24"/>
        </w:rPr>
        <w:t>A csőtöréseken kívüli egyéb meghibásodások nagy része jellemzően a régi szerelvényeknél fordul elő: a vízmérő aknákban levő szerelvények korrodálódásából, ólom közdarabok kilyukadásából, a tolózárak tömbszelence folyásaiból, tűzcsapok gumi tömítő</w:t>
      </w:r>
      <w:r w:rsidR="00814E2A" w:rsidRPr="00F35CCE">
        <w:rPr>
          <w:szCs w:val="24"/>
        </w:rPr>
        <w:t xml:space="preserve"> </w:t>
      </w:r>
      <w:r w:rsidRPr="00F35CCE">
        <w:rPr>
          <w:szCs w:val="24"/>
        </w:rPr>
        <w:t>felületeinek elhasználódásából ered.</w:t>
      </w:r>
    </w:p>
    <w:p w:rsidR="00D95C32" w:rsidRPr="00F35CCE" w:rsidRDefault="00D95C32" w:rsidP="007669B3">
      <w:pPr>
        <w:pStyle w:val="Szvegtrzs"/>
        <w:ind w:right="141"/>
        <w:rPr>
          <w:szCs w:val="24"/>
        </w:rPr>
      </w:pPr>
      <w:r w:rsidRPr="00F35CCE">
        <w:rPr>
          <w:szCs w:val="24"/>
        </w:rPr>
        <w:t>A gerincvezetéki szerelvényeknél látható nagyobb emelkedés elsősorban tűzcsap meghibásodásokat jelent, amelyek kiküszöbölésére intézkedések történtek (pl. mezőgazdasági vízvételezések szabályozása).</w:t>
      </w:r>
    </w:p>
    <w:p w:rsidR="00B34AF8" w:rsidRPr="00F35CCE" w:rsidRDefault="00B34AF8" w:rsidP="007669B3">
      <w:pPr>
        <w:pStyle w:val="Szvegtrzs"/>
        <w:ind w:right="141"/>
        <w:rPr>
          <w:szCs w:val="24"/>
        </w:rPr>
      </w:pPr>
    </w:p>
    <w:p w:rsidR="007F0EC0" w:rsidRDefault="00406ACF" w:rsidP="007669B3">
      <w:pPr>
        <w:pStyle w:val="Szvegtrzs"/>
        <w:ind w:right="141"/>
        <w:rPr>
          <w:szCs w:val="24"/>
        </w:rPr>
      </w:pPr>
      <w:r w:rsidRPr="00F35CCE">
        <w:rPr>
          <w:szCs w:val="24"/>
        </w:rPr>
        <w:t>A</w:t>
      </w:r>
      <w:r w:rsidR="00F35CCE">
        <w:rPr>
          <w:szCs w:val="24"/>
        </w:rPr>
        <w:t xml:space="preserve"> </w:t>
      </w:r>
      <w:r w:rsidR="00F35CCE" w:rsidRPr="00F35CCE">
        <w:rPr>
          <w:i/>
          <w:szCs w:val="24"/>
        </w:rPr>
        <w:t>szennyvíz</w:t>
      </w:r>
      <w:r w:rsidRPr="00F35CCE">
        <w:rPr>
          <w:i/>
          <w:szCs w:val="24"/>
        </w:rPr>
        <w:t xml:space="preserve"> átemelő </w:t>
      </w:r>
      <w:r w:rsidR="003E2852" w:rsidRPr="00F35CCE">
        <w:rPr>
          <w:i/>
          <w:szCs w:val="24"/>
        </w:rPr>
        <w:t>dugulások</w:t>
      </w:r>
      <w:r w:rsidRPr="00F35CCE">
        <w:rPr>
          <w:szCs w:val="24"/>
        </w:rPr>
        <w:t xml:space="preserve"> a 2016. évi szivattyúcserék és a műtárgyak korábbiakhoz képest rendszeresebb karbantartó jellegű tisztítása következtében csökkentek. </w:t>
      </w:r>
    </w:p>
    <w:p w:rsidR="007F0EC0" w:rsidRDefault="007F0EC0">
      <w:pPr>
        <w:rPr>
          <w:sz w:val="24"/>
          <w:szCs w:val="24"/>
        </w:rPr>
      </w:pPr>
      <w:r>
        <w:rPr>
          <w:szCs w:val="24"/>
        </w:rPr>
        <w:br w:type="page"/>
      </w:r>
    </w:p>
    <w:p w:rsidR="00406ACF" w:rsidRPr="00883EC9" w:rsidRDefault="00406ACF">
      <w:pPr>
        <w:pStyle w:val="Szvegtrzs"/>
        <w:ind w:right="-1"/>
        <w:rPr>
          <w:sz w:val="22"/>
          <w:szCs w:val="22"/>
        </w:rPr>
      </w:pPr>
    </w:p>
    <w:p w:rsidR="00883E96" w:rsidRPr="00883EC9" w:rsidRDefault="00883E96" w:rsidP="00883E96">
      <w:pPr>
        <w:pStyle w:val="Szvegtrzs"/>
        <w:tabs>
          <w:tab w:val="left" w:pos="709"/>
          <w:tab w:val="right" w:pos="8222"/>
        </w:tabs>
        <w:rPr>
          <w:i/>
          <w:iCs/>
          <w:sz w:val="22"/>
        </w:rPr>
      </w:pPr>
      <w:bookmarkStart w:id="31" w:name="_Toc447546278"/>
      <w:r w:rsidRPr="00883EC9">
        <w:rPr>
          <w:i/>
          <w:iCs/>
          <w:sz w:val="23"/>
        </w:rPr>
        <w:t xml:space="preserve">Fenntartási és Építési Üzem </w:t>
      </w:r>
      <w:r w:rsidR="00916444" w:rsidRPr="00883EC9">
        <w:rPr>
          <w:i/>
          <w:iCs/>
          <w:sz w:val="23"/>
        </w:rPr>
        <w:t xml:space="preserve">által </w:t>
      </w:r>
      <w:bookmarkEnd w:id="31"/>
      <w:r w:rsidRPr="00883EC9">
        <w:rPr>
          <w:i/>
          <w:iCs/>
          <w:sz w:val="23"/>
        </w:rPr>
        <w:t>g</w:t>
      </w:r>
      <w:r w:rsidR="00916444" w:rsidRPr="00883EC9">
        <w:rPr>
          <w:i/>
          <w:iCs/>
          <w:sz w:val="22"/>
        </w:rPr>
        <w:t>épész</w:t>
      </w:r>
      <w:r w:rsidRPr="00883EC9">
        <w:rPr>
          <w:i/>
          <w:iCs/>
          <w:sz w:val="22"/>
        </w:rPr>
        <w:t xml:space="preserve">eti és villamos berendezéseken </w:t>
      </w:r>
    </w:p>
    <w:p w:rsidR="00916444" w:rsidRPr="00883EC9" w:rsidRDefault="00916444" w:rsidP="00883E96">
      <w:pPr>
        <w:pStyle w:val="Szvegtrzs"/>
        <w:tabs>
          <w:tab w:val="left" w:pos="709"/>
          <w:tab w:val="right" w:pos="8222"/>
        </w:tabs>
        <w:rPr>
          <w:i/>
          <w:iCs/>
          <w:sz w:val="20"/>
        </w:rPr>
      </w:pPr>
      <w:r w:rsidRPr="00883EC9">
        <w:rPr>
          <w:i/>
          <w:iCs/>
          <w:sz w:val="22"/>
        </w:rPr>
        <w:t xml:space="preserve">saját tevékenységben végzett fenntartási munkák </w:t>
      </w:r>
      <w:r w:rsidRPr="00883EC9">
        <w:rPr>
          <w:i/>
          <w:iCs/>
          <w:sz w:val="20"/>
        </w:rPr>
        <w:t>(db)</w:t>
      </w:r>
    </w:p>
    <w:tbl>
      <w:tblPr>
        <w:tblW w:w="8789" w:type="dxa"/>
        <w:tblLayout w:type="fixed"/>
        <w:tblCellMar>
          <w:left w:w="0" w:type="dxa"/>
          <w:right w:w="0" w:type="dxa"/>
        </w:tblCellMar>
        <w:tblLook w:val="0000" w:firstRow="0" w:lastRow="0" w:firstColumn="0" w:lastColumn="0" w:noHBand="0" w:noVBand="0"/>
      </w:tblPr>
      <w:tblGrid>
        <w:gridCol w:w="4196"/>
        <w:gridCol w:w="429"/>
        <w:gridCol w:w="1187"/>
        <w:gridCol w:w="284"/>
        <w:gridCol w:w="1134"/>
        <w:gridCol w:w="413"/>
        <w:gridCol w:w="987"/>
        <w:gridCol w:w="159"/>
      </w:tblGrid>
      <w:tr w:rsidR="00E8097E" w:rsidRPr="00883EC9" w:rsidTr="00883E96">
        <w:trPr>
          <w:gridAfter w:val="1"/>
          <w:wAfter w:w="159" w:type="dxa"/>
          <w:trHeight w:val="492"/>
        </w:trPr>
        <w:tc>
          <w:tcPr>
            <w:tcW w:w="4625" w:type="dxa"/>
            <w:gridSpan w:val="2"/>
            <w:tcBorders>
              <w:top w:val="nil"/>
              <w:left w:val="nil"/>
              <w:bottom w:val="single" w:sz="4" w:space="0" w:color="auto"/>
              <w:right w:val="nil"/>
            </w:tcBorders>
            <w:noWrap/>
            <w:vAlign w:val="bottom"/>
          </w:tcPr>
          <w:p w:rsidR="00E8097E" w:rsidRPr="00883EC9" w:rsidRDefault="00E8097E">
            <w:pPr>
              <w:rPr>
                <w:rFonts w:eastAsia="Arial Unicode MS"/>
                <w:i/>
                <w:iCs/>
                <w:sz w:val="24"/>
                <w:szCs w:val="22"/>
              </w:rPr>
            </w:pPr>
            <w:r w:rsidRPr="00883EC9">
              <w:rPr>
                <w:i/>
                <w:iCs/>
                <w:sz w:val="24"/>
                <w:szCs w:val="22"/>
              </w:rPr>
              <w:t>Megnevezés</w:t>
            </w:r>
          </w:p>
        </w:tc>
        <w:tc>
          <w:tcPr>
            <w:tcW w:w="1471" w:type="dxa"/>
            <w:gridSpan w:val="2"/>
            <w:tcBorders>
              <w:top w:val="nil"/>
              <w:left w:val="nil"/>
              <w:bottom w:val="single" w:sz="4" w:space="0" w:color="auto"/>
              <w:right w:val="nil"/>
            </w:tcBorders>
            <w:vAlign w:val="bottom"/>
          </w:tcPr>
          <w:p w:rsidR="00E8097E" w:rsidRPr="00883EC9" w:rsidRDefault="00E8097E" w:rsidP="00883E96">
            <w:pPr>
              <w:jc w:val="right"/>
              <w:rPr>
                <w:rFonts w:eastAsia="Arial Unicode MS"/>
                <w:i/>
                <w:iCs/>
                <w:sz w:val="24"/>
                <w:szCs w:val="22"/>
              </w:rPr>
            </w:pPr>
            <w:r w:rsidRPr="00883EC9">
              <w:rPr>
                <w:i/>
                <w:iCs/>
                <w:sz w:val="24"/>
                <w:szCs w:val="22"/>
              </w:rPr>
              <w:t>201</w:t>
            </w:r>
            <w:r w:rsidR="00883E96" w:rsidRPr="00883EC9">
              <w:rPr>
                <w:i/>
                <w:iCs/>
                <w:sz w:val="24"/>
                <w:szCs w:val="22"/>
              </w:rPr>
              <w:t>6</w:t>
            </w:r>
            <w:r w:rsidRPr="00883EC9">
              <w:rPr>
                <w:i/>
                <w:iCs/>
                <w:sz w:val="24"/>
                <w:szCs w:val="22"/>
              </w:rPr>
              <w:t>. I. félév</w:t>
            </w:r>
          </w:p>
        </w:tc>
        <w:tc>
          <w:tcPr>
            <w:tcW w:w="1547" w:type="dxa"/>
            <w:gridSpan w:val="2"/>
            <w:tcBorders>
              <w:top w:val="nil"/>
              <w:left w:val="nil"/>
              <w:bottom w:val="single" w:sz="4" w:space="0" w:color="auto"/>
              <w:right w:val="nil"/>
            </w:tcBorders>
            <w:vAlign w:val="bottom"/>
          </w:tcPr>
          <w:p w:rsidR="00E8097E" w:rsidRPr="00883EC9" w:rsidRDefault="00E8097E" w:rsidP="00883E96">
            <w:pPr>
              <w:jc w:val="right"/>
              <w:rPr>
                <w:rFonts w:eastAsia="Arial Unicode MS"/>
                <w:i/>
                <w:iCs/>
                <w:sz w:val="24"/>
                <w:szCs w:val="22"/>
              </w:rPr>
            </w:pPr>
            <w:r w:rsidRPr="00883EC9">
              <w:rPr>
                <w:i/>
                <w:iCs/>
                <w:sz w:val="24"/>
                <w:szCs w:val="22"/>
              </w:rPr>
              <w:t>201</w:t>
            </w:r>
            <w:r w:rsidR="00883E96" w:rsidRPr="00883EC9">
              <w:rPr>
                <w:i/>
                <w:iCs/>
                <w:sz w:val="24"/>
                <w:szCs w:val="22"/>
              </w:rPr>
              <w:t>7</w:t>
            </w:r>
            <w:r w:rsidRPr="00883EC9">
              <w:rPr>
                <w:i/>
                <w:iCs/>
                <w:sz w:val="24"/>
                <w:szCs w:val="22"/>
              </w:rPr>
              <w:t>. I. félév</w:t>
            </w:r>
          </w:p>
        </w:tc>
        <w:tc>
          <w:tcPr>
            <w:tcW w:w="987" w:type="dxa"/>
            <w:tcBorders>
              <w:top w:val="nil"/>
              <w:left w:val="nil"/>
              <w:bottom w:val="single" w:sz="4" w:space="0" w:color="auto"/>
              <w:right w:val="nil"/>
            </w:tcBorders>
            <w:noWrap/>
            <w:vAlign w:val="bottom"/>
          </w:tcPr>
          <w:p w:rsidR="00E8097E" w:rsidRPr="00883EC9" w:rsidRDefault="00E8097E">
            <w:pPr>
              <w:jc w:val="right"/>
              <w:rPr>
                <w:rFonts w:eastAsia="Arial Unicode MS"/>
                <w:i/>
                <w:iCs/>
                <w:sz w:val="24"/>
                <w:szCs w:val="22"/>
              </w:rPr>
            </w:pPr>
            <w:r w:rsidRPr="00883EC9">
              <w:rPr>
                <w:i/>
                <w:iCs/>
                <w:sz w:val="24"/>
                <w:szCs w:val="22"/>
              </w:rPr>
              <w:t>Index</w:t>
            </w:r>
          </w:p>
        </w:tc>
      </w:tr>
      <w:tr w:rsidR="00883E96" w:rsidRPr="00883EC9" w:rsidTr="00883E96">
        <w:tblPrEx>
          <w:tblCellMar>
            <w:left w:w="70" w:type="dxa"/>
            <w:right w:w="70" w:type="dxa"/>
          </w:tblCellMar>
          <w:tblLook w:val="04A0" w:firstRow="1" w:lastRow="0" w:firstColumn="1" w:lastColumn="0" w:noHBand="0" w:noVBand="1"/>
        </w:tblPrEx>
        <w:trPr>
          <w:trHeight w:val="300"/>
        </w:trPr>
        <w:tc>
          <w:tcPr>
            <w:tcW w:w="4196" w:type="dxa"/>
            <w:tcBorders>
              <w:top w:val="nil"/>
              <w:left w:val="nil"/>
              <w:bottom w:val="nil"/>
              <w:right w:val="nil"/>
            </w:tcBorders>
            <w:shd w:val="clear" w:color="auto" w:fill="auto"/>
            <w:noWrap/>
            <w:vAlign w:val="bottom"/>
            <w:hideMark/>
          </w:tcPr>
          <w:p w:rsidR="00883E96" w:rsidRPr="00883EC9" w:rsidRDefault="00883E96" w:rsidP="00883E96">
            <w:pPr>
              <w:rPr>
                <w:sz w:val="22"/>
                <w:szCs w:val="22"/>
              </w:rPr>
            </w:pPr>
            <w:bookmarkStart w:id="32" w:name="_Toc331589987"/>
            <w:r w:rsidRPr="00883EC9">
              <w:rPr>
                <w:sz w:val="22"/>
                <w:szCs w:val="22"/>
              </w:rPr>
              <w:t>Búvárszivattyú javítás</w:t>
            </w:r>
          </w:p>
        </w:tc>
        <w:tc>
          <w:tcPr>
            <w:tcW w:w="1616" w:type="dxa"/>
            <w:gridSpan w:val="2"/>
            <w:tcBorders>
              <w:top w:val="nil"/>
              <w:left w:val="nil"/>
              <w:bottom w:val="nil"/>
              <w:right w:val="nil"/>
            </w:tcBorders>
            <w:shd w:val="clear" w:color="auto" w:fill="auto"/>
            <w:noWrap/>
            <w:vAlign w:val="bottom"/>
            <w:hideMark/>
          </w:tcPr>
          <w:p w:rsidR="00883E96" w:rsidRPr="00883EC9" w:rsidRDefault="00883E96" w:rsidP="00883E96">
            <w:pPr>
              <w:jc w:val="right"/>
              <w:rPr>
                <w:rFonts w:ascii="Times New Roman CE" w:hAnsi="Times New Roman CE" w:cs="Times New Roman CE"/>
                <w:sz w:val="22"/>
                <w:szCs w:val="22"/>
              </w:rPr>
            </w:pPr>
            <w:r w:rsidRPr="00883EC9">
              <w:rPr>
                <w:rFonts w:ascii="Times New Roman CE" w:hAnsi="Times New Roman CE" w:cs="Times New Roman CE"/>
                <w:sz w:val="22"/>
                <w:szCs w:val="22"/>
              </w:rPr>
              <w:t>28</w:t>
            </w:r>
          </w:p>
        </w:tc>
        <w:tc>
          <w:tcPr>
            <w:tcW w:w="1418" w:type="dxa"/>
            <w:gridSpan w:val="2"/>
            <w:tcBorders>
              <w:top w:val="nil"/>
              <w:left w:val="nil"/>
              <w:bottom w:val="nil"/>
              <w:right w:val="nil"/>
            </w:tcBorders>
            <w:shd w:val="clear" w:color="auto" w:fill="auto"/>
            <w:noWrap/>
            <w:vAlign w:val="bottom"/>
            <w:hideMark/>
          </w:tcPr>
          <w:p w:rsidR="00883E96" w:rsidRPr="00883EC9" w:rsidRDefault="00883E96" w:rsidP="00883E96">
            <w:pPr>
              <w:jc w:val="right"/>
              <w:rPr>
                <w:rFonts w:ascii="Times New Roman CE" w:hAnsi="Times New Roman CE" w:cs="Times New Roman CE"/>
                <w:sz w:val="22"/>
                <w:szCs w:val="22"/>
              </w:rPr>
            </w:pPr>
            <w:r w:rsidRPr="00883EC9">
              <w:rPr>
                <w:rFonts w:ascii="Times New Roman CE" w:hAnsi="Times New Roman CE" w:cs="Times New Roman CE"/>
                <w:sz w:val="22"/>
                <w:szCs w:val="22"/>
              </w:rPr>
              <w:t>31</w:t>
            </w:r>
          </w:p>
        </w:tc>
        <w:tc>
          <w:tcPr>
            <w:tcW w:w="1559" w:type="dxa"/>
            <w:gridSpan w:val="3"/>
            <w:tcBorders>
              <w:top w:val="nil"/>
              <w:left w:val="nil"/>
              <w:bottom w:val="nil"/>
              <w:right w:val="nil"/>
            </w:tcBorders>
            <w:shd w:val="clear" w:color="auto" w:fill="auto"/>
            <w:noWrap/>
            <w:vAlign w:val="bottom"/>
            <w:hideMark/>
          </w:tcPr>
          <w:p w:rsidR="00883E96" w:rsidRPr="00883EC9" w:rsidRDefault="00883E96" w:rsidP="00883E96">
            <w:pPr>
              <w:jc w:val="right"/>
              <w:rPr>
                <w:rFonts w:ascii="Times New Roman CE" w:hAnsi="Times New Roman CE" w:cs="Times New Roman CE"/>
                <w:sz w:val="22"/>
                <w:szCs w:val="22"/>
              </w:rPr>
            </w:pPr>
            <w:r w:rsidRPr="00883EC9">
              <w:rPr>
                <w:rFonts w:ascii="Times New Roman CE" w:hAnsi="Times New Roman CE" w:cs="Times New Roman CE"/>
                <w:sz w:val="22"/>
                <w:szCs w:val="22"/>
              </w:rPr>
              <w:t>110,7%</w:t>
            </w:r>
          </w:p>
        </w:tc>
      </w:tr>
      <w:tr w:rsidR="00883E96" w:rsidRPr="00883EC9" w:rsidTr="00883E96">
        <w:tblPrEx>
          <w:tblCellMar>
            <w:left w:w="70" w:type="dxa"/>
            <w:right w:w="70" w:type="dxa"/>
          </w:tblCellMar>
          <w:tblLook w:val="04A0" w:firstRow="1" w:lastRow="0" w:firstColumn="1" w:lastColumn="0" w:noHBand="0" w:noVBand="1"/>
        </w:tblPrEx>
        <w:trPr>
          <w:trHeight w:val="300"/>
        </w:trPr>
        <w:tc>
          <w:tcPr>
            <w:tcW w:w="4196" w:type="dxa"/>
            <w:tcBorders>
              <w:top w:val="nil"/>
              <w:left w:val="nil"/>
              <w:bottom w:val="nil"/>
              <w:right w:val="nil"/>
            </w:tcBorders>
            <w:shd w:val="clear" w:color="auto" w:fill="auto"/>
            <w:noWrap/>
            <w:vAlign w:val="bottom"/>
            <w:hideMark/>
          </w:tcPr>
          <w:p w:rsidR="00883E96" w:rsidRPr="00883EC9" w:rsidRDefault="00883E96" w:rsidP="00883E96">
            <w:pPr>
              <w:rPr>
                <w:sz w:val="22"/>
                <w:szCs w:val="22"/>
              </w:rPr>
            </w:pPr>
            <w:r w:rsidRPr="00883EC9">
              <w:rPr>
                <w:sz w:val="22"/>
                <w:szCs w:val="22"/>
              </w:rPr>
              <w:t>Szennyvízszivattyú javítás</w:t>
            </w:r>
          </w:p>
        </w:tc>
        <w:tc>
          <w:tcPr>
            <w:tcW w:w="1616" w:type="dxa"/>
            <w:gridSpan w:val="2"/>
            <w:tcBorders>
              <w:top w:val="nil"/>
              <w:left w:val="nil"/>
              <w:bottom w:val="nil"/>
              <w:right w:val="nil"/>
            </w:tcBorders>
            <w:shd w:val="clear" w:color="auto" w:fill="auto"/>
            <w:noWrap/>
            <w:vAlign w:val="bottom"/>
            <w:hideMark/>
          </w:tcPr>
          <w:p w:rsidR="00883E96" w:rsidRPr="00883EC9" w:rsidRDefault="00883E96" w:rsidP="00883E96">
            <w:pPr>
              <w:jc w:val="right"/>
              <w:rPr>
                <w:rFonts w:ascii="Times New Roman CE" w:hAnsi="Times New Roman CE" w:cs="Times New Roman CE"/>
                <w:sz w:val="22"/>
                <w:szCs w:val="22"/>
              </w:rPr>
            </w:pPr>
            <w:r w:rsidRPr="00883EC9">
              <w:rPr>
                <w:rFonts w:ascii="Times New Roman CE" w:hAnsi="Times New Roman CE" w:cs="Times New Roman CE"/>
                <w:sz w:val="22"/>
                <w:szCs w:val="22"/>
              </w:rPr>
              <w:t>333</w:t>
            </w:r>
          </w:p>
        </w:tc>
        <w:tc>
          <w:tcPr>
            <w:tcW w:w="1418" w:type="dxa"/>
            <w:gridSpan w:val="2"/>
            <w:tcBorders>
              <w:top w:val="nil"/>
              <w:left w:val="nil"/>
              <w:bottom w:val="nil"/>
              <w:right w:val="nil"/>
            </w:tcBorders>
            <w:shd w:val="clear" w:color="auto" w:fill="auto"/>
            <w:noWrap/>
            <w:vAlign w:val="bottom"/>
            <w:hideMark/>
          </w:tcPr>
          <w:p w:rsidR="00883E96" w:rsidRPr="00883EC9" w:rsidRDefault="00883E96" w:rsidP="00883E96">
            <w:pPr>
              <w:jc w:val="right"/>
              <w:rPr>
                <w:rFonts w:ascii="Times New Roman CE" w:hAnsi="Times New Roman CE" w:cs="Times New Roman CE"/>
                <w:sz w:val="22"/>
                <w:szCs w:val="22"/>
              </w:rPr>
            </w:pPr>
            <w:r w:rsidRPr="00883EC9">
              <w:rPr>
                <w:rFonts w:ascii="Times New Roman CE" w:hAnsi="Times New Roman CE" w:cs="Times New Roman CE"/>
                <w:sz w:val="22"/>
                <w:szCs w:val="22"/>
              </w:rPr>
              <w:t>200</w:t>
            </w:r>
          </w:p>
        </w:tc>
        <w:tc>
          <w:tcPr>
            <w:tcW w:w="1559" w:type="dxa"/>
            <w:gridSpan w:val="3"/>
            <w:tcBorders>
              <w:top w:val="nil"/>
              <w:left w:val="nil"/>
              <w:bottom w:val="nil"/>
              <w:right w:val="nil"/>
            </w:tcBorders>
            <w:shd w:val="clear" w:color="auto" w:fill="auto"/>
            <w:noWrap/>
            <w:vAlign w:val="bottom"/>
            <w:hideMark/>
          </w:tcPr>
          <w:p w:rsidR="00883E96" w:rsidRPr="00883EC9" w:rsidRDefault="00883E96" w:rsidP="00883E96">
            <w:pPr>
              <w:jc w:val="right"/>
              <w:rPr>
                <w:rFonts w:ascii="Times New Roman CE" w:hAnsi="Times New Roman CE" w:cs="Times New Roman CE"/>
                <w:sz w:val="22"/>
                <w:szCs w:val="22"/>
              </w:rPr>
            </w:pPr>
            <w:r w:rsidRPr="00883EC9">
              <w:rPr>
                <w:rFonts w:ascii="Times New Roman CE" w:hAnsi="Times New Roman CE" w:cs="Times New Roman CE"/>
                <w:sz w:val="22"/>
                <w:szCs w:val="22"/>
              </w:rPr>
              <w:t>60,1%</w:t>
            </w:r>
          </w:p>
        </w:tc>
      </w:tr>
      <w:tr w:rsidR="00883E96" w:rsidRPr="00883EC9" w:rsidTr="00883E96">
        <w:tblPrEx>
          <w:tblCellMar>
            <w:left w:w="70" w:type="dxa"/>
            <w:right w:w="70" w:type="dxa"/>
          </w:tblCellMar>
          <w:tblLook w:val="04A0" w:firstRow="1" w:lastRow="0" w:firstColumn="1" w:lastColumn="0" w:noHBand="0" w:noVBand="1"/>
        </w:tblPrEx>
        <w:trPr>
          <w:trHeight w:val="300"/>
        </w:trPr>
        <w:tc>
          <w:tcPr>
            <w:tcW w:w="4196" w:type="dxa"/>
            <w:tcBorders>
              <w:top w:val="nil"/>
              <w:left w:val="nil"/>
              <w:bottom w:val="nil"/>
              <w:right w:val="nil"/>
            </w:tcBorders>
            <w:shd w:val="clear" w:color="auto" w:fill="auto"/>
            <w:noWrap/>
            <w:vAlign w:val="bottom"/>
            <w:hideMark/>
          </w:tcPr>
          <w:p w:rsidR="00883E96" w:rsidRPr="00883EC9" w:rsidRDefault="00883E96" w:rsidP="00883E96">
            <w:pPr>
              <w:rPr>
                <w:sz w:val="22"/>
                <w:szCs w:val="22"/>
              </w:rPr>
            </w:pPr>
            <w:r w:rsidRPr="00883EC9">
              <w:rPr>
                <w:sz w:val="22"/>
                <w:szCs w:val="22"/>
              </w:rPr>
              <w:t>Centrifugál szivattyú és kompresszor javítás</w:t>
            </w:r>
          </w:p>
        </w:tc>
        <w:tc>
          <w:tcPr>
            <w:tcW w:w="1616" w:type="dxa"/>
            <w:gridSpan w:val="2"/>
            <w:tcBorders>
              <w:top w:val="nil"/>
              <w:left w:val="nil"/>
              <w:bottom w:val="nil"/>
              <w:right w:val="nil"/>
            </w:tcBorders>
            <w:shd w:val="clear" w:color="auto" w:fill="auto"/>
            <w:noWrap/>
            <w:vAlign w:val="bottom"/>
            <w:hideMark/>
          </w:tcPr>
          <w:p w:rsidR="00883E96" w:rsidRPr="00883EC9" w:rsidRDefault="00883E96" w:rsidP="00883E96">
            <w:pPr>
              <w:jc w:val="right"/>
              <w:rPr>
                <w:rFonts w:ascii="Times New Roman CE" w:hAnsi="Times New Roman CE" w:cs="Times New Roman CE"/>
                <w:sz w:val="22"/>
                <w:szCs w:val="22"/>
              </w:rPr>
            </w:pPr>
            <w:r w:rsidRPr="00883EC9">
              <w:rPr>
                <w:rFonts w:ascii="Times New Roman CE" w:hAnsi="Times New Roman CE" w:cs="Times New Roman CE"/>
                <w:sz w:val="22"/>
                <w:szCs w:val="22"/>
              </w:rPr>
              <w:t>130</w:t>
            </w:r>
          </w:p>
        </w:tc>
        <w:tc>
          <w:tcPr>
            <w:tcW w:w="1418" w:type="dxa"/>
            <w:gridSpan w:val="2"/>
            <w:tcBorders>
              <w:top w:val="nil"/>
              <w:left w:val="nil"/>
              <w:bottom w:val="nil"/>
              <w:right w:val="nil"/>
            </w:tcBorders>
            <w:shd w:val="clear" w:color="auto" w:fill="auto"/>
            <w:noWrap/>
            <w:vAlign w:val="bottom"/>
            <w:hideMark/>
          </w:tcPr>
          <w:p w:rsidR="00883E96" w:rsidRPr="00883EC9" w:rsidRDefault="00883E96" w:rsidP="00883E96">
            <w:pPr>
              <w:jc w:val="right"/>
              <w:rPr>
                <w:rFonts w:ascii="Times New Roman CE" w:hAnsi="Times New Roman CE" w:cs="Times New Roman CE"/>
                <w:sz w:val="22"/>
                <w:szCs w:val="22"/>
              </w:rPr>
            </w:pPr>
            <w:r w:rsidRPr="00883EC9">
              <w:rPr>
                <w:rFonts w:ascii="Times New Roman CE" w:hAnsi="Times New Roman CE" w:cs="Times New Roman CE"/>
                <w:sz w:val="22"/>
                <w:szCs w:val="22"/>
              </w:rPr>
              <w:t>110</w:t>
            </w:r>
          </w:p>
        </w:tc>
        <w:tc>
          <w:tcPr>
            <w:tcW w:w="1559" w:type="dxa"/>
            <w:gridSpan w:val="3"/>
            <w:tcBorders>
              <w:top w:val="nil"/>
              <w:left w:val="nil"/>
              <w:bottom w:val="nil"/>
              <w:right w:val="nil"/>
            </w:tcBorders>
            <w:shd w:val="clear" w:color="auto" w:fill="auto"/>
            <w:noWrap/>
            <w:vAlign w:val="bottom"/>
            <w:hideMark/>
          </w:tcPr>
          <w:p w:rsidR="00883E96" w:rsidRPr="00883EC9" w:rsidRDefault="00883E96" w:rsidP="00883E96">
            <w:pPr>
              <w:jc w:val="right"/>
              <w:rPr>
                <w:rFonts w:ascii="Times New Roman CE" w:hAnsi="Times New Roman CE" w:cs="Times New Roman CE"/>
                <w:sz w:val="22"/>
                <w:szCs w:val="22"/>
              </w:rPr>
            </w:pPr>
            <w:r w:rsidRPr="00883EC9">
              <w:rPr>
                <w:rFonts w:ascii="Times New Roman CE" w:hAnsi="Times New Roman CE" w:cs="Times New Roman CE"/>
                <w:sz w:val="22"/>
                <w:szCs w:val="22"/>
              </w:rPr>
              <w:t>84,6%</w:t>
            </w:r>
          </w:p>
        </w:tc>
      </w:tr>
      <w:tr w:rsidR="00883E96" w:rsidRPr="00883EC9" w:rsidTr="00883E96">
        <w:tblPrEx>
          <w:tblCellMar>
            <w:left w:w="70" w:type="dxa"/>
            <w:right w:w="70" w:type="dxa"/>
          </w:tblCellMar>
          <w:tblLook w:val="04A0" w:firstRow="1" w:lastRow="0" w:firstColumn="1" w:lastColumn="0" w:noHBand="0" w:noVBand="1"/>
        </w:tblPrEx>
        <w:trPr>
          <w:trHeight w:val="300"/>
        </w:trPr>
        <w:tc>
          <w:tcPr>
            <w:tcW w:w="4196" w:type="dxa"/>
            <w:tcBorders>
              <w:top w:val="nil"/>
              <w:left w:val="nil"/>
              <w:bottom w:val="nil"/>
              <w:right w:val="nil"/>
            </w:tcBorders>
            <w:shd w:val="clear" w:color="auto" w:fill="auto"/>
            <w:noWrap/>
            <w:vAlign w:val="bottom"/>
            <w:hideMark/>
          </w:tcPr>
          <w:p w:rsidR="00883E96" w:rsidRPr="00883EC9" w:rsidRDefault="00883E96" w:rsidP="00883E96">
            <w:pPr>
              <w:rPr>
                <w:sz w:val="22"/>
                <w:szCs w:val="22"/>
              </w:rPr>
            </w:pPr>
            <w:r w:rsidRPr="00883EC9">
              <w:rPr>
                <w:sz w:val="22"/>
                <w:szCs w:val="22"/>
              </w:rPr>
              <w:t>Kisgép javítás</w:t>
            </w:r>
          </w:p>
        </w:tc>
        <w:tc>
          <w:tcPr>
            <w:tcW w:w="1616" w:type="dxa"/>
            <w:gridSpan w:val="2"/>
            <w:tcBorders>
              <w:top w:val="nil"/>
              <w:left w:val="nil"/>
              <w:bottom w:val="nil"/>
              <w:right w:val="nil"/>
            </w:tcBorders>
            <w:shd w:val="clear" w:color="auto" w:fill="auto"/>
            <w:noWrap/>
            <w:vAlign w:val="bottom"/>
            <w:hideMark/>
          </w:tcPr>
          <w:p w:rsidR="00883E96" w:rsidRPr="00883EC9" w:rsidRDefault="00883E96" w:rsidP="00883E96">
            <w:pPr>
              <w:jc w:val="right"/>
              <w:rPr>
                <w:rFonts w:ascii="Times New Roman CE" w:hAnsi="Times New Roman CE" w:cs="Times New Roman CE"/>
                <w:sz w:val="22"/>
                <w:szCs w:val="22"/>
              </w:rPr>
            </w:pPr>
            <w:r w:rsidRPr="00883EC9">
              <w:rPr>
                <w:rFonts w:ascii="Times New Roman CE" w:hAnsi="Times New Roman CE" w:cs="Times New Roman CE"/>
                <w:sz w:val="22"/>
                <w:szCs w:val="22"/>
              </w:rPr>
              <w:t>105</w:t>
            </w:r>
          </w:p>
        </w:tc>
        <w:tc>
          <w:tcPr>
            <w:tcW w:w="1418" w:type="dxa"/>
            <w:gridSpan w:val="2"/>
            <w:tcBorders>
              <w:top w:val="nil"/>
              <w:left w:val="nil"/>
              <w:bottom w:val="nil"/>
              <w:right w:val="nil"/>
            </w:tcBorders>
            <w:shd w:val="clear" w:color="auto" w:fill="auto"/>
            <w:noWrap/>
            <w:vAlign w:val="bottom"/>
            <w:hideMark/>
          </w:tcPr>
          <w:p w:rsidR="00883E96" w:rsidRPr="00883EC9" w:rsidRDefault="00883E96" w:rsidP="00883E96">
            <w:pPr>
              <w:jc w:val="right"/>
              <w:rPr>
                <w:rFonts w:ascii="Times New Roman CE" w:hAnsi="Times New Roman CE" w:cs="Times New Roman CE"/>
                <w:sz w:val="22"/>
                <w:szCs w:val="22"/>
              </w:rPr>
            </w:pPr>
            <w:r w:rsidRPr="00883EC9">
              <w:rPr>
                <w:rFonts w:ascii="Times New Roman CE" w:hAnsi="Times New Roman CE" w:cs="Times New Roman CE"/>
                <w:sz w:val="22"/>
                <w:szCs w:val="22"/>
              </w:rPr>
              <w:t>92</w:t>
            </w:r>
          </w:p>
        </w:tc>
        <w:tc>
          <w:tcPr>
            <w:tcW w:w="1559" w:type="dxa"/>
            <w:gridSpan w:val="3"/>
            <w:tcBorders>
              <w:top w:val="nil"/>
              <w:left w:val="nil"/>
              <w:bottom w:val="nil"/>
              <w:right w:val="nil"/>
            </w:tcBorders>
            <w:shd w:val="clear" w:color="auto" w:fill="auto"/>
            <w:noWrap/>
            <w:vAlign w:val="bottom"/>
            <w:hideMark/>
          </w:tcPr>
          <w:p w:rsidR="00883E96" w:rsidRPr="00883EC9" w:rsidRDefault="00883E96" w:rsidP="00883E96">
            <w:pPr>
              <w:jc w:val="right"/>
              <w:rPr>
                <w:rFonts w:ascii="Times New Roman CE" w:hAnsi="Times New Roman CE" w:cs="Times New Roman CE"/>
                <w:sz w:val="22"/>
                <w:szCs w:val="22"/>
              </w:rPr>
            </w:pPr>
            <w:r w:rsidRPr="00883EC9">
              <w:rPr>
                <w:rFonts w:ascii="Times New Roman CE" w:hAnsi="Times New Roman CE" w:cs="Times New Roman CE"/>
                <w:sz w:val="22"/>
                <w:szCs w:val="22"/>
              </w:rPr>
              <w:t>87,6%</w:t>
            </w:r>
          </w:p>
        </w:tc>
      </w:tr>
      <w:tr w:rsidR="00883E96" w:rsidRPr="00883EC9" w:rsidTr="00883E96">
        <w:tblPrEx>
          <w:tblCellMar>
            <w:left w:w="70" w:type="dxa"/>
            <w:right w:w="70" w:type="dxa"/>
          </w:tblCellMar>
          <w:tblLook w:val="04A0" w:firstRow="1" w:lastRow="0" w:firstColumn="1" w:lastColumn="0" w:noHBand="0" w:noVBand="1"/>
        </w:tblPrEx>
        <w:trPr>
          <w:trHeight w:val="300"/>
        </w:trPr>
        <w:tc>
          <w:tcPr>
            <w:tcW w:w="4196" w:type="dxa"/>
            <w:tcBorders>
              <w:top w:val="nil"/>
              <w:left w:val="nil"/>
              <w:bottom w:val="nil"/>
              <w:right w:val="nil"/>
            </w:tcBorders>
            <w:shd w:val="clear" w:color="auto" w:fill="auto"/>
            <w:noWrap/>
            <w:vAlign w:val="bottom"/>
            <w:hideMark/>
          </w:tcPr>
          <w:p w:rsidR="00883E96" w:rsidRPr="00883EC9" w:rsidRDefault="00883E96" w:rsidP="00883E96">
            <w:pPr>
              <w:rPr>
                <w:sz w:val="22"/>
                <w:szCs w:val="22"/>
              </w:rPr>
            </w:pPr>
            <w:r w:rsidRPr="00883EC9">
              <w:rPr>
                <w:sz w:val="22"/>
                <w:szCs w:val="22"/>
              </w:rPr>
              <w:t xml:space="preserve">Nagyfeszültségű hálózat és trafó javítás </w:t>
            </w:r>
          </w:p>
        </w:tc>
        <w:tc>
          <w:tcPr>
            <w:tcW w:w="1616" w:type="dxa"/>
            <w:gridSpan w:val="2"/>
            <w:tcBorders>
              <w:top w:val="nil"/>
              <w:left w:val="nil"/>
              <w:bottom w:val="nil"/>
              <w:right w:val="nil"/>
            </w:tcBorders>
            <w:shd w:val="clear" w:color="auto" w:fill="auto"/>
            <w:noWrap/>
            <w:vAlign w:val="bottom"/>
            <w:hideMark/>
          </w:tcPr>
          <w:p w:rsidR="00883E96" w:rsidRPr="00883EC9" w:rsidRDefault="00883E96" w:rsidP="00883E96">
            <w:pPr>
              <w:jc w:val="right"/>
              <w:rPr>
                <w:sz w:val="22"/>
                <w:szCs w:val="22"/>
              </w:rPr>
            </w:pPr>
            <w:r w:rsidRPr="00883EC9">
              <w:rPr>
                <w:sz w:val="22"/>
                <w:szCs w:val="22"/>
              </w:rPr>
              <w:t>45</w:t>
            </w:r>
          </w:p>
        </w:tc>
        <w:tc>
          <w:tcPr>
            <w:tcW w:w="1418" w:type="dxa"/>
            <w:gridSpan w:val="2"/>
            <w:tcBorders>
              <w:top w:val="nil"/>
              <w:left w:val="nil"/>
              <w:bottom w:val="nil"/>
              <w:right w:val="nil"/>
            </w:tcBorders>
            <w:shd w:val="clear" w:color="auto" w:fill="auto"/>
            <w:noWrap/>
            <w:vAlign w:val="bottom"/>
            <w:hideMark/>
          </w:tcPr>
          <w:p w:rsidR="00883E96" w:rsidRPr="00883EC9" w:rsidRDefault="00883E96" w:rsidP="00883E96">
            <w:pPr>
              <w:jc w:val="right"/>
              <w:rPr>
                <w:sz w:val="22"/>
                <w:szCs w:val="22"/>
              </w:rPr>
            </w:pPr>
            <w:r w:rsidRPr="00883EC9">
              <w:rPr>
                <w:sz w:val="22"/>
                <w:szCs w:val="22"/>
              </w:rPr>
              <w:t>27</w:t>
            </w:r>
          </w:p>
        </w:tc>
        <w:tc>
          <w:tcPr>
            <w:tcW w:w="1559" w:type="dxa"/>
            <w:gridSpan w:val="3"/>
            <w:tcBorders>
              <w:top w:val="nil"/>
              <w:left w:val="nil"/>
              <w:bottom w:val="nil"/>
              <w:right w:val="nil"/>
            </w:tcBorders>
            <w:shd w:val="clear" w:color="auto" w:fill="auto"/>
            <w:noWrap/>
            <w:vAlign w:val="bottom"/>
            <w:hideMark/>
          </w:tcPr>
          <w:p w:rsidR="00883E96" w:rsidRPr="00883EC9" w:rsidRDefault="00883E96" w:rsidP="00883E96">
            <w:pPr>
              <w:jc w:val="right"/>
              <w:rPr>
                <w:rFonts w:ascii="Times New Roman CE" w:hAnsi="Times New Roman CE" w:cs="Times New Roman CE"/>
                <w:sz w:val="22"/>
                <w:szCs w:val="22"/>
              </w:rPr>
            </w:pPr>
            <w:r w:rsidRPr="00883EC9">
              <w:rPr>
                <w:rFonts w:ascii="Times New Roman CE" w:hAnsi="Times New Roman CE" w:cs="Times New Roman CE"/>
                <w:sz w:val="22"/>
                <w:szCs w:val="22"/>
              </w:rPr>
              <w:t>60,0%</w:t>
            </w:r>
          </w:p>
        </w:tc>
      </w:tr>
      <w:tr w:rsidR="00883E96" w:rsidRPr="00883EC9" w:rsidTr="00883E96">
        <w:tblPrEx>
          <w:tblCellMar>
            <w:left w:w="70" w:type="dxa"/>
            <w:right w:w="70" w:type="dxa"/>
          </w:tblCellMar>
          <w:tblLook w:val="04A0" w:firstRow="1" w:lastRow="0" w:firstColumn="1" w:lastColumn="0" w:noHBand="0" w:noVBand="1"/>
        </w:tblPrEx>
        <w:trPr>
          <w:trHeight w:val="300"/>
        </w:trPr>
        <w:tc>
          <w:tcPr>
            <w:tcW w:w="4196" w:type="dxa"/>
            <w:tcBorders>
              <w:top w:val="nil"/>
              <w:left w:val="nil"/>
              <w:bottom w:val="nil"/>
              <w:right w:val="nil"/>
            </w:tcBorders>
            <w:shd w:val="clear" w:color="auto" w:fill="auto"/>
            <w:noWrap/>
            <w:vAlign w:val="bottom"/>
            <w:hideMark/>
          </w:tcPr>
          <w:p w:rsidR="00883E96" w:rsidRPr="00883EC9" w:rsidRDefault="00883E96" w:rsidP="00883E96">
            <w:pPr>
              <w:rPr>
                <w:sz w:val="22"/>
                <w:szCs w:val="22"/>
              </w:rPr>
            </w:pPr>
            <w:r w:rsidRPr="00883EC9">
              <w:rPr>
                <w:sz w:val="22"/>
                <w:szCs w:val="22"/>
              </w:rPr>
              <w:t xml:space="preserve">Erősáramú villamos berendezés javítás                                 </w:t>
            </w:r>
          </w:p>
        </w:tc>
        <w:tc>
          <w:tcPr>
            <w:tcW w:w="1616" w:type="dxa"/>
            <w:gridSpan w:val="2"/>
            <w:tcBorders>
              <w:top w:val="nil"/>
              <w:left w:val="nil"/>
              <w:bottom w:val="nil"/>
              <w:right w:val="nil"/>
            </w:tcBorders>
            <w:shd w:val="clear" w:color="auto" w:fill="auto"/>
            <w:noWrap/>
            <w:vAlign w:val="bottom"/>
            <w:hideMark/>
          </w:tcPr>
          <w:p w:rsidR="00883E96" w:rsidRPr="00883EC9" w:rsidRDefault="00883E96" w:rsidP="00883E96">
            <w:pPr>
              <w:jc w:val="right"/>
              <w:rPr>
                <w:sz w:val="22"/>
                <w:szCs w:val="22"/>
              </w:rPr>
            </w:pPr>
            <w:r w:rsidRPr="00883EC9">
              <w:rPr>
                <w:sz w:val="22"/>
                <w:szCs w:val="22"/>
              </w:rPr>
              <w:t>100</w:t>
            </w:r>
          </w:p>
        </w:tc>
        <w:tc>
          <w:tcPr>
            <w:tcW w:w="1418" w:type="dxa"/>
            <w:gridSpan w:val="2"/>
            <w:tcBorders>
              <w:top w:val="nil"/>
              <w:left w:val="nil"/>
              <w:bottom w:val="nil"/>
              <w:right w:val="nil"/>
            </w:tcBorders>
            <w:shd w:val="clear" w:color="auto" w:fill="auto"/>
            <w:noWrap/>
            <w:vAlign w:val="bottom"/>
            <w:hideMark/>
          </w:tcPr>
          <w:p w:rsidR="00883E96" w:rsidRPr="00883EC9" w:rsidRDefault="00883E96" w:rsidP="00883E96">
            <w:pPr>
              <w:jc w:val="right"/>
              <w:rPr>
                <w:sz w:val="22"/>
                <w:szCs w:val="22"/>
              </w:rPr>
            </w:pPr>
            <w:r w:rsidRPr="00883EC9">
              <w:rPr>
                <w:sz w:val="22"/>
                <w:szCs w:val="22"/>
              </w:rPr>
              <w:t>93</w:t>
            </w:r>
          </w:p>
        </w:tc>
        <w:tc>
          <w:tcPr>
            <w:tcW w:w="1559" w:type="dxa"/>
            <w:gridSpan w:val="3"/>
            <w:tcBorders>
              <w:top w:val="nil"/>
              <w:left w:val="nil"/>
              <w:bottom w:val="nil"/>
              <w:right w:val="nil"/>
            </w:tcBorders>
            <w:shd w:val="clear" w:color="auto" w:fill="auto"/>
            <w:noWrap/>
            <w:vAlign w:val="bottom"/>
            <w:hideMark/>
          </w:tcPr>
          <w:p w:rsidR="00883E96" w:rsidRPr="00883EC9" w:rsidRDefault="00883E96" w:rsidP="00883E96">
            <w:pPr>
              <w:jc w:val="right"/>
              <w:rPr>
                <w:rFonts w:ascii="Times New Roman CE" w:hAnsi="Times New Roman CE" w:cs="Times New Roman CE"/>
                <w:sz w:val="22"/>
                <w:szCs w:val="22"/>
              </w:rPr>
            </w:pPr>
            <w:r w:rsidRPr="00883EC9">
              <w:rPr>
                <w:rFonts w:ascii="Times New Roman CE" w:hAnsi="Times New Roman CE" w:cs="Times New Roman CE"/>
                <w:sz w:val="22"/>
                <w:szCs w:val="22"/>
              </w:rPr>
              <w:t>93,0%</w:t>
            </w:r>
          </w:p>
        </w:tc>
      </w:tr>
      <w:tr w:rsidR="00883E96" w:rsidRPr="00883EC9" w:rsidTr="00883E96">
        <w:tblPrEx>
          <w:tblCellMar>
            <w:left w:w="70" w:type="dxa"/>
            <w:right w:w="70" w:type="dxa"/>
          </w:tblCellMar>
          <w:tblLook w:val="04A0" w:firstRow="1" w:lastRow="0" w:firstColumn="1" w:lastColumn="0" w:noHBand="0" w:noVBand="1"/>
        </w:tblPrEx>
        <w:trPr>
          <w:trHeight w:val="300"/>
        </w:trPr>
        <w:tc>
          <w:tcPr>
            <w:tcW w:w="4196" w:type="dxa"/>
            <w:tcBorders>
              <w:top w:val="nil"/>
              <w:left w:val="nil"/>
              <w:bottom w:val="nil"/>
              <w:right w:val="nil"/>
            </w:tcBorders>
            <w:shd w:val="clear" w:color="auto" w:fill="auto"/>
            <w:noWrap/>
            <w:vAlign w:val="bottom"/>
            <w:hideMark/>
          </w:tcPr>
          <w:p w:rsidR="00883E96" w:rsidRPr="00883EC9" w:rsidRDefault="00883E96" w:rsidP="00883E96">
            <w:pPr>
              <w:rPr>
                <w:sz w:val="22"/>
                <w:szCs w:val="22"/>
              </w:rPr>
            </w:pPr>
            <w:r w:rsidRPr="00883EC9">
              <w:rPr>
                <w:sz w:val="22"/>
                <w:szCs w:val="22"/>
              </w:rPr>
              <w:t>Egyéb villamos javítás</w:t>
            </w:r>
          </w:p>
        </w:tc>
        <w:tc>
          <w:tcPr>
            <w:tcW w:w="1616" w:type="dxa"/>
            <w:gridSpan w:val="2"/>
            <w:tcBorders>
              <w:top w:val="nil"/>
              <w:left w:val="nil"/>
              <w:bottom w:val="nil"/>
              <w:right w:val="nil"/>
            </w:tcBorders>
            <w:shd w:val="clear" w:color="auto" w:fill="auto"/>
            <w:noWrap/>
            <w:vAlign w:val="bottom"/>
            <w:hideMark/>
          </w:tcPr>
          <w:p w:rsidR="00883E96" w:rsidRPr="00883EC9" w:rsidRDefault="00883E96" w:rsidP="00883E96">
            <w:pPr>
              <w:jc w:val="right"/>
              <w:rPr>
                <w:sz w:val="22"/>
                <w:szCs w:val="22"/>
              </w:rPr>
            </w:pPr>
            <w:r w:rsidRPr="00883EC9">
              <w:rPr>
                <w:sz w:val="22"/>
                <w:szCs w:val="22"/>
              </w:rPr>
              <w:t>0</w:t>
            </w:r>
          </w:p>
        </w:tc>
        <w:tc>
          <w:tcPr>
            <w:tcW w:w="1418" w:type="dxa"/>
            <w:gridSpan w:val="2"/>
            <w:tcBorders>
              <w:top w:val="nil"/>
              <w:left w:val="nil"/>
              <w:bottom w:val="nil"/>
              <w:right w:val="nil"/>
            </w:tcBorders>
            <w:shd w:val="clear" w:color="auto" w:fill="auto"/>
            <w:noWrap/>
            <w:vAlign w:val="bottom"/>
            <w:hideMark/>
          </w:tcPr>
          <w:p w:rsidR="00883E96" w:rsidRPr="00883EC9" w:rsidRDefault="00883E96" w:rsidP="00883E96">
            <w:pPr>
              <w:jc w:val="right"/>
              <w:rPr>
                <w:sz w:val="22"/>
                <w:szCs w:val="22"/>
              </w:rPr>
            </w:pPr>
            <w:r w:rsidRPr="00883EC9">
              <w:rPr>
                <w:sz w:val="22"/>
                <w:szCs w:val="22"/>
              </w:rPr>
              <w:t>9</w:t>
            </w:r>
          </w:p>
        </w:tc>
        <w:tc>
          <w:tcPr>
            <w:tcW w:w="1559" w:type="dxa"/>
            <w:gridSpan w:val="3"/>
            <w:tcBorders>
              <w:top w:val="nil"/>
              <w:left w:val="nil"/>
              <w:bottom w:val="nil"/>
              <w:right w:val="nil"/>
            </w:tcBorders>
            <w:shd w:val="clear" w:color="auto" w:fill="auto"/>
            <w:noWrap/>
            <w:vAlign w:val="bottom"/>
            <w:hideMark/>
          </w:tcPr>
          <w:p w:rsidR="00883E96" w:rsidRPr="00883EC9" w:rsidRDefault="00883E96" w:rsidP="00883E96">
            <w:pPr>
              <w:rPr>
                <w:rFonts w:ascii="Times New Roman CE" w:hAnsi="Times New Roman CE" w:cs="Times New Roman CE"/>
                <w:sz w:val="22"/>
                <w:szCs w:val="22"/>
              </w:rPr>
            </w:pPr>
            <w:r w:rsidRPr="00883EC9">
              <w:rPr>
                <w:rFonts w:ascii="Times New Roman CE" w:hAnsi="Times New Roman CE" w:cs="Times New Roman CE"/>
                <w:sz w:val="22"/>
                <w:szCs w:val="22"/>
              </w:rPr>
              <w:t xml:space="preserve"> </w:t>
            </w:r>
          </w:p>
        </w:tc>
      </w:tr>
      <w:tr w:rsidR="00883E96" w:rsidRPr="00883EC9" w:rsidTr="00883E96">
        <w:tblPrEx>
          <w:tblCellMar>
            <w:left w:w="70" w:type="dxa"/>
            <w:right w:w="70" w:type="dxa"/>
          </w:tblCellMar>
          <w:tblLook w:val="04A0" w:firstRow="1" w:lastRow="0" w:firstColumn="1" w:lastColumn="0" w:noHBand="0" w:noVBand="1"/>
        </w:tblPrEx>
        <w:trPr>
          <w:trHeight w:val="330"/>
        </w:trPr>
        <w:tc>
          <w:tcPr>
            <w:tcW w:w="4196" w:type="dxa"/>
            <w:tcBorders>
              <w:top w:val="nil"/>
              <w:left w:val="nil"/>
              <w:bottom w:val="nil"/>
              <w:right w:val="nil"/>
            </w:tcBorders>
            <w:shd w:val="clear" w:color="auto" w:fill="auto"/>
            <w:noWrap/>
            <w:vAlign w:val="bottom"/>
            <w:hideMark/>
          </w:tcPr>
          <w:p w:rsidR="00883E96" w:rsidRPr="00883EC9" w:rsidRDefault="00883E96" w:rsidP="00883E96">
            <w:pPr>
              <w:rPr>
                <w:sz w:val="22"/>
                <w:szCs w:val="22"/>
              </w:rPr>
            </w:pPr>
            <w:r w:rsidRPr="00883EC9">
              <w:rPr>
                <w:sz w:val="22"/>
                <w:szCs w:val="22"/>
              </w:rPr>
              <w:t>Üzemirányító és jelátviteli berendezés javítás</w:t>
            </w:r>
          </w:p>
        </w:tc>
        <w:tc>
          <w:tcPr>
            <w:tcW w:w="1616" w:type="dxa"/>
            <w:gridSpan w:val="2"/>
            <w:tcBorders>
              <w:top w:val="nil"/>
              <w:left w:val="nil"/>
              <w:bottom w:val="nil"/>
              <w:right w:val="nil"/>
            </w:tcBorders>
            <w:shd w:val="clear" w:color="auto" w:fill="auto"/>
            <w:noWrap/>
            <w:vAlign w:val="bottom"/>
            <w:hideMark/>
          </w:tcPr>
          <w:p w:rsidR="00883E96" w:rsidRPr="00883EC9" w:rsidRDefault="00883E96" w:rsidP="00883E96">
            <w:pPr>
              <w:jc w:val="right"/>
              <w:rPr>
                <w:sz w:val="22"/>
                <w:szCs w:val="22"/>
              </w:rPr>
            </w:pPr>
            <w:r w:rsidRPr="00883EC9">
              <w:rPr>
                <w:sz w:val="22"/>
                <w:szCs w:val="22"/>
              </w:rPr>
              <w:t>85</w:t>
            </w:r>
          </w:p>
        </w:tc>
        <w:tc>
          <w:tcPr>
            <w:tcW w:w="1418" w:type="dxa"/>
            <w:gridSpan w:val="2"/>
            <w:tcBorders>
              <w:top w:val="nil"/>
              <w:left w:val="nil"/>
              <w:bottom w:val="nil"/>
              <w:right w:val="nil"/>
            </w:tcBorders>
            <w:shd w:val="clear" w:color="auto" w:fill="auto"/>
            <w:noWrap/>
            <w:vAlign w:val="bottom"/>
            <w:hideMark/>
          </w:tcPr>
          <w:p w:rsidR="00883E96" w:rsidRPr="00883EC9" w:rsidRDefault="00883E96" w:rsidP="00883E96">
            <w:pPr>
              <w:jc w:val="right"/>
              <w:rPr>
                <w:sz w:val="22"/>
                <w:szCs w:val="22"/>
              </w:rPr>
            </w:pPr>
            <w:r w:rsidRPr="00883EC9">
              <w:rPr>
                <w:sz w:val="22"/>
                <w:szCs w:val="22"/>
              </w:rPr>
              <w:t>85</w:t>
            </w:r>
          </w:p>
        </w:tc>
        <w:tc>
          <w:tcPr>
            <w:tcW w:w="1559" w:type="dxa"/>
            <w:gridSpan w:val="3"/>
            <w:tcBorders>
              <w:top w:val="nil"/>
              <w:left w:val="nil"/>
              <w:bottom w:val="nil"/>
              <w:right w:val="nil"/>
            </w:tcBorders>
            <w:shd w:val="clear" w:color="auto" w:fill="auto"/>
            <w:noWrap/>
            <w:vAlign w:val="bottom"/>
            <w:hideMark/>
          </w:tcPr>
          <w:p w:rsidR="00883E96" w:rsidRPr="00883EC9" w:rsidRDefault="00883E96" w:rsidP="00883E96">
            <w:pPr>
              <w:jc w:val="right"/>
              <w:rPr>
                <w:rFonts w:ascii="Times New Roman CE" w:hAnsi="Times New Roman CE" w:cs="Times New Roman CE"/>
                <w:sz w:val="22"/>
                <w:szCs w:val="22"/>
              </w:rPr>
            </w:pPr>
            <w:r w:rsidRPr="00883EC9">
              <w:rPr>
                <w:rFonts w:ascii="Times New Roman CE" w:hAnsi="Times New Roman CE" w:cs="Times New Roman CE"/>
                <w:sz w:val="22"/>
                <w:szCs w:val="22"/>
              </w:rPr>
              <w:t>100,0%</w:t>
            </w:r>
          </w:p>
        </w:tc>
      </w:tr>
      <w:tr w:rsidR="00883E96" w:rsidRPr="00883EC9" w:rsidTr="00883E96">
        <w:tblPrEx>
          <w:tblCellMar>
            <w:left w:w="70" w:type="dxa"/>
            <w:right w:w="70" w:type="dxa"/>
          </w:tblCellMar>
          <w:tblLook w:val="04A0" w:firstRow="1" w:lastRow="0" w:firstColumn="1" w:lastColumn="0" w:noHBand="0" w:noVBand="1"/>
        </w:tblPrEx>
        <w:trPr>
          <w:trHeight w:val="300"/>
        </w:trPr>
        <w:tc>
          <w:tcPr>
            <w:tcW w:w="4196" w:type="dxa"/>
            <w:tcBorders>
              <w:top w:val="single" w:sz="4" w:space="0" w:color="auto"/>
              <w:left w:val="nil"/>
              <w:bottom w:val="nil"/>
              <w:right w:val="nil"/>
            </w:tcBorders>
            <w:shd w:val="clear" w:color="auto" w:fill="auto"/>
            <w:noWrap/>
            <w:vAlign w:val="bottom"/>
            <w:hideMark/>
          </w:tcPr>
          <w:p w:rsidR="00883E96" w:rsidRPr="00883EC9" w:rsidRDefault="00883E96" w:rsidP="00883E96">
            <w:pPr>
              <w:rPr>
                <w:i/>
                <w:iCs/>
                <w:sz w:val="22"/>
                <w:szCs w:val="22"/>
              </w:rPr>
            </w:pPr>
            <w:r w:rsidRPr="00883EC9">
              <w:rPr>
                <w:i/>
                <w:iCs/>
                <w:sz w:val="22"/>
                <w:szCs w:val="22"/>
              </w:rPr>
              <w:t>Összesen</w:t>
            </w:r>
          </w:p>
        </w:tc>
        <w:tc>
          <w:tcPr>
            <w:tcW w:w="1616" w:type="dxa"/>
            <w:gridSpan w:val="2"/>
            <w:tcBorders>
              <w:top w:val="single" w:sz="4" w:space="0" w:color="auto"/>
              <w:left w:val="nil"/>
              <w:bottom w:val="nil"/>
              <w:right w:val="nil"/>
            </w:tcBorders>
            <w:shd w:val="clear" w:color="auto" w:fill="auto"/>
            <w:noWrap/>
            <w:vAlign w:val="bottom"/>
            <w:hideMark/>
          </w:tcPr>
          <w:p w:rsidR="00883E96" w:rsidRPr="00883EC9" w:rsidRDefault="00883E96" w:rsidP="00883E96">
            <w:pPr>
              <w:jc w:val="right"/>
              <w:rPr>
                <w:i/>
                <w:iCs/>
                <w:sz w:val="22"/>
                <w:szCs w:val="22"/>
              </w:rPr>
            </w:pPr>
            <w:r w:rsidRPr="00883EC9">
              <w:rPr>
                <w:i/>
                <w:iCs/>
                <w:sz w:val="22"/>
                <w:szCs w:val="22"/>
              </w:rPr>
              <w:t>826</w:t>
            </w:r>
          </w:p>
        </w:tc>
        <w:tc>
          <w:tcPr>
            <w:tcW w:w="1418" w:type="dxa"/>
            <w:gridSpan w:val="2"/>
            <w:tcBorders>
              <w:top w:val="single" w:sz="4" w:space="0" w:color="auto"/>
              <w:left w:val="nil"/>
              <w:bottom w:val="nil"/>
              <w:right w:val="nil"/>
            </w:tcBorders>
            <w:shd w:val="clear" w:color="auto" w:fill="auto"/>
            <w:noWrap/>
            <w:vAlign w:val="bottom"/>
            <w:hideMark/>
          </w:tcPr>
          <w:p w:rsidR="00883E96" w:rsidRPr="00883EC9" w:rsidRDefault="00883E96" w:rsidP="00883E96">
            <w:pPr>
              <w:jc w:val="right"/>
              <w:rPr>
                <w:i/>
                <w:iCs/>
                <w:sz w:val="22"/>
                <w:szCs w:val="22"/>
              </w:rPr>
            </w:pPr>
            <w:r w:rsidRPr="00883EC9">
              <w:rPr>
                <w:i/>
                <w:iCs/>
                <w:sz w:val="22"/>
                <w:szCs w:val="22"/>
              </w:rPr>
              <w:t>647</w:t>
            </w:r>
          </w:p>
        </w:tc>
        <w:tc>
          <w:tcPr>
            <w:tcW w:w="1559" w:type="dxa"/>
            <w:gridSpan w:val="3"/>
            <w:tcBorders>
              <w:top w:val="single" w:sz="4" w:space="0" w:color="auto"/>
              <w:left w:val="nil"/>
              <w:bottom w:val="nil"/>
              <w:right w:val="nil"/>
            </w:tcBorders>
            <w:shd w:val="clear" w:color="auto" w:fill="auto"/>
            <w:noWrap/>
            <w:vAlign w:val="bottom"/>
            <w:hideMark/>
          </w:tcPr>
          <w:p w:rsidR="00883E96" w:rsidRPr="00883EC9" w:rsidRDefault="00883E96" w:rsidP="00883E96">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78,3%</w:t>
            </w:r>
          </w:p>
        </w:tc>
      </w:tr>
    </w:tbl>
    <w:p w:rsidR="00E8097E" w:rsidRPr="00883EC9" w:rsidRDefault="00E8097E" w:rsidP="006B18BB">
      <w:pPr>
        <w:pStyle w:val="Szvegtrzs"/>
        <w:tabs>
          <w:tab w:val="left" w:pos="709"/>
          <w:tab w:val="right" w:pos="8222"/>
        </w:tabs>
        <w:rPr>
          <w:i/>
          <w:iCs/>
          <w:sz w:val="23"/>
        </w:rPr>
      </w:pPr>
    </w:p>
    <w:p w:rsidR="006E3B31" w:rsidRPr="002C402F" w:rsidRDefault="006E3B31" w:rsidP="006C5E9B">
      <w:pPr>
        <w:pStyle w:val="Szvegtrzs"/>
        <w:numPr>
          <w:ilvl w:val="12"/>
          <w:numId w:val="0"/>
        </w:numPr>
        <w:ind w:right="141"/>
        <w:rPr>
          <w:szCs w:val="24"/>
        </w:rPr>
      </w:pPr>
      <w:r w:rsidRPr="002C402F">
        <w:rPr>
          <w:szCs w:val="24"/>
        </w:rPr>
        <w:t>A szennyvízszivattyú</w:t>
      </w:r>
      <w:r w:rsidR="00657870" w:rsidRPr="002C402F">
        <w:rPr>
          <w:szCs w:val="24"/>
        </w:rPr>
        <w:t xml:space="preserve"> </w:t>
      </w:r>
      <w:r w:rsidRPr="002C402F">
        <w:rPr>
          <w:szCs w:val="24"/>
        </w:rPr>
        <w:t xml:space="preserve">javítások </w:t>
      </w:r>
      <w:r w:rsidR="005D6435" w:rsidRPr="002C402F">
        <w:rPr>
          <w:szCs w:val="24"/>
        </w:rPr>
        <w:t xml:space="preserve">száma </w:t>
      </w:r>
      <w:r w:rsidRPr="002C402F">
        <w:rPr>
          <w:szCs w:val="24"/>
        </w:rPr>
        <w:t>lecsökkent</w:t>
      </w:r>
      <w:r w:rsidR="005D6435" w:rsidRPr="002C402F">
        <w:rPr>
          <w:szCs w:val="24"/>
        </w:rPr>
        <w:t>, 2017.</w:t>
      </w:r>
      <w:r w:rsidRPr="002C402F">
        <w:rPr>
          <w:szCs w:val="24"/>
        </w:rPr>
        <w:t xml:space="preserve"> I. félév</w:t>
      </w:r>
      <w:r w:rsidR="005D6435" w:rsidRPr="002C402F">
        <w:rPr>
          <w:szCs w:val="24"/>
        </w:rPr>
        <w:t>től</w:t>
      </w:r>
      <w:r w:rsidRPr="002C402F">
        <w:rPr>
          <w:szCs w:val="24"/>
        </w:rPr>
        <w:t xml:space="preserve"> </w:t>
      </w:r>
      <w:r w:rsidR="005D6435" w:rsidRPr="002C402F">
        <w:rPr>
          <w:szCs w:val="24"/>
        </w:rPr>
        <w:t xml:space="preserve">kiszervezett tevékenység keretében történik </w:t>
      </w:r>
      <w:r w:rsidRPr="002C402F">
        <w:rPr>
          <w:szCs w:val="24"/>
        </w:rPr>
        <w:t xml:space="preserve">a ritkán előforduló típusú és nagyméretű </w:t>
      </w:r>
      <w:proofErr w:type="spellStart"/>
      <w:r w:rsidRPr="002C402F">
        <w:rPr>
          <w:szCs w:val="24"/>
        </w:rPr>
        <w:t>Flygt</w:t>
      </w:r>
      <w:proofErr w:type="spellEnd"/>
      <w:r w:rsidRPr="002C402F">
        <w:rPr>
          <w:szCs w:val="24"/>
        </w:rPr>
        <w:t xml:space="preserve"> gyártmányú szivattyúk </w:t>
      </w:r>
      <w:r w:rsidR="005D6435" w:rsidRPr="002C402F">
        <w:rPr>
          <w:szCs w:val="24"/>
        </w:rPr>
        <w:t>javítása keretszerződés alapján,</w:t>
      </w:r>
    </w:p>
    <w:p w:rsidR="006E3B31" w:rsidRPr="002C402F" w:rsidRDefault="005D6435" w:rsidP="006C5E9B">
      <w:pPr>
        <w:pStyle w:val="Szvegtrzs"/>
        <w:numPr>
          <w:ilvl w:val="12"/>
          <w:numId w:val="0"/>
        </w:numPr>
        <w:ind w:right="141"/>
        <w:rPr>
          <w:szCs w:val="24"/>
        </w:rPr>
      </w:pPr>
      <w:r w:rsidRPr="002C402F">
        <w:rPr>
          <w:szCs w:val="24"/>
        </w:rPr>
        <w:t>A</w:t>
      </w:r>
      <w:r w:rsidR="006E3B31" w:rsidRPr="002C402F">
        <w:rPr>
          <w:szCs w:val="24"/>
        </w:rPr>
        <w:t xml:space="preserve"> centrifugál szivattyúk és kompresszorok </w:t>
      </w:r>
      <w:r w:rsidR="00553763" w:rsidRPr="002C402F">
        <w:rPr>
          <w:szCs w:val="24"/>
        </w:rPr>
        <w:t xml:space="preserve">javításának csökkenését a </w:t>
      </w:r>
      <w:r w:rsidR="006E3B31" w:rsidRPr="002C402F">
        <w:rPr>
          <w:szCs w:val="24"/>
        </w:rPr>
        <w:t xml:space="preserve">karbantartási ütemezés és a javítási </w:t>
      </w:r>
      <w:r w:rsidR="00553763" w:rsidRPr="002C402F">
        <w:rPr>
          <w:szCs w:val="24"/>
        </w:rPr>
        <w:t>igények</w:t>
      </w:r>
      <w:r w:rsidR="006E3B31" w:rsidRPr="002C402F">
        <w:rPr>
          <w:szCs w:val="24"/>
        </w:rPr>
        <w:t xml:space="preserve"> csökkenése </w:t>
      </w:r>
      <w:r w:rsidR="00553763" w:rsidRPr="002C402F">
        <w:rPr>
          <w:szCs w:val="24"/>
        </w:rPr>
        <w:t>eredményezte</w:t>
      </w:r>
      <w:r w:rsidR="006E3B31" w:rsidRPr="002C402F">
        <w:rPr>
          <w:szCs w:val="24"/>
        </w:rPr>
        <w:t xml:space="preserve">. </w:t>
      </w:r>
    </w:p>
    <w:p w:rsidR="00883E96" w:rsidRPr="002C402F" w:rsidRDefault="006E3B31" w:rsidP="006C5E9B">
      <w:pPr>
        <w:pStyle w:val="Szvegtrzs"/>
        <w:numPr>
          <w:ilvl w:val="12"/>
          <w:numId w:val="0"/>
        </w:numPr>
        <w:ind w:right="141"/>
        <w:rPr>
          <w:szCs w:val="24"/>
        </w:rPr>
      </w:pPr>
      <w:r w:rsidRPr="002C402F">
        <w:rPr>
          <w:szCs w:val="24"/>
        </w:rPr>
        <w:t xml:space="preserve">A nagyfeszültségű hálózatokon és transzformátorokon végzett éves karbantartások </w:t>
      </w:r>
      <w:r w:rsidR="00553763" w:rsidRPr="002C402F">
        <w:rPr>
          <w:szCs w:val="24"/>
        </w:rPr>
        <w:t xml:space="preserve">2016. évben nagyobb részben az </w:t>
      </w:r>
      <w:r w:rsidRPr="002C402F">
        <w:rPr>
          <w:szCs w:val="24"/>
        </w:rPr>
        <w:t>I. félév</w:t>
      </w:r>
      <w:r w:rsidR="00553763" w:rsidRPr="002C402F">
        <w:rPr>
          <w:szCs w:val="24"/>
        </w:rPr>
        <w:t>ben történtek</w:t>
      </w:r>
      <w:r w:rsidRPr="002C402F">
        <w:rPr>
          <w:szCs w:val="24"/>
        </w:rPr>
        <w:t xml:space="preserve">, </w:t>
      </w:r>
      <w:r w:rsidR="00553763" w:rsidRPr="002C402F">
        <w:rPr>
          <w:szCs w:val="24"/>
        </w:rPr>
        <w:t>így a 2017. I. félévi adat a viszonylag magas bázis adathoz képest csökkenést mutat.</w:t>
      </w:r>
    </w:p>
    <w:p w:rsidR="00883E96" w:rsidRPr="00883EC9" w:rsidRDefault="00883E96" w:rsidP="006B18BB">
      <w:pPr>
        <w:pStyle w:val="Szvegtrzs"/>
        <w:tabs>
          <w:tab w:val="left" w:pos="709"/>
          <w:tab w:val="right" w:pos="8222"/>
        </w:tabs>
        <w:rPr>
          <w:i/>
          <w:iCs/>
          <w:sz w:val="23"/>
        </w:rPr>
      </w:pPr>
    </w:p>
    <w:p w:rsidR="00E8097E" w:rsidRPr="00883EC9" w:rsidRDefault="00E8097E" w:rsidP="006B18BB">
      <w:pPr>
        <w:pStyle w:val="Szvegtrzs"/>
        <w:tabs>
          <w:tab w:val="left" w:pos="709"/>
          <w:tab w:val="right" w:pos="8222"/>
        </w:tabs>
        <w:rPr>
          <w:i/>
          <w:iCs/>
          <w:szCs w:val="24"/>
        </w:rPr>
      </w:pPr>
      <w:r w:rsidRPr="00883EC9">
        <w:rPr>
          <w:i/>
          <w:iCs/>
          <w:szCs w:val="24"/>
        </w:rPr>
        <w:t>Vízmérő csere, javítás, -hitelesítés</w:t>
      </w:r>
      <w:bookmarkEnd w:id="32"/>
    </w:p>
    <w:p w:rsidR="00F15F33" w:rsidRPr="00F37471" w:rsidRDefault="00573C65" w:rsidP="00296EE1">
      <w:pPr>
        <w:pStyle w:val="Szvegtrzs"/>
        <w:numPr>
          <w:ilvl w:val="12"/>
          <w:numId w:val="0"/>
        </w:numPr>
        <w:ind w:right="141"/>
        <w:rPr>
          <w:szCs w:val="24"/>
        </w:rPr>
      </w:pPr>
      <w:r w:rsidRPr="00F37471">
        <w:rPr>
          <w:szCs w:val="24"/>
        </w:rPr>
        <w:t>Jogszabályi változás következtében a</w:t>
      </w:r>
      <w:r w:rsidR="005F5912" w:rsidRPr="00F37471">
        <w:rPr>
          <w:szCs w:val="24"/>
        </w:rPr>
        <w:t xml:space="preserve"> vízmérők hitelesítési ideje </w:t>
      </w:r>
      <w:r w:rsidRPr="00F37471">
        <w:rPr>
          <w:szCs w:val="24"/>
        </w:rPr>
        <w:t xml:space="preserve">2017. évtől 4 évről 8 évre változott. </w:t>
      </w:r>
      <w:r w:rsidR="00E8097E" w:rsidRPr="00F37471">
        <w:rPr>
          <w:szCs w:val="24"/>
        </w:rPr>
        <w:t xml:space="preserve">A tervszerű megelőző karbantartás keretén belül </w:t>
      </w:r>
      <w:r w:rsidR="005B7543" w:rsidRPr="00F37471">
        <w:rPr>
          <w:szCs w:val="24"/>
        </w:rPr>
        <w:t xml:space="preserve">társaságunk továbbra is </w:t>
      </w:r>
      <w:r w:rsidR="00F37471" w:rsidRPr="00F37471">
        <w:rPr>
          <w:szCs w:val="24"/>
        </w:rPr>
        <w:t xml:space="preserve">folyamatosan </w:t>
      </w:r>
      <w:r w:rsidR="00F37471">
        <w:rPr>
          <w:szCs w:val="24"/>
        </w:rPr>
        <w:t xml:space="preserve">cserélni tervezi a mérőket </w:t>
      </w:r>
      <w:r w:rsidR="005B7543" w:rsidRPr="00F37471">
        <w:rPr>
          <w:szCs w:val="24"/>
        </w:rPr>
        <w:t>– évente a</w:t>
      </w:r>
      <w:r w:rsidR="005C5A1E">
        <w:rPr>
          <w:szCs w:val="24"/>
        </w:rPr>
        <w:t>z eddigi</w:t>
      </w:r>
      <w:r w:rsidR="005B7543" w:rsidRPr="00F37471">
        <w:rPr>
          <w:szCs w:val="24"/>
        </w:rPr>
        <w:t xml:space="preserve">  mintegy felét </w:t>
      </w:r>
      <w:r w:rsidR="00F37471">
        <w:rPr>
          <w:szCs w:val="24"/>
        </w:rPr>
        <w:t xml:space="preserve">-, </w:t>
      </w:r>
      <w:r w:rsidR="005C5A1E">
        <w:rPr>
          <w:szCs w:val="24"/>
        </w:rPr>
        <w:t xml:space="preserve">így </w:t>
      </w:r>
      <w:r w:rsidR="00F37471">
        <w:rPr>
          <w:szCs w:val="24"/>
        </w:rPr>
        <w:t>lépcsőzetesen elérve a 8 éves hitelesítési időt.</w:t>
      </w:r>
    </w:p>
    <w:p w:rsidR="00E8097E" w:rsidRPr="00883EC9" w:rsidRDefault="00E8097E">
      <w:pPr>
        <w:pStyle w:val="Szvegtrzs"/>
        <w:numPr>
          <w:ilvl w:val="12"/>
          <w:numId w:val="0"/>
        </w:numPr>
        <w:ind w:right="141"/>
        <w:rPr>
          <w:sz w:val="23"/>
        </w:rPr>
      </w:pPr>
    </w:p>
    <w:p w:rsidR="00E8097E" w:rsidRPr="00BA0541" w:rsidRDefault="00E8097E">
      <w:pPr>
        <w:pStyle w:val="Cmsor2"/>
        <w:rPr>
          <w:i/>
          <w:color w:val="auto"/>
        </w:rPr>
      </w:pPr>
      <w:bookmarkStart w:id="33" w:name="_Toc331589988"/>
      <w:bookmarkStart w:id="34" w:name="_Toc489278859"/>
      <w:r w:rsidRPr="00BA0541">
        <w:rPr>
          <w:i/>
          <w:color w:val="auto"/>
        </w:rPr>
        <w:t>Megbízásba adott eszközfenntartás</w:t>
      </w:r>
      <w:bookmarkEnd w:id="33"/>
      <w:bookmarkEnd w:id="34"/>
    </w:p>
    <w:p w:rsidR="00E8097E" w:rsidRPr="00883EC9" w:rsidRDefault="00E8097E">
      <w:pPr>
        <w:rPr>
          <w:i/>
          <w:iCs/>
          <w:sz w:val="16"/>
          <w:szCs w:val="16"/>
        </w:rPr>
      </w:pPr>
    </w:p>
    <w:p w:rsidR="00E8097E" w:rsidRPr="00883EC9" w:rsidRDefault="00E8097E" w:rsidP="007669B3">
      <w:pPr>
        <w:ind w:right="141"/>
        <w:jc w:val="both"/>
        <w:rPr>
          <w:sz w:val="24"/>
        </w:rPr>
      </w:pPr>
      <w:r w:rsidRPr="00883EC9">
        <w:rPr>
          <w:i/>
          <w:iCs/>
          <w:sz w:val="24"/>
        </w:rPr>
        <w:t>Megbízásba adott eszközfenntartási munkák</w:t>
      </w:r>
      <w:r w:rsidRPr="00883EC9">
        <w:rPr>
          <w:sz w:val="24"/>
        </w:rPr>
        <w:t xml:space="preserve"> költsége </w:t>
      </w:r>
      <w:r w:rsidR="00BB45B7" w:rsidRPr="00883EC9">
        <w:rPr>
          <w:sz w:val="24"/>
        </w:rPr>
        <w:t>16,7</w:t>
      </w:r>
      <w:r w:rsidRPr="00883EC9">
        <w:rPr>
          <w:sz w:val="24"/>
        </w:rPr>
        <w:t xml:space="preserve"> %-kal marad el az időarányos tervtől.</w:t>
      </w:r>
    </w:p>
    <w:p w:rsidR="00E8097E" w:rsidRPr="00883EC9" w:rsidRDefault="00E8097E" w:rsidP="007669B3">
      <w:pPr>
        <w:ind w:right="141"/>
        <w:jc w:val="both"/>
        <w:rPr>
          <w:sz w:val="23"/>
          <w:szCs w:val="23"/>
        </w:rPr>
      </w:pPr>
      <w:r w:rsidRPr="00883EC9">
        <w:rPr>
          <w:i/>
          <w:iCs/>
          <w:sz w:val="24"/>
        </w:rPr>
        <w:t>A Fenntartási és Építési Üzem</w:t>
      </w:r>
      <w:r w:rsidRPr="00883EC9">
        <w:rPr>
          <w:sz w:val="24"/>
        </w:rPr>
        <w:t xml:space="preserve"> által megrendelt munkák: nagy átmérőjű vízmérők hitelesítésének, kisgépek, szivattyúk, műszerek, transzformátorok javításának I. féléves teljesítése </w:t>
      </w:r>
      <w:r w:rsidR="00C55953" w:rsidRPr="00883EC9">
        <w:rPr>
          <w:sz w:val="24"/>
        </w:rPr>
        <w:t>6</w:t>
      </w:r>
      <w:r w:rsidR="00244EA0" w:rsidRPr="00883EC9">
        <w:rPr>
          <w:sz w:val="23"/>
          <w:szCs w:val="23"/>
        </w:rPr>
        <w:t xml:space="preserve"> %,</w:t>
      </w:r>
      <w:r w:rsidR="00244EA0" w:rsidRPr="00883EC9">
        <w:rPr>
          <w:sz w:val="24"/>
        </w:rPr>
        <w:t xml:space="preserve"> </w:t>
      </w:r>
      <w:r w:rsidR="00C55953" w:rsidRPr="00883EC9">
        <w:rPr>
          <w:sz w:val="24"/>
        </w:rPr>
        <w:t>604</w:t>
      </w:r>
      <w:r w:rsidRPr="00883EC9">
        <w:rPr>
          <w:sz w:val="23"/>
          <w:szCs w:val="23"/>
        </w:rPr>
        <w:t xml:space="preserve"> </w:t>
      </w:r>
      <w:proofErr w:type="spellStart"/>
      <w:r w:rsidRPr="00883EC9">
        <w:rPr>
          <w:sz w:val="23"/>
          <w:szCs w:val="23"/>
        </w:rPr>
        <w:t>eFt</w:t>
      </w:r>
      <w:proofErr w:type="spellEnd"/>
      <w:r w:rsidRPr="00883EC9">
        <w:rPr>
          <w:sz w:val="23"/>
          <w:szCs w:val="23"/>
        </w:rPr>
        <w:t>.</w:t>
      </w:r>
    </w:p>
    <w:p w:rsidR="00E8097E" w:rsidRPr="00883EC9" w:rsidRDefault="00E8097E" w:rsidP="007669B3">
      <w:pPr>
        <w:autoSpaceDE w:val="0"/>
        <w:autoSpaceDN w:val="0"/>
        <w:adjustRightInd w:val="0"/>
        <w:ind w:right="141"/>
        <w:jc w:val="both"/>
        <w:rPr>
          <w:sz w:val="24"/>
          <w:szCs w:val="24"/>
        </w:rPr>
      </w:pPr>
      <w:r w:rsidRPr="00883EC9">
        <w:rPr>
          <w:i/>
          <w:iCs/>
          <w:sz w:val="24"/>
        </w:rPr>
        <w:t>Az Uszoda és Termálfürdő</w:t>
      </w:r>
      <w:r w:rsidRPr="00883EC9">
        <w:rPr>
          <w:sz w:val="24"/>
        </w:rPr>
        <w:t xml:space="preserve"> részére megrendelt munkák értéke az I. félévben a terv </w:t>
      </w:r>
      <w:r w:rsidR="00C55953" w:rsidRPr="00883EC9">
        <w:rPr>
          <w:sz w:val="24"/>
        </w:rPr>
        <w:t>14,6</w:t>
      </w:r>
      <w:r w:rsidRPr="00883EC9">
        <w:rPr>
          <w:sz w:val="23"/>
          <w:szCs w:val="23"/>
        </w:rPr>
        <w:t xml:space="preserve"> %-a</w:t>
      </w:r>
      <w:r w:rsidR="00244EA0" w:rsidRPr="00883EC9">
        <w:rPr>
          <w:sz w:val="23"/>
          <w:szCs w:val="23"/>
        </w:rPr>
        <w:t xml:space="preserve">, </w:t>
      </w:r>
      <w:r w:rsidR="00C55953" w:rsidRPr="00883EC9">
        <w:rPr>
          <w:sz w:val="23"/>
          <w:szCs w:val="23"/>
        </w:rPr>
        <w:t>730</w:t>
      </w:r>
      <w:r w:rsidR="00244EA0" w:rsidRPr="00883EC9">
        <w:rPr>
          <w:sz w:val="24"/>
        </w:rPr>
        <w:t xml:space="preserve"> </w:t>
      </w:r>
      <w:proofErr w:type="spellStart"/>
      <w:r w:rsidR="00244EA0" w:rsidRPr="00883EC9">
        <w:rPr>
          <w:sz w:val="24"/>
        </w:rPr>
        <w:t>eFt</w:t>
      </w:r>
      <w:proofErr w:type="spellEnd"/>
      <w:r w:rsidRPr="00883EC9">
        <w:rPr>
          <w:sz w:val="24"/>
        </w:rPr>
        <w:t xml:space="preserve">. </w:t>
      </w:r>
    </w:p>
    <w:p w:rsidR="00E8097E" w:rsidRPr="00883EC9" w:rsidRDefault="00E8097E" w:rsidP="007669B3">
      <w:pPr>
        <w:ind w:right="141"/>
        <w:jc w:val="both"/>
        <w:rPr>
          <w:sz w:val="24"/>
        </w:rPr>
      </w:pPr>
      <w:r w:rsidRPr="00883EC9">
        <w:rPr>
          <w:i/>
          <w:iCs/>
          <w:sz w:val="24"/>
        </w:rPr>
        <w:t>Gépjárművek, munkagépek</w:t>
      </w:r>
      <w:r w:rsidRPr="00883EC9">
        <w:rPr>
          <w:sz w:val="24"/>
        </w:rPr>
        <w:t xml:space="preserve"> idegen javítása keretében történik a ZRt. által üzemeltetett gépjárművek, munkagépek kötelező garanciális felülvizsgálata, szervize, valamint a szakszervizben történő javítási munkák. Teljesítési index </w:t>
      </w:r>
      <w:r w:rsidR="00714C7C" w:rsidRPr="00883EC9">
        <w:rPr>
          <w:sz w:val="24"/>
        </w:rPr>
        <w:t>4</w:t>
      </w:r>
      <w:r w:rsidR="00C55953" w:rsidRPr="00883EC9">
        <w:rPr>
          <w:sz w:val="24"/>
        </w:rPr>
        <w:t>3,6</w:t>
      </w:r>
      <w:r w:rsidRPr="00883EC9">
        <w:rPr>
          <w:sz w:val="24"/>
        </w:rPr>
        <w:t xml:space="preserve"> %, 1</w:t>
      </w:r>
      <w:r w:rsidR="00714C7C" w:rsidRPr="00883EC9">
        <w:rPr>
          <w:sz w:val="24"/>
        </w:rPr>
        <w:t xml:space="preserve">7 </w:t>
      </w:r>
      <w:r w:rsidR="00C55953" w:rsidRPr="00883EC9">
        <w:rPr>
          <w:sz w:val="24"/>
        </w:rPr>
        <w:t>437</w:t>
      </w:r>
      <w:r w:rsidRPr="00883EC9">
        <w:rPr>
          <w:sz w:val="24"/>
        </w:rPr>
        <w:t xml:space="preserve"> </w:t>
      </w:r>
      <w:proofErr w:type="spellStart"/>
      <w:r w:rsidRPr="00883EC9">
        <w:rPr>
          <w:sz w:val="24"/>
        </w:rPr>
        <w:t>eFt</w:t>
      </w:r>
      <w:proofErr w:type="spellEnd"/>
      <w:r w:rsidRPr="00883EC9">
        <w:rPr>
          <w:sz w:val="24"/>
        </w:rPr>
        <w:t xml:space="preserve"> . </w:t>
      </w:r>
    </w:p>
    <w:p w:rsidR="00E8097E" w:rsidRPr="00883EC9" w:rsidRDefault="00E8097E" w:rsidP="007669B3">
      <w:pPr>
        <w:ind w:right="141"/>
        <w:jc w:val="both"/>
        <w:rPr>
          <w:sz w:val="24"/>
        </w:rPr>
      </w:pPr>
      <w:r w:rsidRPr="00883EC9">
        <w:rPr>
          <w:i/>
          <w:iCs/>
          <w:sz w:val="24"/>
        </w:rPr>
        <w:t>Informatika, labor, raktár</w:t>
      </w:r>
      <w:r w:rsidRPr="00883EC9">
        <w:rPr>
          <w:sz w:val="24"/>
        </w:rPr>
        <w:t xml:space="preserve"> a ZRt. által üzemeltetett számítógépes hálózat hardver berendezéseinek (számítógépek, szerverek, stb.) ellenőrzését, valamint a laborban használt műszerek, berendezések szervizelését, karbantartását tartalmazza, összességében a terv </w:t>
      </w:r>
      <w:r w:rsidR="00C55953" w:rsidRPr="00883EC9">
        <w:rPr>
          <w:sz w:val="24"/>
        </w:rPr>
        <w:t>18,6</w:t>
      </w:r>
      <w:r w:rsidRPr="00883EC9">
        <w:rPr>
          <w:sz w:val="24"/>
        </w:rPr>
        <w:t xml:space="preserve"> %-át, </w:t>
      </w:r>
      <w:r w:rsidR="00714C7C" w:rsidRPr="00883EC9">
        <w:rPr>
          <w:sz w:val="24"/>
        </w:rPr>
        <w:t xml:space="preserve">2 </w:t>
      </w:r>
      <w:r w:rsidR="00C55953" w:rsidRPr="00883EC9">
        <w:rPr>
          <w:sz w:val="24"/>
        </w:rPr>
        <w:t>048</w:t>
      </w:r>
      <w:r w:rsidRPr="00883EC9">
        <w:rPr>
          <w:sz w:val="24"/>
        </w:rPr>
        <w:t xml:space="preserve"> </w:t>
      </w:r>
      <w:proofErr w:type="spellStart"/>
      <w:r w:rsidRPr="00883EC9">
        <w:rPr>
          <w:sz w:val="24"/>
        </w:rPr>
        <w:t>eFt-ot</w:t>
      </w:r>
      <w:proofErr w:type="spellEnd"/>
      <w:r w:rsidRPr="00883EC9">
        <w:rPr>
          <w:sz w:val="24"/>
        </w:rPr>
        <w:t xml:space="preserve"> tettek ki. </w:t>
      </w:r>
    </w:p>
    <w:p w:rsidR="007669B3" w:rsidRDefault="00E8097E" w:rsidP="007669B3">
      <w:pPr>
        <w:autoSpaceDE w:val="0"/>
        <w:autoSpaceDN w:val="0"/>
        <w:adjustRightInd w:val="0"/>
        <w:ind w:right="141"/>
        <w:jc w:val="both"/>
        <w:rPr>
          <w:sz w:val="24"/>
        </w:rPr>
      </w:pPr>
      <w:r w:rsidRPr="00883EC9">
        <w:rPr>
          <w:i/>
          <w:iCs/>
          <w:sz w:val="24"/>
        </w:rPr>
        <w:t xml:space="preserve">Közmű műtárgyak </w:t>
      </w:r>
      <w:r w:rsidRPr="00883EC9">
        <w:rPr>
          <w:sz w:val="24"/>
        </w:rPr>
        <w:t xml:space="preserve">eszközfenntartási munkáit a ZRt. üzemeltetési területén lévő egyes gépek, berendezések, építmények, területek (légfúvók, iszapcentrifugák, síkrácsok, technológiai műszerek, gázmotorok, riasztók,  víztornyok, védőterületek stb.) szervizelése és karbantartása teszi ki, amely az </w:t>
      </w:r>
      <w:r w:rsidR="00263B8A" w:rsidRPr="00883EC9">
        <w:rPr>
          <w:sz w:val="24"/>
        </w:rPr>
        <w:t xml:space="preserve">  </w:t>
      </w:r>
      <w:r w:rsidRPr="00883EC9">
        <w:rPr>
          <w:sz w:val="24"/>
        </w:rPr>
        <w:t xml:space="preserve">I. félévben a tervezett  </w:t>
      </w:r>
      <w:r w:rsidR="00C55953" w:rsidRPr="00883EC9">
        <w:rPr>
          <w:sz w:val="24"/>
        </w:rPr>
        <w:t>37,5</w:t>
      </w:r>
      <w:r w:rsidR="00714C7C" w:rsidRPr="00883EC9">
        <w:rPr>
          <w:sz w:val="24"/>
        </w:rPr>
        <w:t xml:space="preserve"> %-a, </w:t>
      </w:r>
      <w:r w:rsidR="00C55953" w:rsidRPr="00883EC9">
        <w:rPr>
          <w:sz w:val="24"/>
        </w:rPr>
        <w:t>30 764</w:t>
      </w:r>
      <w:r w:rsidRPr="00883EC9">
        <w:rPr>
          <w:sz w:val="24"/>
        </w:rPr>
        <w:t xml:space="preserve"> </w:t>
      </w:r>
      <w:proofErr w:type="spellStart"/>
      <w:r w:rsidRPr="00883EC9">
        <w:rPr>
          <w:sz w:val="24"/>
        </w:rPr>
        <w:t>eFt</w:t>
      </w:r>
      <w:proofErr w:type="spellEnd"/>
      <w:r w:rsidRPr="00883EC9">
        <w:rPr>
          <w:sz w:val="24"/>
        </w:rPr>
        <w:t xml:space="preserve">. </w:t>
      </w:r>
    </w:p>
    <w:p w:rsidR="007669B3" w:rsidRDefault="007669B3">
      <w:pPr>
        <w:rPr>
          <w:sz w:val="24"/>
        </w:rPr>
      </w:pPr>
      <w:r>
        <w:rPr>
          <w:sz w:val="24"/>
        </w:rPr>
        <w:br w:type="page"/>
      </w:r>
    </w:p>
    <w:p w:rsidR="00883EC9" w:rsidRPr="00883EC9" w:rsidRDefault="00883EC9" w:rsidP="00263B8A">
      <w:pPr>
        <w:autoSpaceDE w:val="0"/>
        <w:autoSpaceDN w:val="0"/>
        <w:adjustRightInd w:val="0"/>
        <w:ind w:right="-141"/>
        <w:jc w:val="both"/>
        <w:rPr>
          <w:sz w:val="24"/>
        </w:rPr>
      </w:pPr>
    </w:p>
    <w:p w:rsidR="00C55953" w:rsidRPr="00883EC9" w:rsidRDefault="00C55953" w:rsidP="00263B8A">
      <w:pPr>
        <w:autoSpaceDE w:val="0"/>
        <w:autoSpaceDN w:val="0"/>
        <w:adjustRightInd w:val="0"/>
        <w:ind w:right="-141"/>
        <w:jc w:val="both"/>
        <w:rPr>
          <w:sz w:val="24"/>
        </w:rPr>
      </w:pPr>
    </w:p>
    <w:p w:rsidR="00E8097E" w:rsidRPr="00883EC9" w:rsidRDefault="00E8097E">
      <w:pPr>
        <w:pStyle w:val="Cmsor1"/>
        <w:ind w:left="0"/>
        <w:rPr>
          <w:b/>
          <w:bCs/>
          <w:i/>
          <w:iCs/>
          <w:sz w:val="26"/>
        </w:rPr>
      </w:pPr>
      <w:bookmarkStart w:id="35" w:name="_Toc330999133"/>
      <w:bookmarkStart w:id="36" w:name="_Toc331589989"/>
      <w:bookmarkStart w:id="37" w:name="_Toc489278860"/>
      <w:r w:rsidRPr="00883EC9">
        <w:rPr>
          <w:b/>
          <w:bCs/>
          <w:i/>
          <w:iCs/>
          <w:sz w:val="26"/>
        </w:rPr>
        <w:t>Vízminőség, szennyvíztisztítás, környezetvédelem, ellenőrzés</w:t>
      </w:r>
      <w:bookmarkEnd w:id="35"/>
      <w:bookmarkEnd w:id="36"/>
      <w:bookmarkEnd w:id="37"/>
    </w:p>
    <w:p w:rsidR="00E8097E" w:rsidRPr="00883EC9" w:rsidRDefault="00E8097E">
      <w:pPr>
        <w:pStyle w:val="xl28"/>
        <w:spacing w:before="0" w:beforeAutospacing="0" w:after="0" w:afterAutospacing="0"/>
        <w:rPr>
          <w:rFonts w:eastAsia="Times New Roman"/>
          <w:sz w:val="16"/>
        </w:rPr>
      </w:pPr>
    </w:p>
    <w:p w:rsidR="00370483" w:rsidRPr="00883EC9" w:rsidRDefault="00370483" w:rsidP="0062388A">
      <w:pPr>
        <w:pStyle w:val="Cmsor2"/>
        <w:ind w:right="142"/>
        <w:rPr>
          <w:i/>
          <w:iCs/>
          <w:color w:val="auto"/>
        </w:rPr>
      </w:pPr>
      <w:bookmarkStart w:id="38" w:name="_Toc479173334"/>
      <w:bookmarkStart w:id="39" w:name="_Toc489278861"/>
      <w:r w:rsidRPr="00883EC9">
        <w:rPr>
          <w:i/>
          <w:iCs/>
          <w:color w:val="auto"/>
        </w:rPr>
        <w:t>Vízminőség</w:t>
      </w:r>
      <w:bookmarkEnd w:id="38"/>
      <w:bookmarkEnd w:id="39"/>
    </w:p>
    <w:p w:rsidR="00370483" w:rsidRPr="00883EC9" w:rsidRDefault="00370483" w:rsidP="00433FCD">
      <w:pPr>
        <w:pStyle w:val="Szvegtrzs"/>
        <w:numPr>
          <w:ilvl w:val="12"/>
          <w:numId w:val="0"/>
        </w:numPr>
        <w:ind w:right="-1"/>
        <w:rPr>
          <w:szCs w:val="24"/>
        </w:rPr>
      </w:pPr>
      <w:r w:rsidRPr="00883EC9">
        <w:rPr>
          <w:szCs w:val="24"/>
        </w:rPr>
        <w:t xml:space="preserve">A jelentés időszakában 2 584 db ivóvíz, felszíni víz, fürdővíz mintából 1 968 db 28 051 paraméterre kiterjedő kémiai, 2 213 db 8 821 paraméterre kiterjedő bakteriológiai és 992 db 10 440 paraméterre kiterjedő biológiai meghatározást végzett el a laboratórium. </w:t>
      </w:r>
    </w:p>
    <w:p w:rsidR="00370483" w:rsidRPr="00883EC9" w:rsidRDefault="00370483" w:rsidP="00433FCD">
      <w:pPr>
        <w:pStyle w:val="Szvegtrzs"/>
        <w:numPr>
          <w:ilvl w:val="12"/>
          <w:numId w:val="0"/>
        </w:numPr>
        <w:ind w:right="-1"/>
        <w:rPr>
          <w:szCs w:val="24"/>
        </w:rPr>
      </w:pPr>
      <w:r w:rsidRPr="00883EC9">
        <w:rPr>
          <w:szCs w:val="24"/>
        </w:rPr>
        <w:t>66 alkalommal az eredmények azonnali beavatkozást igényeltek. Az üzemmérnökségek tájékoztatását követően a szükséges beavatkozás elvégzése után ismételt mintázás és vizsgálat következett.</w:t>
      </w:r>
    </w:p>
    <w:p w:rsidR="00370483" w:rsidRPr="00883EC9" w:rsidRDefault="00370483" w:rsidP="00370483">
      <w:pPr>
        <w:pStyle w:val="xl86"/>
        <w:spacing w:before="0" w:beforeAutospacing="0" w:after="0" w:afterAutospacing="0"/>
        <w:rPr>
          <w:rFonts w:eastAsia="Times New Roman"/>
        </w:rPr>
      </w:pPr>
    </w:p>
    <w:p w:rsidR="00370483" w:rsidRPr="00BA0541" w:rsidRDefault="00370483" w:rsidP="00BA0541">
      <w:pPr>
        <w:pStyle w:val="Cmsor2"/>
        <w:rPr>
          <w:i/>
          <w:color w:val="auto"/>
        </w:rPr>
      </w:pPr>
      <w:bookmarkStart w:id="40" w:name="_Toc479173335"/>
      <w:bookmarkStart w:id="41" w:name="_Toc489278862"/>
      <w:r w:rsidRPr="00BA0541">
        <w:rPr>
          <w:i/>
          <w:color w:val="auto"/>
        </w:rPr>
        <w:t>A vízminőség megőrzése érdekében végzett tevékenységek</w:t>
      </w:r>
      <w:bookmarkEnd w:id="40"/>
      <w:bookmarkEnd w:id="41"/>
    </w:p>
    <w:p w:rsidR="00370483" w:rsidRPr="00883EC9" w:rsidRDefault="00370483" w:rsidP="007669B3">
      <w:pPr>
        <w:numPr>
          <w:ilvl w:val="0"/>
          <w:numId w:val="1"/>
        </w:numPr>
        <w:tabs>
          <w:tab w:val="clear" w:pos="1065"/>
        </w:tabs>
        <w:ind w:left="284" w:right="425" w:hanging="180"/>
        <w:jc w:val="both"/>
        <w:rPr>
          <w:sz w:val="24"/>
          <w:szCs w:val="24"/>
        </w:rPr>
      </w:pPr>
      <w:r w:rsidRPr="00883EC9">
        <w:rPr>
          <w:sz w:val="24"/>
          <w:szCs w:val="24"/>
        </w:rPr>
        <w:t xml:space="preserve">Vízmintázás a 16/2016 (V.12.) BM, valamint a 201/2001.(X.25.) </w:t>
      </w:r>
      <w:proofErr w:type="spellStart"/>
      <w:r w:rsidRPr="00883EC9">
        <w:rPr>
          <w:sz w:val="24"/>
          <w:szCs w:val="24"/>
        </w:rPr>
        <w:t>Korm.rendelet</w:t>
      </w:r>
      <w:proofErr w:type="spellEnd"/>
      <w:r w:rsidRPr="00883EC9">
        <w:rPr>
          <w:sz w:val="24"/>
          <w:szCs w:val="24"/>
        </w:rPr>
        <w:t xml:space="preserve"> alapján átdolgozott és a Megyei Kormányhivatal Népegészségügyi Szakigazgatási Szerve által elfogadott ütemterv alapján.</w:t>
      </w:r>
    </w:p>
    <w:p w:rsidR="00370483" w:rsidRPr="00883EC9" w:rsidRDefault="00370483" w:rsidP="007669B3">
      <w:pPr>
        <w:numPr>
          <w:ilvl w:val="0"/>
          <w:numId w:val="1"/>
        </w:numPr>
        <w:tabs>
          <w:tab w:val="clear" w:pos="1065"/>
        </w:tabs>
        <w:ind w:left="284" w:right="425" w:hanging="180"/>
        <w:jc w:val="both"/>
        <w:rPr>
          <w:sz w:val="24"/>
          <w:szCs w:val="24"/>
        </w:rPr>
      </w:pPr>
      <w:r w:rsidRPr="00883EC9">
        <w:rPr>
          <w:sz w:val="24"/>
          <w:szCs w:val="24"/>
        </w:rPr>
        <w:t>Az ivóvíz tározók tavaszi és őszi mosatási ütemtervének összeállítása, a mosatás ellenőrzése mintázással, azonnali visszajelzés.</w:t>
      </w:r>
    </w:p>
    <w:p w:rsidR="00370483" w:rsidRPr="00883EC9" w:rsidRDefault="00370483" w:rsidP="007669B3">
      <w:pPr>
        <w:numPr>
          <w:ilvl w:val="0"/>
          <w:numId w:val="1"/>
        </w:numPr>
        <w:tabs>
          <w:tab w:val="clear" w:pos="1065"/>
        </w:tabs>
        <w:ind w:left="284" w:right="425" w:hanging="180"/>
        <w:jc w:val="both"/>
        <w:rPr>
          <w:sz w:val="24"/>
          <w:szCs w:val="24"/>
        </w:rPr>
      </w:pPr>
      <w:r w:rsidRPr="00883EC9">
        <w:rPr>
          <w:sz w:val="24"/>
          <w:szCs w:val="24"/>
        </w:rPr>
        <w:t xml:space="preserve">Szűrőkavics cserék, technológiai módosítások, hálózat </w:t>
      </w:r>
      <w:proofErr w:type="spellStart"/>
      <w:r w:rsidRPr="00883EC9">
        <w:rPr>
          <w:sz w:val="24"/>
          <w:szCs w:val="24"/>
        </w:rPr>
        <w:t>mosatások</w:t>
      </w:r>
      <w:proofErr w:type="spellEnd"/>
      <w:r w:rsidRPr="00883EC9">
        <w:rPr>
          <w:sz w:val="24"/>
          <w:szCs w:val="24"/>
        </w:rPr>
        <w:t xml:space="preserve"> rendkívüli kémiai, bakteriológiai és mikroszkópos biológiai ellenőrzése.</w:t>
      </w:r>
    </w:p>
    <w:p w:rsidR="00370483" w:rsidRPr="00883EC9" w:rsidRDefault="00370483" w:rsidP="007669B3">
      <w:pPr>
        <w:numPr>
          <w:ilvl w:val="0"/>
          <w:numId w:val="1"/>
        </w:numPr>
        <w:tabs>
          <w:tab w:val="clear" w:pos="1065"/>
        </w:tabs>
        <w:ind w:left="284" w:right="425" w:hanging="180"/>
        <w:jc w:val="both"/>
        <w:rPr>
          <w:sz w:val="24"/>
          <w:szCs w:val="24"/>
        </w:rPr>
      </w:pPr>
      <w:r w:rsidRPr="00883EC9">
        <w:rPr>
          <w:sz w:val="24"/>
          <w:szCs w:val="24"/>
        </w:rPr>
        <w:t>Lakossági panaszok kivizsgálása.</w:t>
      </w:r>
    </w:p>
    <w:p w:rsidR="00370483" w:rsidRPr="00883EC9" w:rsidRDefault="00370483" w:rsidP="007669B3">
      <w:pPr>
        <w:numPr>
          <w:ilvl w:val="0"/>
          <w:numId w:val="1"/>
        </w:numPr>
        <w:tabs>
          <w:tab w:val="clear" w:pos="1065"/>
        </w:tabs>
        <w:ind w:left="284" w:right="425" w:hanging="180"/>
        <w:jc w:val="both"/>
        <w:rPr>
          <w:sz w:val="24"/>
          <w:szCs w:val="24"/>
        </w:rPr>
      </w:pPr>
      <w:r w:rsidRPr="00883EC9">
        <w:rPr>
          <w:sz w:val="24"/>
          <w:szCs w:val="24"/>
        </w:rPr>
        <w:t>A Vas Megyei Kormányhivatal Népegészségügyi Szakigazgatási Szerve hatósági ellenőrzései eredményeinek kezelése.</w:t>
      </w:r>
    </w:p>
    <w:p w:rsidR="00370483" w:rsidRPr="00883EC9" w:rsidRDefault="00370483" w:rsidP="007669B3">
      <w:pPr>
        <w:numPr>
          <w:ilvl w:val="0"/>
          <w:numId w:val="1"/>
        </w:numPr>
        <w:tabs>
          <w:tab w:val="clear" w:pos="1065"/>
        </w:tabs>
        <w:ind w:left="284" w:right="425" w:hanging="180"/>
        <w:jc w:val="both"/>
        <w:rPr>
          <w:sz w:val="24"/>
          <w:szCs w:val="24"/>
        </w:rPr>
      </w:pPr>
      <w:r w:rsidRPr="00883EC9">
        <w:rPr>
          <w:sz w:val="24"/>
          <w:szCs w:val="24"/>
        </w:rPr>
        <w:t>Az ütemtervnek megfelelően a kutak és a hálózati ivóvizek radiológiai vizsgálata.</w:t>
      </w:r>
    </w:p>
    <w:p w:rsidR="00370483" w:rsidRPr="00883EC9" w:rsidRDefault="00370483" w:rsidP="007669B3">
      <w:pPr>
        <w:numPr>
          <w:ilvl w:val="0"/>
          <w:numId w:val="1"/>
        </w:numPr>
        <w:tabs>
          <w:tab w:val="clear" w:pos="1065"/>
        </w:tabs>
        <w:ind w:left="284" w:right="425" w:hanging="180"/>
        <w:jc w:val="both"/>
        <w:rPr>
          <w:sz w:val="24"/>
          <w:szCs w:val="24"/>
        </w:rPr>
      </w:pPr>
      <w:r w:rsidRPr="00883EC9">
        <w:rPr>
          <w:sz w:val="24"/>
          <w:szCs w:val="24"/>
        </w:rPr>
        <w:t>Kutak gázvizsgálata.</w:t>
      </w:r>
    </w:p>
    <w:p w:rsidR="00370483" w:rsidRPr="00883EC9" w:rsidRDefault="00370483" w:rsidP="007669B3">
      <w:pPr>
        <w:numPr>
          <w:ilvl w:val="0"/>
          <w:numId w:val="1"/>
        </w:numPr>
        <w:tabs>
          <w:tab w:val="clear" w:pos="1065"/>
        </w:tabs>
        <w:ind w:left="284" w:right="425" w:hanging="180"/>
        <w:jc w:val="both"/>
        <w:rPr>
          <w:sz w:val="24"/>
          <w:szCs w:val="24"/>
        </w:rPr>
      </w:pPr>
      <w:r w:rsidRPr="00883EC9">
        <w:rPr>
          <w:sz w:val="24"/>
          <w:szCs w:val="24"/>
        </w:rPr>
        <w:t>Havonta eredményes arzén monitoring végzése Tormásliget és Nemesrempehollós vízellátó rendszereken.</w:t>
      </w:r>
    </w:p>
    <w:p w:rsidR="00370483" w:rsidRPr="00883EC9" w:rsidRDefault="00370483" w:rsidP="007669B3">
      <w:pPr>
        <w:numPr>
          <w:ilvl w:val="0"/>
          <w:numId w:val="1"/>
        </w:numPr>
        <w:tabs>
          <w:tab w:val="clear" w:pos="1065"/>
        </w:tabs>
        <w:ind w:left="284" w:right="425" w:hanging="180"/>
        <w:jc w:val="both"/>
        <w:rPr>
          <w:sz w:val="24"/>
          <w:szCs w:val="24"/>
        </w:rPr>
      </w:pPr>
      <w:r w:rsidRPr="00883EC9">
        <w:rPr>
          <w:sz w:val="24"/>
          <w:szCs w:val="24"/>
        </w:rPr>
        <w:t xml:space="preserve">Celldömölk vízellátó rendszeren heti gyakoriságú nitrit, havi gyakoriságú vas és mangán, valamint 2 havi gyakoriságú mikroszkópos biológiai monitoring, Porpác gépházat elhagyó víz 2 havi gyakoriságú, </w:t>
      </w:r>
      <w:proofErr w:type="spellStart"/>
      <w:r w:rsidRPr="00883EC9">
        <w:rPr>
          <w:sz w:val="24"/>
          <w:szCs w:val="24"/>
        </w:rPr>
        <w:t>Rábahídvég</w:t>
      </w:r>
      <w:proofErr w:type="spellEnd"/>
      <w:r w:rsidRPr="00883EC9">
        <w:rPr>
          <w:sz w:val="24"/>
          <w:szCs w:val="24"/>
        </w:rPr>
        <w:t xml:space="preserve"> vízellátó rendszeren havi gyakoriságú, Pápoc I. kút havi gyakoriságú nitrit monitoring végrehajtása.</w:t>
      </w:r>
    </w:p>
    <w:p w:rsidR="00370483" w:rsidRPr="00883EC9" w:rsidRDefault="00370483" w:rsidP="00370483">
      <w:pPr>
        <w:pStyle w:val="xl86"/>
        <w:spacing w:before="0" w:beforeAutospacing="0" w:after="0" w:afterAutospacing="0"/>
        <w:rPr>
          <w:rFonts w:eastAsia="Times New Roman"/>
        </w:rPr>
      </w:pPr>
    </w:p>
    <w:p w:rsidR="00E8097E" w:rsidRPr="00883EC9" w:rsidRDefault="00E8097E" w:rsidP="00E17648">
      <w:pPr>
        <w:pStyle w:val="Cmsor2"/>
        <w:ind w:right="142"/>
        <w:rPr>
          <w:i/>
          <w:iCs/>
          <w:color w:val="auto"/>
          <w:sz w:val="8"/>
          <w:szCs w:val="8"/>
        </w:rPr>
      </w:pPr>
      <w:bookmarkStart w:id="42" w:name="_Toc384198796"/>
    </w:p>
    <w:p w:rsidR="00E8097E" w:rsidRPr="00BA0541" w:rsidRDefault="00E8097E" w:rsidP="00BA0541">
      <w:pPr>
        <w:pStyle w:val="Cmsor2"/>
        <w:rPr>
          <w:i/>
          <w:color w:val="auto"/>
        </w:rPr>
      </w:pPr>
      <w:bookmarkStart w:id="43" w:name="_Toc489278863"/>
      <w:r w:rsidRPr="00BA0541">
        <w:rPr>
          <w:i/>
          <w:color w:val="auto"/>
        </w:rPr>
        <w:t>Ivóvízellátás technológiai vonatkozásai</w:t>
      </w:r>
      <w:bookmarkEnd w:id="42"/>
      <w:bookmarkEnd w:id="43"/>
    </w:p>
    <w:p w:rsidR="007669B3" w:rsidRDefault="007B255D" w:rsidP="007669B3">
      <w:pPr>
        <w:numPr>
          <w:ilvl w:val="0"/>
          <w:numId w:val="1"/>
        </w:numPr>
        <w:tabs>
          <w:tab w:val="clear" w:pos="1065"/>
        </w:tabs>
        <w:ind w:left="284" w:right="176" w:hanging="180"/>
        <w:jc w:val="both"/>
        <w:rPr>
          <w:sz w:val="24"/>
          <w:szCs w:val="24"/>
        </w:rPr>
      </w:pPr>
      <w:r w:rsidRPr="00883EC9">
        <w:rPr>
          <w:sz w:val="24"/>
          <w:szCs w:val="24"/>
        </w:rPr>
        <w:t xml:space="preserve">Celldömölkön nincs vízkezelés, a mélyfúrású kutak vize közvetlenül a hálózatba jut. A 2015. év végén jelentkező biológiai és kémiai problémák óta jelenleg is az alacsony ammóniumtartalmú, de magas vas- és mangántartalmú kutakat (II, IV, V.) üzemeltetjük. A gépházkimenő vízben folyamatos a </w:t>
      </w:r>
      <w:proofErr w:type="spellStart"/>
      <w:r w:rsidRPr="00883EC9">
        <w:rPr>
          <w:sz w:val="24"/>
          <w:szCs w:val="24"/>
        </w:rPr>
        <w:t>nátrium-hipoklorit</w:t>
      </w:r>
      <w:proofErr w:type="spellEnd"/>
      <w:r w:rsidRPr="00883EC9">
        <w:rPr>
          <w:sz w:val="24"/>
          <w:szCs w:val="24"/>
        </w:rPr>
        <w:t xml:space="preserve"> adagolás. Az üzemelő kutak határérték feletti vas, mangán koncentrációja miatt az illetékes Népegészségügyi Szakigazgatási Szervtől ideiglenes határértéket kértünk és kaptunk a következő komponensekre: vas 0,4 mg/l, mangán 0,08 mg/l. </w:t>
      </w:r>
    </w:p>
    <w:p w:rsidR="007669B3" w:rsidRDefault="007B255D" w:rsidP="00C0429D">
      <w:pPr>
        <w:ind w:left="284" w:right="176"/>
        <w:jc w:val="both"/>
        <w:rPr>
          <w:sz w:val="24"/>
          <w:szCs w:val="24"/>
        </w:rPr>
      </w:pPr>
      <w:r w:rsidRPr="00883EC9">
        <w:rPr>
          <w:sz w:val="24"/>
          <w:szCs w:val="24"/>
        </w:rPr>
        <w:t xml:space="preserve">A hatósági előírásnak megfelelően végezzük a nitrit </w:t>
      </w:r>
      <w:proofErr w:type="spellStart"/>
      <w:r w:rsidRPr="00883EC9">
        <w:rPr>
          <w:sz w:val="24"/>
          <w:szCs w:val="24"/>
        </w:rPr>
        <w:t>monitoringot</w:t>
      </w:r>
      <w:proofErr w:type="spellEnd"/>
      <w:r w:rsidRPr="00883EC9">
        <w:rPr>
          <w:sz w:val="24"/>
          <w:szCs w:val="24"/>
        </w:rPr>
        <w:t xml:space="preserve"> havonta, továbbá az ideiglenes határérték miatt a hatóság által előírt sűrített bakteriológiai és biológiai vizsgálatokat. A vizsgálati eredmények alapján a hálózatba vezetett víz kémiai, bakteriológia és biológiai paraméterekre is megfelel a határértékeknek. A vízminőségi problémák megoldására (ammóniamentesítő technológia létesítése) vízminőség javító program van folyamatban. Celldömölk ivóvízminőség javítása a 1084/2016. (II.29) Kormányhatározatban szerepel. A projekt megvalósítását a NFP Nemzeti Fejlesztési Programiroda Nonprofit Kft Celldömölk Város Önkormányzatával közösen koordinálja konzorciumi szerződés keretében. A projekt megvalósításáig a vízjogi üzemeltetési engedély határidejét módosíttattuk 2021. március 30-re. A jelzett határideig folyamatosan végezzük a hatóság által előírt (havi) vízminőségi vizsgálatokat és szükség szerint a hálózatmosatást.</w:t>
      </w:r>
    </w:p>
    <w:p w:rsidR="007669B3" w:rsidRDefault="007669B3">
      <w:pPr>
        <w:rPr>
          <w:sz w:val="24"/>
          <w:szCs w:val="24"/>
        </w:rPr>
      </w:pPr>
      <w:r>
        <w:rPr>
          <w:sz w:val="24"/>
          <w:szCs w:val="24"/>
        </w:rPr>
        <w:br w:type="page"/>
      </w:r>
    </w:p>
    <w:p w:rsidR="007B255D" w:rsidRDefault="007B255D" w:rsidP="007669B3">
      <w:pPr>
        <w:ind w:left="104" w:right="176"/>
        <w:jc w:val="both"/>
        <w:rPr>
          <w:sz w:val="24"/>
          <w:szCs w:val="24"/>
        </w:rPr>
      </w:pPr>
    </w:p>
    <w:p w:rsidR="007669B3" w:rsidRPr="00883EC9" w:rsidRDefault="007669B3" w:rsidP="007669B3">
      <w:pPr>
        <w:ind w:left="104" w:right="176"/>
        <w:jc w:val="both"/>
        <w:rPr>
          <w:sz w:val="24"/>
          <w:szCs w:val="24"/>
        </w:rPr>
      </w:pPr>
    </w:p>
    <w:p w:rsidR="007B255D" w:rsidRPr="00883EC9" w:rsidRDefault="007B255D" w:rsidP="007669B3">
      <w:pPr>
        <w:numPr>
          <w:ilvl w:val="0"/>
          <w:numId w:val="1"/>
        </w:numPr>
        <w:tabs>
          <w:tab w:val="clear" w:pos="1065"/>
        </w:tabs>
        <w:ind w:left="284" w:right="176" w:hanging="180"/>
        <w:jc w:val="both"/>
        <w:rPr>
          <w:sz w:val="24"/>
          <w:szCs w:val="24"/>
        </w:rPr>
      </w:pPr>
      <w:proofErr w:type="spellStart"/>
      <w:r w:rsidRPr="00883EC9">
        <w:rPr>
          <w:sz w:val="24"/>
          <w:szCs w:val="24"/>
        </w:rPr>
        <w:t>Rábahídvég</w:t>
      </w:r>
      <w:proofErr w:type="spellEnd"/>
      <w:r w:rsidRPr="00883EC9">
        <w:rPr>
          <w:sz w:val="24"/>
          <w:szCs w:val="24"/>
        </w:rPr>
        <w:t xml:space="preserve">, Pápoc, Porpác vízellátó rendszereken a kutak vize határérték feletti vas, mangán és ammónium, Kenyeri vízellátó rendszeren határérték feletti vas és mangán koncentrációval rendelkeznek. A kutak vizei mindegyik rendszeren vízkezelés nélkül jutnak a hálózatba. Az illetékes Népegészségügyi Szakigazgatási Szerv kérelmünkre </w:t>
      </w:r>
      <w:proofErr w:type="spellStart"/>
      <w:r w:rsidRPr="00883EC9">
        <w:rPr>
          <w:sz w:val="24"/>
          <w:szCs w:val="24"/>
        </w:rPr>
        <w:t>Rábahídvég</w:t>
      </w:r>
      <w:proofErr w:type="spellEnd"/>
      <w:r w:rsidRPr="00883EC9">
        <w:rPr>
          <w:sz w:val="24"/>
          <w:szCs w:val="24"/>
        </w:rPr>
        <w:t xml:space="preserve">, Pápoc és Porpác vízellátó rendszereken vas, mangán, ammónium, Kenyeri vízellátó rendszeren vas és mangán tekintetében egyedi határértéket állapított meg, </w:t>
      </w:r>
      <w:proofErr w:type="spellStart"/>
      <w:r w:rsidRPr="00883EC9">
        <w:rPr>
          <w:sz w:val="24"/>
          <w:szCs w:val="24"/>
        </w:rPr>
        <w:t>Rábahídvég</w:t>
      </w:r>
      <w:proofErr w:type="spellEnd"/>
      <w:r w:rsidRPr="00883EC9">
        <w:rPr>
          <w:sz w:val="24"/>
          <w:szCs w:val="24"/>
        </w:rPr>
        <w:t xml:space="preserve"> és Pápoc rendszerek esetén a gépházkimenő vízre havi, Porpác esetében kéthavi gyakoriságú </w:t>
      </w:r>
      <w:proofErr w:type="spellStart"/>
      <w:r w:rsidRPr="00883EC9">
        <w:rPr>
          <w:sz w:val="24"/>
          <w:szCs w:val="24"/>
        </w:rPr>
        <w:t>nitrit-monitoringot</w:t>
      </w:r>
      <w:proofErr w:type="spellEnd"/>
      <w:r w:rsidRPr="00883EC9">
        <w:rPr>
          <w:sz w:val="24"/>
          <w:szCs w:val="24"/>
        </w:rPr>
        <w:t xml:space="preserve"> írt elő, amelyet folyamatosan teljesítünk.  A településeken rendszeres hálózatöblítéseket végzünk és a fogyasztókat folyamatosan tájékoztatjuk.</w:t>
      </w:r>
    </w:p>
    <w:p w:rsidR="007B255D" w:rsidRPr="00883EC9" w:rsidRDefault="007B255D" w:rsidP="007669B3">
      <w:pPr>
        <w:numPr>
          <w:ilvl w:val="0"/>
          <w:numId w:val="1"/>
        </w:numPr>
        <w:tabs>
          <w:tab w:val="clear" w:pos="1065"/>
        </w:tabs>
        <w:ind w:left="284" w:right="176" w:hanging="180"/>
        <w:jc w:val="both"/>
        <w:rPr>
          <w:sz w:val="24"/>
          <w:szCs w:val="24"/>
        </w:rPr>
      </w:pPr>
      <w:r w:rsidRPr="00883EC9">
        <w:rPr>
          <w:sz w:val="24"/>
          <w:szCs w:val="24"/>
        </w:rPr>
        <w:t>A hosszabb távon jelentkező vízminőségi problémák (vas, mangán, mikrobiológia) kezelésére elkészítettük 44 db üzemelő vízkezelő technológia felülvizsgálatát. Javaslatot tettünk a szűrőkavics cserékre, amelyek kivitelezésének ütemezését 2017. évben végeztük el. Meghatároztuk azokat a vízkezelő technológiákat, ahol visszaöblíthetővé kell alakítani a szűrőket, és vasiszap ülepítőt kell kiépíteni.</w:t>
      </w:r>
    </w:p>
    <w:p w:rsidR="007B255D" w:rsidRPr="00883EC9" w:rsidRDefault="007B255D" w:rsidP="007669B3">
      <w:pPr>
        <w:numPr>
          <w:ilvl w:val="0"/>
          <w:numId w:val="1"/>
        </w:numPr>
        <w:tabs>
          <w:tab w:val="clear" w:pos="1065"/>
        </w:tabs>
        <w:ind w:left="284" w:right="176" w:hanging="180"/>
        <w:jc w:val="both"/>
        <w:rPr>
          <w:sz w:val="24"/>
          <w:szCs w:val="24"/>
        </w:rPr>
      </w:pPr>
      <w:r w:rsidRPr="00883EC9">
        <w:rPr>
          <w:sz w:val="24"/>
          <w:szCs w:val="24"/>
        </w:rPr>
        <w:t xml:space="preserve">Nagysimonyi, Gérce, Hegyfalu, Vasszécseny, Vát, Szeleste, Csehimindszent vízellátó rendszerek esetében a visszaöblíthetőség és vasiszap ülepítő tervezése és engedélyezése megtörtént. </w:t>
      </w:r>
      <w:r w:rsidR="007669B3">
        <w:rPr>
          <w:sz w:val="24"/>
          <w:szCs w:val="24"/>
        </w:rPr>
        <w:t xml:space="preserve"> </w:t>
      </w:r>
      <w:r w:rsidRPr="00883EC9">
        <w:rPr>
          <w:sz w:val="24"/>
          <w:szCs w:val="24"/>
        </w:rPr>
        <w:t xml:space="preserve">A fent felsorolt, továbbá Mesteri vízellátó rendszerek esetében szűrőkavics csere szükséges. Árajánlatkérés van folyamatban Nagysimonyi és Mesteri vízművek szűrőkavics cseréjének megoldására. </w:t>
      </w:r>
    </w:p>
    <w:p w:rsidR="007B255D" w:rsidRPr="00883EC9" w:rsidRDefault="007B255D" w:rsidP="007669B3">
      <w:pPr>
        <w:numPr>
          <w:ilvl w:val="0"/>
          <w:numId w:val="1"/>
        </w:numPr>
        <w:tabs>
          <w:tab w:val="clear" w:pos="1065"/>
        </w:tabs>
        <w:ind w:left="284" w:right="176" w:hanging="180"/>
        <w:jc w:val="both"/>
        <w:rPr>
          <w:sz w:val="24"/>
          <w:szCs w:val="24"/>
        </w:rPr>
      </w:pPr>
      <w:r w:rsidRPr="00883EC9">
        <w:rPr>
          <w:sz w:val="24"/>
          <w:szCs w:val="24"/>
        </w:rPr>
        <w:t xml:space="preserve">Feltöltöttük a vízellátó rendszerek műszaki adatait a HUMVI szakrendszerbe, amely alapján a program generálja a 2017. évi laboratóriumi vizsgálatok darabszámát. Emellett postai úton </w:t>
      </w:r>
      <w:r w:rsidR="007669B3">
        <w:rPr>
          <w:sz w:val="24"/>
          <w:szCs w:val="24"/>
        </w:rPr>
        <w:t xml:space="preserve">     </w:t>
      </w:r>
      <w:r w:rsidRPr="00883EC9">
        <w:rPr>
          <w:sz w:val="24"/>
          <w:szCs w:val="24"/>
        </w:rPr>
        <w:t>62 vízellátó rendszer 2017. évi vízminőségi ütemtervét benyújtottuk a Hatóságnak, amelyről minden esetben elfogadó határozatot kaptunk.</w:t>
      </w:r>
    </w:p>
    <w:p w:rsidR="007B255D" w:rsidRPr="00883EC9" w:rsidRDefault="007B255D" w:rsidP="007669B3">
      <w:pPr>
        <w:numPr>
          <w:ilvl w:val="0"/>
          <w:numId w:val="1"/>
        </w:numPr>
        <w:tabs>
          <w:tab w:val="clear" w:pos="1065"/>
        </w:tabs>
        <w:ind w:left="284" w:right="176" w:hanging="180"/>
        <w:jc w:val="both"/>
        <w:rPr>
          <w:sz w:val="24"/>
          <w:szCs w:val="24"/>
        </w:rPr>
      </w:pPr>
      <w:r w:rsidRPr="00883EC9">
        <w:rPr>
          <w:sz w:val="24"/>
          <w:szCs w:val="24"/>
        </w:rPr>
        <w:t xml:space="preserve">Az </w:t>
      </w:r>
      <w:proofErr w:type="spellStart"/>
      <w:r w:rsidRPr="00883EC9">
        <w:rPr>
          <w:sz w:val="24"/>
          <w:szCs w:val="24"/>
        </w:rPr>
        <w:t>OKK-nak</w:t>
      </w:r>
      <w:proofErr w:type="spellEnd"/>
      <w:r w:rsidRPr="00883EC9">
        <w:rPr>
          <w:sz w:val="24"/>
          <w:szCs w:val="24"/>
        </w:rPr>
        <w:t xml:space="preserve"> elkészítettünk és benyújtottunk 3 darab vízbiztonsági tervet (Halogy, Tormásliget, Nemesrempehollós) véleményezésre. 8 db tervet (Rum, Porpác, Jákfa, Sárvár-Lánkapuszta, Hegyfalu, Gersekarát, Farkasfa, Szarvaskend) az OKK szakvéleménye alapján javítottunk.  A 11 db vízbiztonsági tervet szakvéleménnyel együtt benyújtottuk az illetékes hatósághoz elfogadásra. A beadási határidő 2017. július 1. volt</w:t>
      </w:r>
    </w:p>
    <w:p w:rsidR="007B255D" w:rsidRPr="00883EC9" w:rsidRDefault="007B255D" w:rsidP="007669B3">
      <w:pPr>
        <w:numPr>
          <w:ilvl w:val="0"/>
          <w:numId w:val="1"/>
        </w:numPr>
        <w:tabs>
          <w:tab w:val="clear" w:pos="1065"/>
        </w:tabs>
        <w:ind w:left="284" w:right="176" w:hanging="180"/>
        <w:jc w:val="both"/>
        <w:rPr>
          <w:sz w:val="24"/>
          <w:szCs w:val="24"/>
        </w:rPr>
      </w:pPr>
      <w:r w:rsidRPr="00883EC9">
        <w:rPr>
          <w:sz w:val="24"/>
          <w:szCs w:val="24"/>
        </w:rPr>
        <w:t>Folyamatban van Szombathely-Kőszeg vízellátó rendszer Vízbiztonsági Tervének ötéves felülvizsgálata, amelyet az illetékes Hatóságnak 2017. szeptember 11-ig kell benyújtani.</w:t>
      </w:r>
    </w:p>
    <w:p w:rsidR="00E8097E" w:rsidRPr="00883EC9" w:rsidRDefault="00E8097E">
      <w:pPr>
        <w:ind w:right="141"/>
        <w:jc w:val="both"/>
        <w:rPr>
          <w:i/>
          <w:iCs/>
          <w:sz w:val="23"/>
        </w:rPr>
      </w:pPr>
    </w:p>
    <w:p w:rsidR="00B34AF8" w:rsidRPr="00883EC9" w:rsidRDefault="00B34AF8">
      <w:pPr>
        <w:ind w:right="141"/>
        <w:jc w:val="both"/>
        <w:rPr>
          <w:i/>
          <w:iCs/>
          <w:sz w:val="23"/>
        </w:rPr>
      </w:pPr>
    </w:p>
    <w:p w:rsidR="00EC758D" w:rsidRPr="00883EC9" w:rsidRDefault="00EC758D" w:rsidP="00EC758D">
      <w:pPr>
        <w:pStyle w:val="Cmsor2"/>
        <w:rPr>
          <w:i/>
          <w:iCs/>
          <w:color w:val="auto"/>
        </w:rPr>
      </w:pPr>
      <w:bookmarkStart w:id="44" w:name="_Toc447546285"/>
      <w:bookmarkStart w:id="45" w:name="_Toc489278864"/>
      <w:r w:rsidRPr="00883EC9">
        <w:rPr>
          <w:i/>
          <w:iCs/>
          <w:color w:val="auto"/>
        </w:rPr>
        <w:t>KEHOP ivóvízminőség-javító</w:t>
      </w:r>
      <w:r w:rsidR="003D5388" w:rsidRPr="00883EC9">
        <w:rPr>
          <w:i/>
          <w:iCs/>
          <w:color w:val="auto"/>
        </w:rPr>
        <w:t xml:space="preserve">, </w:t>
      </w:r>
      <w:r w:rsidR="003D5388" w:rsidRPr="00883EC9">
        <w:rPr>
          <w:bCs/>
          <w:i/>
          <w:color w:val="auto"/>
        </w:rPr>
        <w:t>szennyvízelvezetési és –tisztítási pályázatok</w:t>
      </w:r>
      <w:bookmarkEnd w:id="44"/>
      <w:bookmarkEnd w:id="45"/>
    </w:p>
    <w:p w:rsidR="003D5388" w:rsidRPr="00883EC9" w:rsidRDefault="003D5388" w:rsidP="00EC758D">
      <w:pPr>
        <w:rPr>
          <w:i/>
          <w:iCs/>
        </w:rPr>
      </w:pPr>
    </w:p>
    <w:p w:rsidR="00D20A11" w:rsidRPr="00883EC9" w:rsidRDefault="00D20A11" w:rsidP="00D20A11">
      <w:pPr>
        <w:pStyle w:val="Szvegtrzs"/>
        <w:ind w:right="176"/>
        <w:rPr>
          <w:szCs w:val="24"/>
        </w:rPr>
      </w:pPr>
      <w:r w:rsidRPr="00883EC9">
        <w:rPr>
          <w:szCs w:val="24"/>
        </w:rPr>
        <w:t xml:space="preserve">A KEHOP pályázatokat a 339/2014. (XII. 19.) Korm. rendelet szerint a Nemzeti Fejlesztési Programiroda Nonprofit Kft. (NFP) mint konzorcium vezető koordinálja. Az NFP az önkormányzatokkal megkötött konzorciumi szerződések alapján elvégzi a projektek menedzselését és lefolytatja a közbeszerzési eljárásokat is. A projektek megvalósulása érdekében társaságunk üzemeltetői és műszaki szempontokat figyelembe véve adatszolgáltatásokat és szakmai segítséget nyújt a pályázó önkormányzatoknak, valamint az </w:t>
      </w:r>
      <w:proofErr w:type="spellStart"/>
      <w:r w:rsidRPr="00883EC9">
        <w:rPr>
          <w:szCs w:val="24"/>
        </w:rPr>
        <w:t>NFP-nek</w:t>
      </w:r>
      <w:proofErr w:type="spellEnd"/>
      <w:r w:rsidRPr="00883EC9">
        <w:rPr>
          <w:szCs w:val="24"/>
        </w:rPr>
        <w:t>.</w:t>
      </w:r>
    </w:p>
    <w:p w:rsidR="00D20A11" w:rsidRPr="00883EC9" w:rsidRDefault="00D20A11" w:rsidP="00D20A11">
      <w:pPr>
        <w:ind w:left="60" w:right="176"/>
        <w:rPr>
          <w:sz w:val="16"/>
          <w:szCs w:val="16"/>
        </w:rPr>
      </w:pPr>
    </w:p>
    <w:p w:rsidR="00D20A11" w:rsidRPr="00883EC9" w:rsidRDefault="00D20A11" w:rsidP="00D20A11">
      <w:pPr>
        <w:pStyle w:val="Szvegtrzs"/>
        <w:ind w:right="176"/>
        <w:rPr>
          <w:i/>
          <w:iCs/>
          <w:szCs w:val="24"/>
        </w:rPr>
      </w:pPr>
      <w:r w:rsidRPr="00883EC9">
        <w:rPr>
          <w:i/>
          <w:iCs/>
          <w:szCs w:val="24"/>
        </w:rPr>
        <w:t>KEHOP ivóvízminőség-javító program</w:t>
      </w:r>
    </w:p>
    <w:p w:rsidR="007669B3" w:rsidRDefault="00D20A11" w:rsidP="00D20A11">
      <w:pPr>
        <w:pStyle w:val="Szvegtrzs"/>
        <w:ind w:right="176"/>
        <w:rPr>
          <w:szCs w:val="24"/>
        </w:rPr>
      </w:pPr>
      <w:r w:rsidRPr="00883EC9">
        <w:rPr>
          <w:szCs w:val="24"/>
        </w:rPr>
        <w:t xml:space="preserve">A 201/2001 (X.25.) Korm. rendeletben előírt minőségű víz biztosításáért az érintett, valamint az éves fejlesztési keretben az 1084/2016. (II. 29.) Korm. határozattal nevesített önkormányzatoknak az </w:t>
      </w:r>
      <w:proofErr w:type="spellStart"/>
      <w:r w:rsidRPr="00883EC9">
        <w:rPr>
          <w:szCs w:val="24"/>
        </w:rPr>
        <w:t>NFP-vel</w:t>
      </w:r>
      <w:proofErr w:type="spellEnd"/>
      <w:r w:rsidRPr="00883EC9">
        <w:rPr>
          <w:szCs w:val="24"/>
        </w:rPr>
        <w:t xml:space="preserve"> közösen (konzorciumban) van lehetősége a KEHOP ivóvízminőség-javító programban való részvételre. </w:t>
      </w:r>
    </w:p>
    <w:p w:rsidR="007669B3" w:rsidRDefault="007669B3">
      <w:pPr>
        <w:rPr>
          <w:sz w:val="24"/>
          <w:szCs w:val="24"/>
        </w:rPr>
      </w:pPr>
      <w:r>
        <w:rPr>
          <w:szCs w:val="24"/>
        </w:rPr>
        <w:br w:type="page"/>
      </w:r>
    </w:p>
    <w:p w:rsidR="00D20A11" w:rsidRDefault="00D20A11" w:rsidP="00D20A11">
      <w:pPr>
        <w:pStyle w:val="Szvegtrzs"/>
        <w:ind w:right="176"/>
        <w:rPr>
          <w:szCs w:val="24"/>
        </w:rPr>
      </w:pPr>
    </w:p>
    <w:p w:rsidR="007669B3" w:rsidRPr="00883EC9" w:rsidRDefault="007669B3" w:rsidP="00D20A11">
      <w:pPr>
        <w:pStyle w:val="Szvegtrzs"/>
        <w:ind w:right="176"/>
        <w:rPr>
          <w:szCs w:val="24"/>
        </w:rPr>
      </w:pPr>
    </w:p>
    <w:p w:rsidR="007669B3" w:rsidRDefault="00D20A11" w:rsidP="00D20A11">
      <w:pPr>
        <w:pStyle w:val="Szvegtrzs"/>
        <w:ind w:right="176"/>
        <w:rPr>
          <w:szCs w:val="24"/>
        </w:rPr>
      </w:pPr>
      <w:r w:rsidRPr="00883EC9">
        <w:rPr>
          <w:szCs w:val="24"/>
        </w:rPr>
        <w:t xml:space="preserve">Az alábbi vízbázisok kapnak a 2014-2020. programozási időszakban támogatást </w:t>
      </w:r>
    </w:p>
    <w:p w:rsidR="00D20A11" w:rsidRPr="00883EC9" w:rsidRDefault="00D20A11" w:rsidP="00D20A11">
      <w:pPr>
        <w:pStyle w:val="Szvegtrzs"/>
        <w:ind w:right="176"/>
        <w:rPr>
          <w:szCs w:val="24"/>
        </w:rPr>
      </w:pPr>
      <w:r w:rsidRPr="00883EC9">
        <w:rPr>
          <w:szCs w:val="24"/>
        </w:rPr>
        <w:t>a KEHOP keretében:</w:t>
      </w:r>
    </w:p>
    <w:p w:rsidR="00D20A11" w:rsidRPr="007669B3" w:rsidRDefault="00D20A11" w:rsidP="00D20A11">
      <w:pPr>
        <w:pStyle w:val="Szvegtrzs"/>
        <w:ind w:right="-81"/>
        <w:rPr>
          <w:i/>
          <w:iCs/>
          <w:sz w:val="12"/>
          <w:szCs w:val="12"/>
        </w:rPr>
      </w:pPr>
    </w:p>
    <w:p w:rsidR="00D20A11" w:rsidRPr="00883EC9" w:rsidRDefault="00D20A11" w:rsidP="00D20A11">
      <w:pPr>
        <w:pStyle w:val="Szvegtrzs"/>
        <w:ind w:right="-81"/>
        <w:rPr>
          <w:i/>
          <w:iCs/>
          <w:szCs w:val="24"/>
        </w:rPr>
      </w:pPr>
      <w:r w:rsidRPr="00883EC9">
        <w:rPr>
          <w:i/>
          <w:iCs/>
          <w:szCs w:val="24"/>
        </w:rPr>
        <w:t>Folyamatban lévő pályázatok</w:t>
      </w:r>
    </w:p>
    <w:p w:rsidR="00D20A11" w:rsidRPr="00883EC9" w:rsidRDefault="00D20A11" w:rsidP="00D20A11">
      <w:pPr>
        <w:pStyle w:val="Szvegtrzs"/>
        <w:tabs>
          <w:tab w:val="center" w:pos="4253"/>
          <w:tab w:val="center" w:pos="7371"/>
        </w:tabs>
        <w:ind w:right="-81"/>
        <w:rPr>
          <w:i/>
          <w:iCs/>
          <w:szCs w:val="24"/>
          <w:u w:val="single"/>
        </w:rPr>
      </w:pPr>
      <w:r w:rsidRPr="00883EC9">
        <w:rPr>
          <w:i/>
          <w:iCs/>
          <w:szCs w:val="24"/>
          <w:u w:val="single"/>
        </w:rPr>
        <w:t>Vízbázis</w:t>
      </w:r>
      <w:r w:rsidRPr="00883EC9">
        <w:rPr>
          <w:i/>
          <w:iCs/>
          <w:szCs w:val="24"/>
          <w:u w:val="single"/>
        </w:rPr>
        <w:tab/>
        <w:t xml:space="preserve"> Előkészítés</w:t>
      </w:r>
      <w:r w:rsidRPr="00883EC9">
        <w:rPr>
          <w:i/>
          <w:iCs/>
          <w:szCs w:val="24"/>
          <w:u w:val="single"/>
        </w:rPr>
        <w:tab/>
        <w:t>Kivitelezés várható megkezdése</w:t>
      </w:r>
    </w:p>
    <w:p w:rsidR="00D20A11" w:rsidRPr="00883EC9" w:rsidRDefault="00D20A11" w:rsidP="00D20A11">
      <w:pPr>
        <w:pStyle w:val="llb"/>
        <w:tabs>
          <w:tab w:val="clear" w:pos="4536"/>
          <w:tab w:val="center" w:pos="4253"/>
          <w:tab w:val="center" w:pos="7088"/>
        </w:tabs>
        <w:ind w:right="-81"/>
        <w:rPr>
          <w:sz w:val="22"/>
          <w:szCs w:val="22"/>
        </w:rPr>
      </w:pPr>
      <w:r w:rsidRPr="00883EC9">
        <w:rPr>
          <w:sz w:val="22"/>
          <w:szCs w:val="22"/>
        </w:rPr>
        <w:t>Tormásliget-Halogy (közös pályázat)</w:t>
      </w:r>
      <w:r w:rsidRPr="00883EC9">
        <w:rPr>
          <w:sz w:val="22"/>
          <w:szCs w:val="22"/>
        </w:rPr>
        <w:tab/>
        <w:t>2011. év</w:t>
      </w:r>
      <w:r w:rsidRPr="00883EC9">
        <w:rPr>
          <w:sz w:val="22"/>
          <w:szCs w:val="22"/>
        </w:rPr>
        <w:tab/>
        <w:t>2017. év</w:t>
      </w:r>
    </w:p>
    <w:p w:rsidR="00D20A11" w:rsidRPr="00883EC9" w:rsidRDefault="00D20A11" w:rsidP="00D20A11">
      <w:pPr>
        <w:pStyle w:val="llb"/>
        <w:tabs>
          <w:tab w:val="clear" w:pos="4536"/>
          <w:tab w:val="center" w:pos="4253"/>
          <w:tab w:val="center" w:pos="7088"/>
        </w:tabs>
        <w:ind w:right="-81"/>
        <w:rPr>
          <w:sz w:val="22"/>
          <w:szCs w:val="22"/>
        </w:rPr>
      </w:pPr>
      <w:r w:rsidRPr="00883EC9">
        <w:rPr>
          <w:sz w:val="22"/>
          <w:szCs w:val="22"/>
        </w:rPr>
        <w:t>Porpác</w:t>
      </w:r>
      <w:r w:rsidRPr="00883EC9">
        <w:rPr>
          <w:sz w:val="22"/>
          <w:szCs w:val="22"/>
        </w:rPr>
        <w:tab/>
        <w:t>2012. év</w:t>
      </w:r>
      <w:r w:rsidRPr="00883EC9">
        <w:rPr>
          <w:sz w:val="22"/>
          <w:szCs w:val="22"/>
        </w:rPr>
        <w:tab/>
        <w:t>2018. év</w:t>
      </w:r>
    </w:p>
    <w:p w:rsidR="00D20A11" w:rsidRPr="00883EC9" w:rsidRDefault="00D20A11" w:rsidP="00D20A11">
      <w:pPr>
        <w:pStyle w:val="llb"/>
        <w:tabs>
          <w:tab w:val="clear" w:pos="4536"/>
          <w:tab w:val="center" w:pos="4253"/>
          <w:tab w:val="center" w:pos="7088"/>
        </w:tabs>
        <w:ind w:right="-81"/>
        <w:rPr>
          <w:sz w:val="22"/>
          <w:szCs w:val="22"/>
        </w:rPr>
      </w:pPr>
      <w:r w:rsidRPr="00883EC9">
        <w:rPr>
          <w:sz w:val="22"/>
          <w:szCs w:val="22"/>
        </w:rPr>
        <w:t>Celldömölk</w:t>
      </w:r>
      <w:r w:rsidRPr="00883EC9">
        <w:rPr>
          <w:sz w:val="22"/>
          <w:szCs w:val="22"/>
        </w:rPr>
        <w:tab/>
        <w:t>2016. év</w:t>
      </w:r>
      <w:r w:rsidRPr="00883EC9">
        <w:rPr>
          <w:sz w:val="22"/>
          <w:szCs w:val="22"/>
        </w:rPr>
        <w:tab/>
        <w:t>2018. év</w:t>
      </w:r>
    </w:p>
    <w:p w:rsidR="00D20A11" w:rsidRPr="00883EC9" w:rsidRDefault="00D20A11" w:rsidP="00D20A11">
      <w:pPr>
        <w:pStyle w:val="llb"/>
        <w:tabs>
          <w:tab w:val="clear" w:pos="4536"/>
          <w:tab w:val="center" w:pos="4253"/>
          <w:tab w:val="center" w:pos="7088"/>
        </w:tabs>
        <w:ind w:right="-81"/>
        <w:rPr>
          <w:sz w:val="22"/>
          <w:szCs w:val="22"/>
        </w:rPr>
      </w:pPr>
      <w:r w:rsidRPr="00883EC9">
        <w:rPr>
          <w:sz w:val="22"/>
          <w:szCs w:val="22"/>
        </w:rPr>
        <w:t>Répcelak</w:t>
      </w:r>
      <w:r w:rsidRPr="00883EC9">
        <w:rPr>
          <w:sz w:val="22"/>
          <w:szCs w:val="22"/>
        </w:rPr>
        <w:tab/>
        <w:t>2017. év</w:t>
      </w:r>
      <w:r w:rsidRPr="00883EC9">
        <w:rPr>
          <w:sz w:val="22"/>
          <w:szCs w:val="22"/>
        </w:rPr>
        <w:tab/>
        <w:t>2018. év</w:t>
      </w:r>
    </w:p>
    <w:p w:rsidR="00D20A11" w:rsidRPr="00883EC9" w:rsidRDefault="00D20A11" w:rsidP="00D20A11">
      <w:pPr>
        <w:pStyle w:val="llb"/>
        <w:tabs>
          <w:tab w:val="clear" w:pos="4536"/>
          <w:tab w:val="center" w:pos="4253"/>
          <w:tab w:val="center" w:pos="7088"/>
        </w:tabs>
        <w:ind w:right="-81"/>
        <w:rPr>
          <w:sz w:val="22"/>
          <w:szCs w:val="22"/>
        </w:rPr>
      </w:pPr>
      <w:r w:rsidRPr="00883EC9">
        <w:rPr>
          <w:sz w:val="22"/>
          <w:szCs w:val="22"/>
        </w:rPr>
        <w:t>Pápoc</w:t>
      </w:r>
      <w:r w:rsidRPr="00883EC9">
        <w:rPr>
          <w:sz w:val="22"/>
          <w:szCs w:val="22"/>
        </w:rPr>
        <w:tab/>
        <w:t>2017. év</w:t>
      </w:r>
      <w:r w:rsidRPr="00883EC9">
        <w:rPr>
          <w:sz w:val="22"/>
          <w:szCs w:val="22"/>
        </w:rPr>
        <w:tab/>
        <w:t>2018. év</w:t>
      </w:r>
    </w:p>
    <w:p w:rsidR="00D20A11" w:rsidRPr="00883EC9" w:rsidRDefault="00D20A11" w:rsidP="00D20A11">
      <w:pPr>
        <w:pStyle w:val="llb"/>
        <w:tabs>
          <w:tab w:val="clear" w:pos="4536"/>
          <w:tab w:val="center" w:pos="4253"/>
          <w:tab w:val="center" w:pos="7088"/>
        </w:tabs>
        <w:ind w:right="-81"/>
        <w:rPr>
          <w:sz w:val="22"/>
          <w:szCs w:val="22"/>
        </w:rPr>
      </w:pPr>
      <w:r w:rsidRPr="00883EC9">
        <w:rPr>
          <w:sz w:val="22"/>
          <w:szCs w:val="22"/>
        </w:rPr>
        <w:t>Vönöck</w:t>
      </w:r>
      <w:r w:rsidRPr="00883EC9">
        <w:rPr>
          <w:sz w:val="22"/>
          <w:szCs w:val="22"/>
        </w:rPr>
        <w:tab/>
        <w:t>2017. év</w:t>
      </w:r>
      <w:r w:rsidRPr="00883EC9">
        <w:rPr>
          <w:sz w:val="22"/>
          <w:szCs w:val="22"/>
        </w:rPr>
        <w:tab/>
        <w:t>2018. év</w:t>
      </w:r>
    </w:p>
    <w:p w:rsidR="00D20A11" w:rsidRPr="00883EC9" w:rsidRDefault="00D20A11" w:rsidP="00D20A11">
      <w:pPr>
        <w:pStyle w:val="llb"/>
        <w:tabs>
          <w:tab w:val="clear" w:pos="4536"/>
          <w:tab w:val="center" w:pos="4253"/>
          <w:tab w:val="center" w:pos="7088"/>
        </w:tabs>
        <w:ind w:right="-81"/>
        <w:rPr>
          <w:sz w:val="22"/>
          <w:szCs w:val="22"/>
        </w:rPr>
      </w:pPr>
      <w:proofErr w:type="spellStart"/>
      <w:r w:rsidRPr="00883EC9">
        <w:rPr>
          <w:sz w:val="22"/>
          <w:szCs w:val="22"/>
        </w:rPr>
        <w:t>Rábahídvég</w:t>
      </w:r>
      <w:proofErr w:type="spellEnd"/>
      <w:r w:rsidRPr="00883EC9">
        <w:rPr>
          <w:sz w:val="22"/>
          <w:szCs w:val="22"/>
        </w:rPr>
        <w:tab/>
        <w:t>2017. év</w:t>
      </w:r>
      <w:r w:rsidRPr="00883EC9">
        <w:rPr>
          <w:sz w:val="22"/>
          <w:szCs w:val="22"/>
        </w:rPr>
        <w:tab/>
        <w:t>2018. év</w:t>
      </w:r>
    </w:p>
    <w:p w:rsidR="00D20A11" w:rsidRPr="00883EC9" w:rsidRDefault="00D20A11" w:rsidP="00D20A11">
      <w:pPr>
        <w:pStyle w:val="llb"/>
        <w:tabs>
          <w:tab w:val="clear" w:pos="4536"/>
          <w:tab w:val="left" w:pos="3400"/>
          <w:tab w:val="center" w:pos="4253"/>
          <w:tab w:val="left" w:pos="6804"/>
          <w:tab w:val="center" w:pos="7088"/>
        </w:tabs>
        <w:ind w:right="-81"/>
        <w:rPr>
          <w:sz w:val="22"/>
          <w:szCs w:val="22"/>
        </w:rPr>
      </w:pPr>
    </w:p>
    <w:p w:rsidR="00D20A11" w:rsidRPr="00883EC9" w:rsidRDefault="00D20A11" w:rsidP="00D20A11">
      <w:pPr>
        <w:pStyle w:val="llb"/>
        <w:tabs>
          <w:tab w:val="clear" w:pos="4536"/>
          <w:tab w:val="left" w:pos="3400"/>
          <w:tab w:val="center" w:pos="4253"/>
          <w:tab w:val="left" w:pos="6804"/>
          <w:tab w:val="center" w:pos="7230"/>
        </w:tabs>
        <w:ind w:right="-81"/>
        <w:rPr>
          <w:i/>
          <w:iCs/>
          <w:sz w:val="24"/>
          <w:szCs w:val="24"/>
        </w:rPr>
      </w:pPr>
      <w:r w:rsidRPr="00883EC9">
        <w:rPr>
          <w:i/>
          <w:iCs/>
          <w:sz w:val="24"/>
          <w:szCs w:val="24"/>
        </w:rPr>
        <w:t>Kivitelezés-próbaüzem alatt lévő pályázatok</w:t>
      </w:r>
    </w:p>
    <w:p w:rsidR="00D71178" w:rsidRPr="00883EC9" w:rsidRDefault="00D71178" w:rsidP="00D20A11">
      <w:pPr>
        <w:pStyle w:val="llb"/>
        <w:tabs>
          <w:tab w:val="clear" w:pos="4536"/>
          <w:tab w:val="left" w:pos="3400"/>
          <w:tab w:val="center" w:pos="4253"/>
          <w:tab w:val="left" w:pos="6804"/>
          <w:tab w:val="center" w:pos="7230"/>
        </w:tabs>
        <w:ind w:right="-81"/>
        <w:rPr>
          <w:i/>
          <w:iCs/>
          <w:sz w:val="8"/>
          <w:szCs w:val="8"/>
        </w:rPr>
      </w:pPr>
    </w:p>
    <w:p w:rsidR="00D20A11" w:rsidRPr="00883EC9" w:rsidRDefault="00D20A11" w:rsidP="00D20A11">
      <w:pPr>
        <w:pStyle w:val="Szvegtrzs"/>
        <w:tabs>
          <w:tab w:val="center" w:pos="4253"/>
          <w:tab w:val="center" w:pos="7230"/>
        </w:tabs>
        <w:ind w:right="-81"/>
        <w:rPr>
          <w:i/>
          <w:iCs/>
          <w:sz w:val="22"/>
          <w:szCs w:val="22"/>
          <w:u w:val="single"/>
        </w:rPr>
      </w:pPr>
      <w:r w:rsidRPr="00883EC9">
        <w:rPr>
          <w:i/>
          <w:iCs/>
          <w:sz w:val="22"/>
          <w:szCs w:val="22"/>
          <w:u w:val="single"/>
        </w:rPr>
        <w:t>Vízbázis</w:t>
      </w:r>
      <w:r w:rsidRPr="00883EC9">
        <w:rPr>
          <w:i/>
          <w:iCs/>
          <w:sz w:val="22"/>
          <w:szCs w:val="22"/>
          <w:u w:val="single"/>
        </w:rPr>
        <w:tab/>
        <w:t>Kivitelezés megkezdése</w:t>
      </w:r>
      <w:r w:rsidRPr="00883EC9">
        <w:rPr>
          <w:i/>
          <w:iCs/>
          <w:sz w:val="22"/>
          <w:szCs w:val="22"/>
          <w:u w:val="single"/>
        </w:rPr>
        <w:tab/>
        <w:t xml:space="preserve"> Várható befejezése</w:t>
      </w:r>
    </w:p>
    <w:p w:rsidR="00D20A11" w:rsidRPr="00883EC9" w:rsidRDefault="00D20A11" w:rsidP="00D20A11">
      <w:pPr>
        <w:pStyle w:val="llb"/>
        <w:tabs>
          <w:tab w:val="clear" w:pos="4536"/>
          <w:tab w:val="center" w:pos="4253"/>
          <w:tab w:val="center" w:pos="7088"/>
        </w:tabs>
        <w:ind w:right="-81"/>
        <w:rPr>
          <w:sz w:val="22"/>
          <w:szCs w:val="22"/>
        </w:rPr>
      </w:pPr>
      <w:r w:rsidRPr="00883EC9">
        <w:rPr>
          <w:sz w:val="22"/>
          <w:szCs w:val="22"/>
        </w:rPr>
        <w:t>Nemesrempehollós</w:t>
      </w:r>
      <w:r w:rsidRPr="00883EC9">
        <w:rPr>
          <w:sz w:val="22"/>
          <w:szCs w:val="22"/>
        </w:rPr>
        <w:tab/>
        <w:t>2017. év</w:t>
      </w:r>
      <w:r w:rsidRPr="00883EC9">
        <w:rPr>
          <w:sz w:val="22"/>
          <w:szCs w:val="22"/>
        </w:rPr>
        <w:tab/>
        <w:t>2018. év</w:t>
      </w:r>
    </w:p>
    <w:p w:rsidR="00D20A11" w:rsidRPr="00883EC9" w:rsidRDefault="00D20A11" w:rsidP="00D20A11">
      <w:pPr>
        <w:pStyle w:val="Szvegtrzs"/>
        <w:spacing w:before="20" w:after="20"/>
        <w:ind w:right="-81"/>
        <w:rPr>
          <w:sz w:val="16"/>
          <w:szCs w:val="16"/>
        </w:rPr>
      </w:pPr>
    </w:p>
    <w:p w:rsidR="00D20A11" w:rsidRPr="00883EC9" w:rsidRDefault="00D20A11" w:rsidP="00D71178">
      <w:pPr>
        <w:pStyle w:val="Szvegtrzs"/>
        <w:spacing w:after="120"/>
        <w:ind w:right="34"/>
        <w:rPr>
          <w:szCs w:val="24"/>
        </w:rPr>
      </w:pPr>
      <w:r w:rsidRPr="00883EC9">
        <w:rPr>
          <w:szCs w:val="24"/>
        </w:rPr>
        <w:t xml:space="preserve">Nemesrempehollós vízbázis vízminőség-javító projekt megvalósítása a KEHOP-2.1.1. pályázat keretében 2015. év végén, Tormásliget és Halogy vízbázisok (közös pályázat) KEHOP 2.1.2. pályázat keretében 2016. I. negyedévben az NFP koordinációjával és társaságunk közreműködésével (adatszolgáltatások, műszaki tartalom javaslat összeállítása, stb.) elindult. Nemesrempehollós vízbázis fejlesztésére vonatkozó közbeszerzés (tervezési és kivitelezési feladatokra) az NFP koordinálásával megtörtént, a kivitelezés elkezdődött (kivitelező: </w:t>
      </w:r>
      <w:proofErr w:type="spellStart"/>
      <w:r w:rsidRPr="00883EC9">
        <w:rPr>
          <w:szCs w:val="24"/>
        </w:rPr>
        <w:t>Szabadics</w:t>
      </w:r>
      <w:proofErr w:type="spellEnd"/>
      <w:r w:rsidRPr="00883EC9">
        <w:rPr>
          <w:szCs w:val="24"/>
        </w:rPr>
        <w:t xml:space="preserve"> </w:t>
      </w:r>
      <w:proofErr w:type="spellStart"/>
      <w:r w:rsidRPr="00883EC9">
        <w:rPr>
          <w:szCs w:val="24"/>
        </w:rPr>
        <w:t>ZRt</w:t>
      </w:r>
      <w:proofErr w:type="spellEnd"/>
      <w:r w:rsidRPr="00883EC9">
        <w:rPr>
          <w:szCs w:val="24"/>
        </w:rPr>
        <w:t xml:space="preserve">). </w:t>
      </w:r>
    </w:p>
    <w:p w:rsidR="00D20A11" w:rsidRPr="00883EC9" w:rsidRDefault="00D20A11" w:rsidP="00D71178">
      <w:pPr>
        <w:pStyle w:val="Szvegtrzs"/>
        <w:spacing w:after="120"/>
        <w:ind w:right="34"/>
        <w:rPr>
          <w:szCs w:val="24"/>
        </w:rPr>
      </w:pPr>
      <w:r w:rsidRPr="00883EC9">
        <w:rPr>
          <w:szCs w:val="24"/>
        </w:rPr>
        <w:t xml:space="preserve">Tormásliget és Halogy vízbázisok vízminőség-javítása projekt közbeszerzése megtörtént, a projektrészekre (távvezeték, telepfejlesztés, hálózatrekonstrukció) különböző kivitelező került kiválasztásra (kivitelezők: Juhai és Társa Kft., HYDROCOMP Kft., </w:t>
      </w:r>
      <w:proofErr w:type="spellStart"/>
      <w:r w:rsidRPr="00883EC9">
        <w:rPr>
          <w:szCs w:val="24"/>
        </w:rPr>
        <w:t>Szabadics</w:t>
      </w:r>
      <w:proofErr w:type="spellEnd"/>
      <w:r w:rsidRPr="00883EC9">
        <w:rPr>
          <w:szCs w:val="24"/>
        </w:rPr>
        <w:t xml:space="preserve"> </w:t>
      </w:r>
      <w:proofErr w:type="spellStart"/>
      <w:r w:rsidRPr="00883EC9">
        <w:rPr>
          <w:szCs w:val="24"/>
        </w:rPr>
        <w:t>ZRt</w:t>
      </w:r>
      <w:proofErr w:type="spellEnd"/>
      <w:r w:rsidRPr="00883EC9">
        <w:rPr>
          <w:szCs w:val="24"/>
        </w:rPr>
        <w:t>).</w:t>
      </w:r>
    </w:p>
    <w:p w:rsidR="00D20A11" w:rsidRPr="00883EC9" w:rsidRDefault="00D20A11" w:rsidP="00D20A11">
      <w:pPr>
        <w:pStyle w:val="Szvegtrzs"/>
        <w:spacing w:after="120"/>
        <w:ind w:right="34"/>
        <w:rPr>
          <w:szCs w:val="24"/>
        </w:rPr>
      </w:pPr>
      <w:r w:rsidRPr="00883EC9">
        <w:rPr>
          <w:szCs w:val="24"/>
        </w:rPr>
        <w:t xml:space="preserve">Porpác és Celldömölk vízbázis projektmunkái a KEHOP 2.1.3. pályázati felhíváson belül 2016. év elején megkezdődtek: az NFP és Porpác község, valamint Celldömölk város önkormányzata aláírták a pályázati támogatáshoz szükséges Konzorciumi megállapodásokat. </w:t>
      </w:r>
    </w:p>
    <w:p w:rsidR="00D20A11" w:rsidRPr="00883EC9" w:rsidRDefault="00D20A11" w:rsidP="00D20A11">
      <w:pPr>
        <w:pStyle w:val="Szvegtrzs"/>
        <w:spacing w:after="120"/>
        <w:ind w:right="34"/>
        <w:rPr>
          <w:szCs w:val="24"/>
        </w:rPr>
      </w:pPr>
      <w:r w:rsidRPr="00883EC9">
        <w:rPr>
          <w:bCs/>
        </w:rPr>
        <w:t xml:space="preserve">A VASIVÍZ </w:t>
      </w:r>
      <w:proofErr w:type="spellStart"/>
      <w:r w:rsidRPr="00883EC9">
        <w:rPr>
          <w:bCs/>
        </w:rPr>
        <w:t>ZRt</w:t>
      </w:r>
      <w:proofErr w:type="spellEnd"/>
      <w:r w:rsidRPr="00883EC9">
        <w:rPr>
          <w:bCs/>
        </w:rPr>
        <w:t xml:space="preserve">. szakmai munkája alapján az OKK támogató szakvéleményével és az NFP további fejlesztési igények befogadásával további vízbázisok – Répcelak, Pápoc, Vönöck, </w:t>
      </w:r>
      <w:proofErr w:type="spellStart"/>
      <w:r w:rsidRPr="00883EC9">
        <w:rPr>
          <w:bCs/>
        </w:rPr>
        <w:t>Rábahídvég</w:t>
      </w:r>
      <w:proofErr w:type="spellEnd"/>
      <w:r w:rsidRPr="00883EC9">
        <w:rPr>
          <w:bCs/>
        </w:rPr>
        <w:t xml:space="preserve"> – kerültek az 1084/2016. (II. 29.) Korm. határozattal a 2016. éves fejlesztési keretbe mint KEHOP 2.1.3 nevesített pályázatok. A vízbázisok tulajdonosaival a </w:t>
      </w:r>
      <w:r w:rsidRPr="00883EC9">
        <w:rPr>
          <w:szCs w:val="24"/>
        </w:rPr>
        <w:t xml:space="preserve">Konzorciumi megállapodások aláírásra kerültek. </w:t>
      </w:r>
    </w:p>
    <w:p w:rsidR="00D20A11" w:rsidRPr="00883EC9" w:rsidRDefault="00D20A11" w:rsidP="00D20A11">
      <w:pPr>
        <w:pStyle w:val="Alaprtelmezs"/>
        <w:autoSpaceDE w:val="0"/>
        <w:autoSpaceDN w:val="0"/>
        <w:ind w:right="34"/>
        <w:jc w:val="both"/>
        <w:rPr>
          <w:rFonts w:ascii="Times New Roman" w:hAnsi="Times New Roman"/>
          <w:bCs/>
          <w:sz w:val="24"/>
        </w:rPr>
      </w:pPr>
    </w:p>
    <w:p w:rsidR="003D5388" w:rsidRPr="00883EC9" w:rsidRDefault="003D5388" w:rsidP="009632E5">
      <w:pPr>
        <w:ind w:right="-81"/>
        <w:jc w:val="both"/>
        <w:rPr>
          <w:bCs/>
          <w:i/>
          <w:sz w:val="24"/>
          <w:szCs w:val="24"/>
        </w:rPr>
      </w:pPr>
      <w:r w:rsidRPr="00883EC9">
        <w:rPr>
          <w:bCs/>
          <w:i/>
          <w:sz w:val="24"/>
          <w:szCs w:val="24"/>
        </w:rPr>
        <w:t>Szennyvízelvezetési és –tisztítási pályázatok</w:t>
      </w:r>
    </w:p>
    <w:p w:rsidR="009C5E0C" w:rsidRPr="00883EC9" w:rsidRDefault="009C5E0C" w:rsidP="009632E5">
      <w:pPr>
        <w:ind w:right="-81"/>
        <w:jc w:val="both"/>
        <w:rPr>
          <w:bCs/>
          <w:i/>
          <w:sz w:val="10"/>
          <w:szCs w:val="10"/>
        </w:rPr>
      </w:pPr>
    </w:p>
    <w:p w:rsidR="00D71178" w:rsidRPr="00883EC9" w:rsidRDefault="00D71178" w:rsidP="00D71178">
      <w:pPr>
        <w:pStyle w:val="Szvegtrzs"/>
        <w:spacing w:after="120"/>
        <w:ind w:right="34"/>
        <w:rPr>
          <w:bCs/>
        </w:rPr>
      </w:pPr>
      <w:r w:rsidRPr="00883EC9">
        <w:rPr>
          <w:bCs/>
        </w:rPr>
        <w:t xml:space="preserve">A 25/2002 (II.27.) Korm. rendeletben előírt derogációs kötelezettségek teljesítéséhez az éves fejlesztési keretben az 1084/2016. (II. 29.) Korm. határozattal nevesített önkormányzatok vehetnek részt a KEHOP szennyvízelvezetési és –tisztítási programban. Az egyes projektek összköltségének 5%-áig lehetőség van a meglévő hálózatok rekonstrukciójára is. </w:t>
      </w:r>
    </w:p>
    <w:p w:rsidR="007669B3" w:rsidRDefault="007669B3">
      <w:pPr>
        <w:rPr>
          <w:i/>
          <w:iCs/>
          <w:sz w:val="16"/>
          <w:szCs w:val="16"/>
        </w:rPr>
      </w:pPr>
      <w:r>
        <w:rPr>
          <w:i/>
          <w:iCs/>
          <w:sz w:val="16"/>
          <w:szCs w:val="16"/>
        </w:rPr>
        <w:br w:type="page"/>
      </w:r>
    </w:p>
    <w:p w:rsidR="00D71178" w:rsidRPr="00883EC9" w:rsidRDefault="00D71178" w:rsidP="00D71178">
      <w:pPr>
        <w:ind w:right="-81"/>
        <w:rPr>
          <w:i/>
          <w:iCs/>
          <w:sz w:val="16"/>
          <w:szCs w:val="16"/>
        </w:rPr>
      </w:pPr>
    </w:p>
    <w:p w:rsidR="00D71178" w:rsidRPr="00883EC9" w:rsidRDefault="00D71178" w:rsidP="00D71178">
      <w:pPr>
        <w:pStyle w:val="llb"/>
        <w:tabs>
          <w:tab w:val="clear" w:pos="4536"/>
          <w:tab w:val="left" w:pos="3400"/>
          <w:tab w:val="center" w:pos="4253"/>
          <w:tab w:val="left" w:pos="6804"/>
          <w:tab w:val="center" w:pos="7230"/>
        </w:tabs>
        <w:ind w:right="-81"/>
        <w:rPr>
          <w:i/>
          <w:iCs/>
          <w:sz w:val="24"/>
          <w:szCs w:val="24"/>
        </w:rPr>
      </w:pPr>
      <w:r w:rsidRPr="00883EC9">
        <w:rPr>
          <w:i/>
          <w:iCs/>
          <w:sz w:val="24"/>
          <w:szCs w:val="24"/>
        </w:rPr>
        <w:t>Folyamatban lévő pályázatok</w:t>
      </w:r>
    </w:p>
    <w:tbl>
      <w:tblPr>
        <w:tblW w:w="0" w:type="auto"/>
        <w:tblLook w:val="04A0" w:firstRow="1" w:lastRow="0" w:firstColumn="1" w:lastColumn="0" w:noHBand="0" w:noVBand="1"/>
      </w:tblPr>
      <w:tblGrid>
        <w:gridCol w:w="4786"/>
        <w:gridCol w:w="1843"/>
        <w:gridCol w:w="2583"/>
        <w:gridCol w:w="144"/>
      </w:tblGrid>
      <w:tr w:rsidR="00D71178" w:rsidRPr="00883EC9" w:rsidTr="00A659F9">
        <w:trPr>
          <w:gridAfter w:val="1"/>
          <w:wAfter w:w="144" w:type="dxa"/>
        </w:trPr>
        <w:tc>
          <w:tcPr>
            <w:tcW w:w="4786" w:type="dxa"/>
            <w:tcBorders>
              <w:bottom w:val="single" w:sz="4" w:space="0" w:color="auto"/>
            </w:tcBorders>
            <w:shd w:val="clear" w:color="auto" w:fill="auto"/>
          </w:tcPr>
          <w:p w:rsidR="00D71178" w:rsidRPr="00883EC9" w:rsidRDefault="00D71178" w:rsidP="00A659F9">
            <w:pPr>
              <w:rPr>
                <w:rFonts w:eastAsia="Calibri"/>
                <w:i/>
                <w:iCs/>
                <w:sz w:val="22"/>
                <w:szCs w:val="22"/>
              </w:rPr>
            </w:pPr>
          </w:p>
          <w:p w:rsidR="00D71178" w:rsidRPr="00883EC9" w:rsidRDefault="00D71178" w:rsidP="00A659F9">
            <w:pPr>
              <w:rPr>
                <w:rFonts w:eastAsia="Calibri"/>
                <w:i/>
                <w:iCs/>
                <w:sz w:val="22"/>
                <w:szCs w:val="22"/>
              </w:rPr>
            </w:pPr>
            <w:r w:rsidRPr="00883EC9">
              <w:rPr>
                <w:rFonts w:eastAsia="Calibri"/>
                <w:i/>
                <w:iCs/>
                <w:sz w:val="22"/>
                <w:szCs w:val="22"/>
              </w:rPr>
              <w:t>Agglomeráció</w:t>
            </w:r>
          </w:p>
        </w:tc>
        <w:tc>
          <w:tcPr>
            <w:tcW w:w="1843" w:type="dxa"/>
            <w:tcBorders>
              <w:bottom w:val="single" w:sz="4" w:space="0" w:color="auto"/>
            </w:tcBorders>
            <w:shd w:val="clear" w:color="auto" w:fill="auto"/>
          </w:tcPr>
          <w:p w:rsidR="00D71178" w:rsidRPr="00883EC9" w:rsidRDefault="00D71178" w:rsidP="00A659F9">
            <w:pPr>
              <w:jc w:val="center"/>
              <w:rPr>
                <w:rFonts w:eastAsia="Calibri"/>
                <w:i/>
                <w:iCs/>
                <w:sz w:val="22"/>
                <w:szCs w:val="22"/>
              </w:rPr>
            </w:pPr>
          </w:p>
          <w:p w:rsidR="00D71178" w:rsidRPr="00883EC9" w:rsidRDefault="00D71178" w:rsidP="00A659F9">
            <w:pPr>
              <w:jc w:val="center"/>
              <w:rPr>
                <w:rFonts w:eastAsia="Calibri"/>
                <w:i/>
                <w:iCs/>
                <w:sz w:val="22"/>
                <w:szCs w:val="22"/>
              </w:rPr>
            </w:pPr>
            <w:r w:rsidRPr="00883EC9">
              <w:rPr>
                <w:rFonts w:eastAsia="Calibri"/>
                <w:i/>
                <w:iCs/>
                <w:sz w:val="22"/>
                <w:szCs w:val="22"/>
              </w:rPr>
              <w:t>Előkészítés</w:t>
            </w:r>
          </w:p>
        </w:tc>
        <w:tc>
          <w:tcPr>
            <w:tcW w:w="2583" w:type="dxa"/>
            <w:tcBorders>
              <w:bottom w:val="single" w:sz="4" w:space="0" w:color="auto"/>
            </w:tcBorders>
            <w:shd w:val="clear" w:color="auto" w:fill="auto"/>
          </w:tcPr>
          <w:p w:rsidR="00D71178" w:rsidRPr="00883EC9" w:rsidRDefault="00D71178" w:rsidP="00A659F9">
            <w:pPr>
              <w:jc w:val="center"/>
              <w:rPr>
                <w:rFonts w:eastAsia="Calibri"/>
                <w:i/>
                <w:iCs/>
                <w:sz w:val="22"/>
                <w:szCs w:val="22"/>
              </w:rPr>
            </w:pPr>
            <w:r w:rsidRPr="00883EC9">
              <w:rPr>
                <w:rFonts w:eastAsia="Calibri"/>
                <w:i/>
                <w:iCs/>
                <w:sz w:val="22"/>
                <w:szCs w:val="22"/>
              </w:rPr>
              <w:t>Kivitelezés várható megkezdése</w:t>
            </w:r>
          </w:p>
        </w:tc>
      </w:tr>
      <w:tr w:rsidR="00D71178" w:rsidRPr="00883EC9" w:rsidTr="00A659F9">
        <w:tc>
          <w:tcPr>
            <w:tcW w:w="4786" w:type="dxa"/>
            <w:tcBorders>
              <w:top w:val="single" w:sz="4" w:space="0" w:color="auto"/>
            </w:tcBorders>
            <w:shd w:val="clear" w:color="auto" w:fill="auto"/>
          </w:tcPr>
          <w:p w:rsidR="00D71178" w:rsidRPr="00883EC9" w:rsidRDefault="00D71178" w:rsidP="00A659F9">
            <w:pPr>
              <w:rPr>
                <w:rFonts w:eastAsia="Calibri"/>
                <w:sz w:val="22"/>
                <w:szCs w:val="22"/>
              </w:rPr>
            </w:pPr>
            <w:r w:rsidRPr="00883EC9">
              <w:rPr>
                <w:rFonts w:eastAsia="Calibri"/>
                <w:sz w:val="22"/>
                <w:szCs w:val="22"/>
              </w:rPr>
              <w:t>Csepreg (</w:t>
            </w:r>
            <w:proofErr w:type="spellStart"/>
            <w:r w:rsidRPr="00883EC9">
              <w:rPr>
                <w:rFonts w:eastAsia="Calibri"/>
                <w:sz w:val="22"/>
                <w:szCs w:val="22"/>
              </w:rPr>
              <w:t>Csepreg</w:t>
            </w:r>
            <w:proofErr w:type="spellEnd"/>
            <w:r w:rsidRPr="00883EC9">
              <w:rPr>
                <w:rFonts w:eastAsia="Calibri"/>
                <w:sz w:val="22"/>
                <w:szCs w:val="22"/>
              </w:rPr>
              <w:t>, Horvátzsidány, Kiszsidány, Ólmod) szennyvíztisztító telep fejlesztése</w:t>
            </w:r>
          </w:p>
          <w:p w:rsidR="00D71178" w:rsidRPr="00883EC9" w:rsidRDefault="00D71178" w:rsidP="00A659F9">
            <w:pPr>
              <w:rPr>
                <w:rFonts w:eastAsia="Calibri"/>
                <w:i/>
                <w:iCs/>
                <w:sz w:val="22"/>
                <w:szCs w:val="22"/>
              </w:rPr>
            </w:pPr>
          </w:p>
        </w:tc>
        <w:tc>
          <w:tcPr>
            <w:tcW w:w="1843" w:type="dxa"/>
            <w:tcBorders>
              <w:top w:val="single" w:sz="4" w:space="0" w:color="auto"/>
            </w:tcBorders>
            <w:shd w:val="clear" w:color="auto" w:fill="auto"/>
          </w:tcPr>
          <w:p w:rsidR="00D71178" w:rsidRPr="00883EC9" w:rsidRDefault="00D71178" w:rsidP="00A659F9">
            <w:pPr>
              <w:jc w:val="center"/>
              <w:rPr>
                <w:rFonts w:eastAsia="Calibri"/>
                <w:i/>
                <w:iCs/>
                <w:sz w:val="22"/>
                <w:szCs w:val="22"/>
              </w:rPr>
            </w:pPr>
            <w:r w:rsidRPr="00883EC9">
              <w:rPr>
                <w:rFonts w:eastAsia="Calibri"/>
                <w:sz w:val="22"/>
                <w:szCs w:val="22"/>
              </w:rPr>
              <w:t xml:space="preserve">2015-2016. </w:t>
            </w:r>
          </w:p>
        </w:tc>
        <w:tc>
          <w:tcPr>
            <w:tcW w:w="2727" w:type="dxa"/>
            <w:gridSpan w:val="2"/>
            <w:tcBorders>
              <w:top w:val="single" w:sz="4" w:space="0" w:color="auto"/>
            </w:tcBorders>
            <w:shd w:val="clear" w:color="auto" w:fill="auto"/>
          </w:tcPr>
          <w:p w:rsidR="00D71178" w:rsidRPr="00883EC9" w:rsidRDefault="00D71178" w:rsidP="00A659F9">
            <w:pPr>
              <w:jc w:val="center"/>
              <w:rPr>
                <w:rFonts w:eastAsia="Calibri"/>
                <w:i/>
                <w:iCs/>
                <w:sz w:val="22"/>
                <w:szCs w:val="22"/>
              </w:rPr>
            </w:pPr>
            <w:r w:rsidRPr="00883EC9">
              <w:rPr>
                <w:rFonts w:eastAsia="Calibri"/>
                <w:sz w:val="22"/>
                <w:szCs w:val="22"/>
              </w:rPr>
              <w:t xml:space="preserve">2017. II. félév (I. félévben tervezés és engedélyezés) - kivitelező </w:t>
            </w:r>
            <w:proofErr w:type="spellStart"/>
            <w:r w:rsidRPr="00883EC9">
              <w:rPr>
                <w:rFonts w:eastAsia="Calibri"/>
                <w:sz w:val="22"/>
                <w:szCs w:val="22"/>
              </w:rPr>
              <w:t>Swietelsky</w:t>
            </w:r>
            <w:proofErr w:type="spellEnd"/>
            <w:r w:rsidRPr="00883EC9">
              <w:rPr>
                <w:rFonts w:eastAsia="Calibri"/>
                <w:sz w:val="22"/>
                <w:szCs w:val="22"/>
              </w:rPr>
              <w:t xml:space="preserve"> Magyarország Kft.</w:t>
            </w:r>
          </w:p>
        </w:tc>
      </w:tr>
      <w:tr w:rsidR="00D71178" w:rsidRPr="00883EC9" w:rsidTr="00A659F9">
        <w:tc>
          <w:tcPr>
            <w:tcW w:w="4786" w:type="dxa"/>
            <w:shd w:val="clear" w:color="auto" w:fill="auto"/>
          </w:tcPr>
          <w:p w:rsidR="00D71178" w:rsidRPr="00883EC9" w:rsidRDefault="00D71178" w:rsidP="00A659F9">
            <w:pPr>
              <w:rPr>
                <w:rFonts w:eastAsia="Calibri"/>
                <w:sz w:val="22"/>
                <w:szCs w:val="22"/>
              </w:rPr>
            </w:pPr>
            <w:r w:rsidRPr="00883EC9">
              <w:rPr>
                <w:rFonts w:eastAsia="Calibri"/>
                <w:sz w:val="22"/>
                <w:szCs w:val="22"/>
              </w:rPr>
              <w:t>Szentgotthárd (</w:t>
            </w:r>
            <w:proofErr w:type="spellStart"/>
            <w:r w:rsidRPr="00883EC9">
              <w:rPr>
                <w:rFonts w:eastAsia="Calibri"/>
                <w:sz w:val="22"/>
                <w:szCs w:val="22"/>
              </w:rPr>
              <w:t>Máriaújfalu</w:t>
            </w:r>
            <w:proofErr w:type="spellEnd"/>
            <w:r w:rsidRPr="00883EC9">
              <w:rPr>
                <w:rFonts w:eastAsia="Calibri"/>
                <w:sz w:val="22"/>
                <w:szCs w:val="22"/>
              </w:rPr>
              <w:t xml:space="preserve"> városrész csatornázása)</w:t>
            </w:r>
          </w:p>
        </w:tc>
        <w:tc>
          <w:tcPr>
            <w:tcW w:w="1843" w:type="dxa"/>
            <w:shd w:val="clear" w:color="auto" w:fill="auto"/>
          </w:tcPr>
          <w:p w:rsidR="00D71178" w:rsidRPr="00883EC9" w:rsidRDefault="00D71178" w:rsidP="00A659F9">
            <w:pPr>
              <w:jc w:val="center"/>
              <w:rPr>
                <w:rFonts w:eastAsia="Calibri"/>
                <w:i/>
                <w:iCs/>
                <w:sz w:val="22"/>
                <w:szCs w:val="22"/>
              </w:rPr>
            </w:pPr>
            <w:r w:rsidRPr="00883EC9">
              <w:rPr>
                <w:rFonts w:eastAsia="Calibri"/>
                <w:sz w:val="22"/>
                <w:szCs w:val="22"/>
              </w:rPr>
              <w:t xml:space="preserve">2015-2016. </w:t>
            </w:r>
          </w:p>
        </w:tc>
        <w:tc>
          <w:tcPr>
            <w:tcW w:w="2727" w:type="dxa"/>
            <w:gridSpan w:val="2"/>
            <w:shd w:val="clear" w:color="auto" w:fill="auto"/>
          </w:tcPr>
          <w:p w:rsidR="00D71178" w:rsidRPr="00883EC9" w:rsidRDefault="00D71178" w:rsidP="00A659F9">
            <w:pPr>
              <w:jc w:val="center"/>
              <w:rPr>
                <w:rFonts w:eastAsia="Calibri"/>
                <w:i/>
                <w:iCs/>
                <w:sz w:val="22"/>
                <w:szCs w:val="22"/>
              </w:rPr>
            </w:pPr>
            <w:r w:rsidRPr="00883EC9">
              <w:rPr>
                <w:rFonts w:eastAsia="Calibri"/>
                <w:sz w:val="22"/>
                <w:szCs w:val="22"/>
              </w:rPr>
              <w:t xml:space="preserve">2017. júliusban megkezdődött - kivitelező Colas Alterra </w:t>
            </w:r>
            <w:proofErr w:type="spellStart"/>
            <w:r w:rsidRPr="00883EC9">
              <w:rPr>
                <w:rFonts w:eastAsia="Calibri"/>
                <w:sz w:val="22"/>
                <w:szCs w:val="22"/>
              </w:rPr>
              <w:t>Zrt</w:t>
            </w:r>
            <w:proofErr w:type="spellEnd"/>
            <w:r w:rsidRPr="00883EC9">
              <w:rPr>
                <w:rFonts w:eastAsia="Calibri"/>
                <w:sz w:val="22"/>
                <w:szCs w:val="22"/>
              </w:rPr>
              <w:t>.</w:t>
            </w:r>
          </w:p>
        </w:tc>
      </w:tr>
      <w:tr w:rsidR="00D71178" w:rsidRPr="00883EC9" w:rsidTr="00A659F9">
        <w:tc>
          <w:tcPr>
            <w:tcW w:w="4786" w:type="dxa"/>
            <w:shd w:val="clear" w:color="auto" w:fill="auto"/>
          </w:tcPr>
          <w:p w:rsidR="00D71178" w:rsidRPr="00883EC9" w:rsidRDefault="00D71178" w:rsidP="00A659F9">
            <w:pPr>
              <w:rPr>
                <w:rFonts w:eastAsia="Calibri"/>
                <w:sz w:val="22"/>
                <w:szCs w:val="22"/>
              </w:rPr>
            </w:pPr>
            <w:r w:rsidRPr="00883EC9">
              <w:rPr>
                <w:rFonts w:eastAsia="Calibri"/>
                <w:sz w:val="22"/>
                <w:szCs w:val="22"/>
              </w:rPr>
              <w:t>Celldömölk (Izsákfa városrész csatornázása, szennyvíztisztító telep korszerűsítése)</w:t>
            </w:r>
          </w:p>
        </w:tc>
        <w:tc>
          <w:tcPr>
            <w:tcW w:w="1843" w:type="dxa"/>
            <w:shd w:val="clear" w:color="auto" w:fill="auto"/>
          </w:tcPr>
          <w:p w:rsidR="00D71178" w:rsidRPr="00883EC9" w:rsidRDefault="00D71178" w:rsidP="00A659F9">
            <w:pPr>
              <w:jc w:val="center"/>
              <w:rPr>
                <w:rFonts w:eastAsia="Calibri"/>
                <w:i/>
                <w:iCs/>
                <w:sz w:val="22"/>
                <w:szCs w:val="22"/>
              </w:rPr>
            </w:pPr>
            <w:r w:rsidRPr="00883EC9">
              <w:rPr>
                <w:rFonts w:eastAsia="Calibri"/>
                <w:sz w:val="22"/>
                <w:szCs w:val="22"/>
              </w:rPr>
              <w:t xml:space="preserve">2015-2016. </w:t>
            </w:r>
          </w:p>
        </w:tc>
        <w:tc>
          <w:tcPr>
            <w:tcW w:w="2727" w:type="dxa"/>
            <w:gridSpan w:val="2"/>
            <w:shd w:val="clear" w:color="auto" w:fill="auto"/>
          </w:tcPr>
          <w:p w:rsidR="00D71178" w:rsidRPr="00883EC9" w:rsidRDefault="00D71178" w:rsidP="00A659F9">
            <w:pPr>
              <w:jc w:val="center"/>
              <w:rPr>
                <w:rFonts w:eastAsia="Calibri"/>
                <w:i/>
                <w:iCs/>
                <w:sz w:val="22"/>
                <w:szCs w:val="22"/>
              </w:rPr>
            </w:pPr>
            <w:r w:rsidRPr="00883EC9">
              <w:rPr>
                <w:rFonts w:eastAsia="Calibri"/>
                <w:sz w:val="22"/>
                <w:szCs w:val="22"/>
              </w:rPr>
              <w:t xml:space="preserve">2017. II. félév (I. félévben tervezés és engedélyezés) - kivitelező </w:t>
            </w:r>
            <w:proofErr w:type="spellStart"/>
            <w:r w:rsidRPr="00883EC9">
              <w:rPr>
                <w:rFonts w:eastAsia="Calibri"/>
                <w:sz w:val="22"/>
                <w:szCs w:val="22"/>
              </w:rPr>
              <w:t>Szabadics</w:t>
            </w:r>
            <w:proofErr w:type="spellEnd"/>
            <w:r w:rsidRPr="00883EC9">
              <w:rPr>
                <w:rFonts w:eastAsia="Calibri"/>
                <w:sz w:val="22"/>
                <w:szCs w:val="22"/>
              </w:rPr>
              <w:t xml:space="preserve"> </w:t>
            </w:r>
            <w:proofErr w:type="spellStart"/>
            <w:r w:rsidRPr="00883EC9">
              <w:rPr>
                <w:rFonts w:eastAsia="Calibri"/>
                <w:sz w:val="22"/>
                <w:szCs w:val="22"/>
              </w:rPr>
              <w:t>Zrt</w:t>
            </w:r>
            <w:proofErr w:type="spellEnd"/>
            <w:r w:rsidRPr="00883EC9">
              <w:rPr>
                <w:rFonts w:eastAsia="Calibri"/>
                <w:sz w:val="22"/>
                <w:szCs w:val="22"/>
              </w:rPr>
              <w:t>.</w:t>
            </w:r>
          </w:p>
        </w:tc>
      </w:tr>
      <w:tr w:rsidR="00D71178" w:rsidRPr="00883EC9" w:rsidTr="00A659F9">
        <w:trPr>
          <w:gridAfter w:val="1"/>
          <w:wAfter w:w="144" w:type="dxa"/>
        </w:trPr>
        <w:tc>
          <w:tcPr>
            <w:tcW w:w="4786" w:type="dxa"/>
            <w:shd w:val="clear" w:color="auto" w:fill="auto"/>
          </w:tcPr>
          <w:p w:rsidR="00D71178" w:rsidRPr="00883EC9" w:rsidRDefault="00D71178" w:rsidP="00A659F9">
            <w:pPr>
              <w:rPr>
                <w:rFonts w:eastAsia="Calibri"/>
                <w:bCs/>
                <w:sz w:val="22"/>
                <w:szCs w:val="22"/>
              </w:rPr>
            </w:pPr>
            <w:r w:rsidRPr="00883EC9">
              <w:rPr>
                <w:rFonts w:eastAsia="Calibri"/>
                <w:sz w:val="22"/>
                <w:szCs w:val="22"/>
              </w:rPr>
              <w:t>Jánosháza agglomeráció bővítése új csatornarendszerek (</w:t>
            </w:r>
            <w:r w:rsidRPr="00883EC9">
              <w:rPr>
                <w:rFonts w:eastAsia="Calibri"/>
                <w:bCs/>
                <w:sz w:val="22"/>
                <w:szCs w:val="22"/>
              </w:rPr>
              <w:t xml:space="preserve">Duka, Karakó, Kemenespálfa, Kissomlyó, Nemeskeresztúr) </w:t>
            </w:r>
            <w:r w:rsidRPr="00883EC9">
              <w:rPr>
                <w:rFonts w:eastAsia="Calibri"/>
                <w:sz w:val="22"/>
                <w:szCs w:val="22"/>
              </w:rPr>
              <w:t>rácsatlakozásával és szennyvíztisztító telep rekonstrukció</w:t>
            </w:r>
          </w:p>
        </w:tc>
        <w:tc>
          <w:tcPr>
            <w:tcW w:w="1843" w:type="dxa"/>
            <w:shd w:val="clear" w:color="auto" w:fill="auto"/>
          </w:tcPr>
          <w:p w:rsidR="00D71178" w:rsidRPr="00883EC9" w:rsidRDefault="00D71178" w:rsidP="00A659F9">
            <w:pPr>
              <w:jc w:val="center"/>
              <w:rPr>
                <w:rFonts w:eastAsia="Calibri"/>
                <w:i/>
                <w:iCs/>
                <w:sz w:val="22"/>
                <w:szCs w:val="22"/>
              </w:rPr>
            </w:pPr>
            <w:r w:rsidRPr="00883EC9">
              <w:rPr>
                <w:rFonts w:eastAsia="Calibri"/>
                <w:sz w:val="22"/>
                <w:szCs w:val="22"/>
              </w:rPr>
              <w:t xml:space="preserve">2015-2016. </w:t>
            </w:r>
          </w:p>
        </w:tc>
        <w:tc>
          <w:tcPr>
            <w:tcW w:w="2583" w:type="dxa"/>
            <w:shd w:val="clear" w:color="auto" w:fill="auto"/>
          </w:tcPr>
          <w:p w:rsidR="00D71178" w:rsidRPr="00883EC9" w:rsidRDefault="00D71178" w:rsidP="00A659F9">
            <w:pPr>
              <w:jc w:val="center"/>
              <w:rPr>
                <w:rFonts w:eastAsia="Calibri"/>
                <w:i/>
                <w:iCs/>
                <w:sz w:val="22"/>
                <w:szCs w:val="22"/>
              </w:rPr>
            </w:pPr>
            <w:r w:rsidRPr="00883EC9">
              <w:rPr>
                <w:rFonts w:eastAsia="Calibri"/>
                <w:sz w:val="22"/>
                <w:szCs w:val="22"/>
              </w:rPr>
              <w:t xml:space="preserve">2017. </w:t>
            </w:r>
          </w:p>
        </w:tc>
      </w:tr>
      <w:tr w:rsidR="00D71178" w:rsidRPr="00883EC9" w:rsidTr="00A659F9">
        <w:trPr>
          <w:gridAfter w:val="1"/>
          <w:wAfter w:w="144" w:type="dxa"/>
        </w:trPr>
        <w:tc>
          <w:tcPr>
            <w:tcW w:w="4786" w:type="dxa"/>
            <w:shd w:val="clear" w:color="auto" w:fill="auto"/>
          </w:tcPr>
          <w:p w:rsidR="00D71178" w:rsidRPr="00883EC9" w:rsidRDefault="00D71178" w:rsidP="00A659F9">
            <w:pPr>
              <w:rPr>
                <w:rFonts w:eastAsia="Calibri"/>
                <w:sz w:val="22"/>
                <w:szCs w:val="22"/>
              </w:rPr>
            </w:pPr>
            <w:r w:rsidRPr="00883EC9">
              <w:rPr>
                <w:rFonts w:eastAsia="Calibri"/>
                <w:sz w:val="22"/>
                <w:szCs w:val="22"/>
              </w:rPr>
              <w:t>Hegyfalu és Térsége (Hegyfalu, Szeleste, Ölbő, Pósfa) csatornázás és szennyvíztisztító telep létesítése</w:t>
            </w:r>
          </w:p>
        </w:tc>
        <w:tc>
          <w:tcPr>
            <w:tcW w:w="1843" w:type="dxa"/>
            <w:shd w:val="clear" w:color="auto" w:fill="auto"/>
          </w:tcPr>
          <w:p w:rsidR="00D71178" w:rsidRPr="00883EC9" w:rsidRDefault="00D71178" w:rsidP="00A659F9">
            <w:pPr>
              <w:jc w:val="center"/>
              <w:rPr>
                <w:rFonts w:eastAsia="Calibri"/>
                <w:i/>
                <w:iCs/>
                <w:sz w:val="22"/>
                <w:szCs w:val="22"/>
              </w:rPr>
            </w:pPr>
            <w:r w:rsidRPr="00883EC9">
              <w:rPr>
                <w:rFonts w:eastAsia="Calibri"/>
                <w:sz w:val="22"/>
                <w:szCs w:val="22"/>
              </w:rPr>
              <w:t xml:space="preserve">2015-2016. </w:t>
            </w:r>
          </w:p>
        </w:tc>
        <w:tc>
          <w:tcPr>
            <w:tcW w:w="2583" w:type="dxa"/>
            <w:shd w:val="clear" w:color="auto" w:fill="auto"/>
          </w:tcPr>
          <w:p w:rsidR="00D71178" w:rsidRPr="00883EC9" w:rsidRDefault="00D71178" w:rsidP="00A659F9">
            <w:pPr>
              <w:jc w:val="center"/>
              <w:rPr>
                <w:rFonts w:eastAsia="Calibri"/>
                <w:i/>
                <w:iCs/>
                <w:sz w:val="22"/>
                <w:szCs w:val="22"/>
              </w:rPr>
            </w:pPr>
            <w:r w:rsidRPr="00883EC9">
              <w:rPr>
                <w:rFonts w:eastAsia="Calibri"/>
                <w:sz w:val="22"/>
                <w:szCs w:val="22"/>
              </w:rPr>
              <w:t>2017.</w:t>
            </w:r>
          </w:p>
        </w:tc>
      </w:tr>
      <w:tr w:rsidR="00D71178" w:rsidRPr="00883EC9" w:rsidTr="00A659F9">
        <w:trPr>
          <w:gridAfter w:val="1"/>
          <w:wAfter w:w="144" w:type="dxa"/>
        </w:trPr>
        <w:tc>
          <w:tcPr>
            <w:tcW w:w="4786" w:type="dxa"/>
            <w:shd w:val="clear" w:color="auto" w:fill="auto"/>
          </w:tcPr>
          <w:p w:rsidR="00D71178" w:rsidRPr="00883EC9" w:rsidRDefault="00D71178" w:rsidP="00A659F9">
            <w:pPr>
              <w:rPr>
                <w:rFonts w:eastAsia="Calibri"/>
                <w:sz w:val="22"/>
                <w:szCs w:val="22"/>
              </w:rPr>
            </w:pPr>
            <w:r w:rsidRPr="00883EC9">
              <w:rPr>
                <w:rFonts w:eastAsia="Calibri"/>
                <w:sz w:val="22"/>
                <w:szCs w:val="22"/>
              </w:rPr>
              <w:t>Ivánc (</w:t>
            </w:r>
            <w:proofErr w:type="spellStart"/>
            <w:r w:rsidRPr="00883EC9">
              <w:rPr>
                <w:rFonts w:eastAsia="Calibri"/>
                <w:sz w:val="22"/>
                <w:szCs w:val="22"/>
              </w:rPr>
              <w:t>Ivánc</w:t>
            </w:r>
            <w:proofErr w:type="spellEnd"/>
            <w:r w:rsidRPr="00883EC9">
              <w:rPr>
                <w:rFonts w:eastAsia="Calibri"/>
                <w:sz w:val="22"/>
                <w:szCs w:val="22"/>
              </w:rPr>
              <w:t>, Csákánydoroszló) szennyvíztisztító telep teljes rekonstrukciója</w:t>
            </w:r>
          </w:p>
        </w:tc>
        <w:tc>
          <w:tcPr>
            <w:tcW w:w="1843" w:type="dxa"/>
            <w:shd w:val="clear" w:color="auto" w:fill="auto"/>
          </w:tcPr>
          <w:p w:rsidR="00D71178" w:rsidRPr="00883EC9" w:rsidRDefault="00D71178" w:rsidP="00A659F9">
            <w:pPr>
              <w:jc w:val="center"/>
              <w:rPr>
                <w:rFonts w:eastAsia="Calibri"/>
                <w:sz w:val="22"/>
                <w:szCs w:val="22"/>
              </w:rPr>
            </w:pPr>
            <w:r w:rsidRPr="00883EC9">
              <w:rPr>
                <w:rFonts w:eastAsia="Calibri"/>
                <w:sz w:val="22"/>
                <w:szCs w:val="22"/>
              </w:rPr>
              <w:t xml:space="preserve">2016-2017. </w:t>
            </w:r>
          </w:p>
        </w:tc>
        <w:tc>
          <w:tcPr>
            <w:tcW w:w="2583" w:type="dxa"/>
            <w:shd w:val="clear" w:color="auto" w:fill="auto"/>
          </w:tcPr>
          <w:p w:rsidR="00D71178" w:rsidRPr="00883EC9" w:rsidRDefault="00D71178" w:rsidP="00A659F9">
            <w:pPr>
              <w:jc w:val="center"/>
              <w:rPr>
                <w:rFonts w:eastAsia="Calibri"/>
                <w:sz w:val="22"/>
                <w:szCs w:val="22"/>
              </w:rPr>
            </w:pPr>
            <w:r w:rsidRPr="00883EC9">
              <w:rPr>
                <w:rFonts w:eastAsia="Calibri"/>
                <w:sz w:val="22"/>
                <w:szCs w:val="22"/>
              </w:rPr>
              <w:t xml:space="preserve">2018. </w:t>
            </w:r>
          </w:p>
        </w:tc>
      </w:tr>
      <w:tr w:rsidR="00D71178" w:rsidRPr="00883EC9" w:rsidTr="00A659F9">
        <w:trPr>
          <w:gridAfter w:val="1"/>
          <w:wAfter w:w="144" w:type="dxa"/>
        </w:trPr>
        <w:tc>
          <w:tcPr>
            <w:tcW w:w="4786" w:type="dxa"/>
            <w:shd w:val="clear" w:color="auto" w:fill="auto"/>
          </w:tcPr>
          <w:p w:rsidR="00D71178" w:rsidRPr="00883EC9" w:rsidRDefault="00D71178" w:rsidP="00A659F9">
            <w:pPr>
              <w:rPr>
                <w:rFonts w:eastAsia="Calibri"/>
                <w:sz w:val="22"/>
                <w:szCs w:val="22"/>
              </w:rPr>
            </w:pPr>
            <w:r w:rsidRPr="00883EC9">
              <w:rPr>
                <w:rFonts w:eastAsia="Calibri"/>
                <w:sz w:val="22"/>
                <w:szCs w:val="22"/>
              </w:rPr>
              <w:t>Nádasd (</w:t>
            </w:r>
            <w:proofErr w:type="spellStart"/>
            <w:r w:rsidRPr="00883EC9">
              <w:rPr>
                <w:rFonts w:eastAsia="Calibri"/>
                <w:sz w:val="22"/>
                <w:szCs w:val="22"/>
              </w:rPr>
              <w:t>Nádasd</w:t>
            </w:r>
            <w:proofErr w:type="spellEnd"/>
            <w:r w:rsidRPr="00883EC9">
              <w:rPr>
                <w:rFonts w:eastAsia="Calibri"/>
                <w:sz w:val="22"/>
                <w:szCs w:val="22"/>
              </w:rPr>
              <w:t>, Katafa) szennyvíztisztító telep teljes rekonstrukciója</w:t>
            </w:r>
          </w:p>
        </w:tc>
        <w:tc>
          <w:tcPr>
            <w:tcW w:w="1843" w:type="dxa"/>
            <w:shd w:val="clear" w:color="auto" w:fill="auto"/>
          </w:tcPr>
          <w:p w:rsidR="00D71178" w:rsidRPr="00883EC9" w:rsidRDefault="00D71178" w:rsidP="00A659F9">
            <w:pPr>
              <w:jc w:val="center"/>
              <w:rPr>
                <w:rFonts w:eastAsia="Calibri"/>
                <w:sz w:val="22"/>
                <w:szCs w:val="22"/>
              </w:rPr>
            </w:pPr>
            <w:r w:rsidRPr="00883EC9">
              <w:rPr>
                <w:rFonts w:eastAsia="Calibri"/>
                <w:sz w:val="22"/>
                <w:szCs w:val="22"/>
              </w:rPr>
              <w:t xml:space="preserve">2016-2017. </w:t>
            </w:r>
          </w:p>
        </w:tc>
        <w:tc>
          <w:tcPr>
            <w:tcW w:w="2583" w:type="dxa"/>
            <w:shd w:val="clear" w:color="auto" w:fill="auto"/>
          </w:tcPr>
          <w:p w:rsidR="00D71178" w:rsidRPr="00883EC9" w:rsidRDefault="00D71178" w:rsidP="00A659F9">
            <w:pPr>
              <w:jc w:val="center"/>
              <w:rPr>
                <w:rFonts w:eastAsia="Calibri"/>
                <w:sz w:val="22"/>
                <w:szCs w:val="22"/>
              </w:rPr>
            </w:pPr>
            <w:r w:rsidRPr="00883EC9">
              <w:rPr>
                <w:rFonts w:eastAsia="Calibri"/>
                <w:sz w:val="22"/>
                <w:szCs w:val="22"/>
              </w:rPr>
              <w:t xml:space="preserve">2018. </w:t>
            </w:r>
          </w:p>
        </w:tc>
      </w:tr>
      <w:tr w:rsidR="00D71178" w:rsidRPr="00883EC9" w:rsidTr="00A659F9">
        <w:trPr>
          <w:gridAfter w:val="1"/>
          <w:wAfter w:w="144" w:type="dxa"/>
        </w:trPr>
        <w:tc>
          <w:tcPr>
            <w:tcW w:w="4786" w:type="dxa"/>
            <w:shd w:val="clear" w:color="auto" w:fill="auto"/>
          </w:tcPr>
          <w:p w:rsidR="00D71178" w:rsidRPr="00883EC9" w:rsidRDefault="00D71178" w:rsidP="00A659F9">
            <w:pPr>
              <w:rPr>
                <w:rFonts w:eastAsia="Calibri"/>
                <w:sz w:val="22"/>
                <w:szCs w:val="22"/>
              </w:rPr>
            </w:pPr>
            <w:r w:rsidRPr="00883EC9">
              <w:rPr>
                <w:rFonts w:eastAsia="Calibri"/>
                <w:sz w:val="22"/>
                <w:szCs w:val="22"/>
              </w:rPr>
              <w:t>Körmend agglomeráció bővítése új csatornarendszerek rácsatlakozásával (Egyházashollós, Magyarszecsőd, Molnaszecsőd, továbbá a BM jóváhagyta Magyarnádalja, Kemestaródfa, Pinkamindszent és Vasalja csatlakozását, de a nevesítéshez a NFM további döntései szükségesek)</w:t>
            </w:r>
          </w:p>
        </w:tc>
        <w:tc>
          <w:tcPr>
            <w:tcW w:w="1843" w:type="dxa"/>
            <w:shd w:val="clear" w:color="auto" w:fill="auto"/>
          </w:tcPr>
          <w:p w:rsidR="00D71178" w:rsidRPr="00883EC9" w:rsidRDefault="00D71178" w:rsidP="00A659F9">
            <w:pPr>
              <w:jc w:val="center"/>
              <w:rPr>
                <w:rFonts w:eastAsia="Calibri"/>
                <w:sz w:val="22"/>
                <w:szCs w:val="22"/>
              </w:rPr>
            </w:pPr>
            <w:r w:rsidRPr="00883EC9">
              <w:rPr>
                <w:rFonts w:eastAsia="Calibri"/>
                <w:sz w:val="22"/>
                <w:szCs w:val="22"/>
              </w:rPr>
              <w:t xml:space="preserve">2016-2017. </w:t>
            </w:r>
          </w:p>
        </w:tc>
        <w:tc>
          <w:tcPr>
            <w:tcW w:w="2583" w:type="dxa"/>
            <w:shd w:val="clear" w:color="auto" w:fill="auto"/>
          </w:tcPr>
          <w:p w:rsidR="00D71178" w:rsidRPr="00883EC9" w:rsidRDefault="00D71178" w:rsidP="00A659F9">
            <w:pPr>
              <w:jc w:val="center"/>
              <w:rPr>
                <w:rFonts w:eastAsia="Calibri"/>
                <w:sz w:val="22"/>
                <w:szCs w:val="22"/>
              </w:rPr>
            </w:pPr>
            <w:r w:rsidRPr="00883EC9">
              <w:rPr>
                <w:rFonts w:eastAsia="Calibri"/>
                <w:sz w:val="22"/>
                <w:szCs w:val="22"/>
              </w:rPr>
              <w:t xml:space="preserve">2017. </w:t>
            </w:r>
          </w:p>
        </w:tc>
      </w:tr>
      <w:tr w:rsidR="00D71178" w:rsidRPr="00883EC9" w:rsidTr="00A659F9">
        <w:trPr>
          <w:gridAfter w:val="1"/>
          <w:wAfter w:w="144" w:type="dxa"/>
        </w:trPr>
        <w:tc>
          <w:tcPr>
            <w:tcW w:w="4786" w:type="dxa"/>
            <w:shd w:val="clear" w:color="auto" w:fill="auto"/>
          </w:tcPr>
          <w:p w:rsidR="00D71178" w:rsidRPr="00883EC9" w:rsidRDefault="00D71178" w:rsidP="00A659F9">
            <w:pPr>
              <w:rPr>
                <w:rFonts w:eastAsia="Calibri"/>
                <w:sz w:val="22"/>
                <w:szCs w:val="22"/>
              </w:rPr>
            </w:pPr>
            <w:r w:rsidRPr="00883EC9">
              <w:rPr>
                <w:rFonts w:eastAsia="Calibri"/>
                <w:sz w:val="22"/>
                <w:szCs w:val="22"/>
              </w:rPr>
              <w:t xml:space="preserve">Vasvári agglomeráció bővítése új csatornarendszer (Alsóújlak) rácsatlakozásával </w:t>
            </w:r>
          </w:p>
        </w:tc>
        <w:tc>
          <w:tcPr>
            <w:tcW w:w="1843" w:type="dxa"/>
            <w:shd w:val="clear" w:color="auto" w:fill="auto"/>
          </w:tcPr>
          <w:p w:rsidR="00D71178" w:rsidRPr="00883EC9" w:rsidRDefault="00D71178" w:rsidP="00A659F9">
            <w:pPr>
              <w:jc w:val="center"/>
              <w:rPr>
                <w:rFonts w:eastAsia="Calibri"/>
                <w:sz w:val="22"/>
                <w:szCs w:val="22"/>
              </w:rPr>
            </w:pPr>
            <w:r w:rsidRPr="00883EC9">
              <w:rPr>
                <w:rFonts w:eastAsia="Calibri"/>
                <w:sz w:val="22"/>
                <w:szCs w:val="22"/>
              </w:rPr>
              <w:t>2016-2017. év</w:t>
            </w:r>
          </w:p>
        </w:tc>
        <w:tc>
          <w:tcPr>
            <w:tcW w:w="2583" w:type="dxa"/>
            <w:shd w:val="clear" w:color="auto" w:fill="auto"/>
          </w:tcPr>
          <w:p w:rsidR="00D71178" w:rsidRPr="00883EC9" w:rsidRDefault="00D71178" w:rsidP="00A659F9">
            <w:pPr>
              <w:jc w:val="center"/>
              <w:rPr>
                <w:rFonts w:eastAsia="Calibri"/>
                <w:sz w:val="22"/>
                <w:szCs w:val="22"/>
              </w:rPr>
            </w:pPr>
            <w:r w:rsidRPr="00883EC9">
              <w:rPr>
                <w:rFonts w:eastAsia="Calibri"/>
                <w:sz w:val="22"/>
                <w:szCs w:val="22"/>
              </w:rPr>
              <w:t xml:space="preserve">2018. </w:t>
            </w:r>
          </w:p>
        </w:tc>
      </w:tr>
      <w:tr w:rsidR="00D71178" w:rsidRPr="00883EC9" w:rsidTr="00A659F9">
        <w:trPr>
          <w:gridAfter w:val="1"/>
          <w:wAfter w:w="144" w:type="dxa"/>
        </w:trPr>
        <w:tc>
          <w:tcPr>
            <w:tcW w:w="4786" w:type="dxa"/>
            <w:shd w:val="clear" w:color="auto" w:fill="auto"/>
          </w:tcPr>
          <w:p w:rsidR="00D71178" w:rsidRPr="00883EC9" w:rsidRDefault="00D71178" w:rsidP="00A659F9">
            <w:pPr>
              <w:rPr>
                <w:rFonts w:eastAsia="Calibri"/>
                <w:sz w:val="22"/>
                <w:szCs w:val="22"/>
              </w:rPr>
            </w:pPr>
            <w:r w:rsidRPr="00883EC9">
              <w:rPr>
                <w:rFonts w:eastAsia="Calibri"/>
                <w:sz w:val="22"/>
                <w:szCs w:val="22"/>
              </w:rPr>
              <w:t>Szombathelyi agglomeráció bővítése új csatornarendszerek rácsatlakozásával (Bozzai, Kenéz, Pecöl, Megyehíd)</w:t>
            </w:r>
          </w:p>
        </w:tc>
        <w:tc>
          <w:tcPr>
            <w:tcW w:w="1843" w:type="dxa"/>
            <w:shd w:val="clear" w:color="auto" w:fill="auto"/>
          </w:tcPr>
          <w:p w:rsidR="00D71178" w:rsidRPr="00883EC9" w:rsidRDefault="00D71178" w:rsidP="00A659F9">
            <w:pPr>
              <w:jc w:val="center"/>
              <w:rPr>
                <w:rFonts w:eastAsia="Calibri"/>
                <w:sz w:val="22"/>
                <w:szCs w:val="22"/>
              </w:rPr>
            </w:pPr>
            <w:r w:rsidRPr="00883EC9">
              <w:rPr>
                <w:rFonts w:eastAsia="Calibri"/>
                <w:sz w:val="22"/>
                <w:szCs w:val="22"/>
              </w:rPr>
              <w:t>2016-2017. év</w:t>
            </w:r>
          </w:p>
        </w:tc>
        <w:tc>
          <w:tcPr>
            <w:tcW w:w="2583" w:type="dxa"/>
            <w:shd w:val="clear" w:color="auto" w:fill="auto"/>
          </w:tcPr>
          <w:p w:rsidR="00D71178" w:rsidRPr="00883EC9" w:rsidRDefault="00D71178" w:rsidP="00A659F9">
            <w:pPr>
              <w:jc w:val="center"/>
              <w:rPr>
                <w:rFonts w:eastAsia="Calibri"/>
                <w:sz w:val="22"/>
                <w:szCs w:val="22"/>
              </w:rPr>
            </w:pPr>
            <w:r w:rsidRPr="00883EC9">
              <w:rPr>
                <w:rFonts w:eastAsia="Calibri"/>
                <w:sz w:val="22"/>
                <w:szCs w:val="22"/>
              </w:rPr>
              <w:t xml:space="preserve">2017. </w:t>
            </w:r>
          </w:p>
        </w:tc>
      </w:tr>
      <w:tr w:rsidR="00D71178" w:rsidRPr="00883EC9" w:rsidTr="00A659F9">
        <w:trPr>
          <w:gridAfter w:val="1"/>
          <w:wAfter w:w="144" w:type="dxa"/>
        </w:trPr>
        <w:tc>
          <w:tcPr>
            <w:tcW w:w="4786" w:type="dxa"/>
            <w:shd w:val="clear" w:color="auto" w:fill="auto"/>
          </w:tcPr>
          <w:p w:rsidR="00D71178" w:rsidRPr="00883EC9" w:rsidRDefault="00D71178" w:rsidP="00A659F9">
            <w:pPr>
              <w:rPr>
                <w:rFonts w:eastAsia="Calibri"/>
                <w:sz w:val="22"/>
                <w:szCs w:val="22"/>
              </w:rPr>
            </w:pPr>
            <w:r w:rsidRPr="00883EC9">
              <w:rPr>
                <w:rFonts w:eastAsia="Calibri"/>
                <w:sz w:val="22"/>
                <w:szCs w:val="22"/>
              </w:rPr>
              <w:t>Répcelak telep rekonstrukció (a BM jóváhagyta Csánig csatlakozását, de a nevesítéshez a NFM további döntései szükségesek)</w:t>
            </w:r>
          </w:p>
        </w:tc>
        <w:tc>
          <w:tcPr>
            <w:tcW w:w="1843" w:type="dxa"/>
            <w:shd w:val="clear" w:color="auto" w:fill="auto"/>
          </w:tcPr>
          <w:p w:rsidR="00D71178" w:rsidRPr="00883EC9" w:rsidRDefault="00D71178" w:rsidP="00A659F9">
            <w:pPr>
              <w:jc w:val="center"/>
              <w:rPr>
                <w:rFonts w:eastAsia="Calibri"/>
                <w:sz w:val="22"/>
                <w:szCs w:val="22"/>
              </w:rPr>
            </w:pPr>
            <w:r w:rsidRPr="00883EC9">
              <w:rPr>
                <w:rFonts w:eastAsia="Calibri"/>
                <w:sz w:val="22"/>
                <w:szCs w:val="22"/>
              </w:rPr>
              <w:t>2016-2017. év</w:t>
            </w:r>
          </w:p>
        </w:tc>
        <w:tc>
          <w:tcPr>
            <w:tcW w:w="2583" w:type="dxa"/>
            <w:shd w:val="clear" w:color="auto" w:fill="auto"/>
          </w:tcPr>
          <w:p w:rsidR="00D71178" w:rsidRPr="00883EC9" w:rsidRDefault="00D71178" w:rsidP="00A659F9">
            <w:pPr>
              <w:jc w:val="center"/>
              <w:rPr>
                <w:rFonts w:eastAsia="Calibri"/>
                <w:sz w:val="22"/>
                <w:szCs w:val="22"/>
              </w:rPr>
            </w:pPr>
            <w:r w:rsidRPr="00883EC9">
              <w:rPr>
                <w:rFonts w:eastAsia="Calibri"/>
                <w:sz w:val="22"/>
                <w:szCs w:val="22"/>
              </w:rPr>
              <w:t xml:space="preserve">2018. </w:t>
            </w:r>
          </w:p>
        </w:tc>
      </w:tr>
      <w:tr w:rsidR="00D71178" w:rsidRPr="00883EC9" w:rsidTr="00A659F9">
        <w:trPr>
          <w:gridAfter w:val="1"/>
          <w:wAfter w:w="144" w:type="dxa"/>
        </w:trPr>
        <w:tc>
          <w:tcPr>
            <w:tcW w:w="4786" w:type="dxa"/>
            <w:shd w:val="clear" w:color="auto" w:fill="auto"/>
          </w:tcPr>
          <w:p w:rsidR="00D71178" w:rsidRPr="00883EC9" w:rsidRDefault="00D71178" w:rsidP="00A659F9">
            <w:pPr>
              <w:rPr>
                <w:rFonts w:eastAsia="Calibri"/>
                <w:sz w:val="22"/>
                <w:szCs w:val="22"/>
              </w:rPr>
            </w:pPr>
            <w:r w:rsidRPr="00883EC9">
              <w:rPr>
                <w:sz w:val="22"/>
                <w:szCs w:val="22"/>
              </w:rPr>
              <w:t>Egyházashetye központú agglomeráció bővítése új csatornarendszerek rácsatlakozásával (Boba és Nemeskocs)</w:t>
            </w:r>
          </w:p>
        </w:tc>
        <w:tc>
          <w:tcPr>
            <w:tcW w:w="1843" w:type="dxa"/>
            <w:shd w:val="clear" w:color="auto" w:fill="auto"/>
          </w:tcPr>
          <w:p w:rsidR="00D71178" w:rsidRPr="00883EC9" w:rsidRDefault="00D71178" w:rsidP="00A659F9">
            <w:pPr>
              <w:jc w:val="center"/>
              <w:rPr>
                <w:rFonts w:eastAsia="Calibri"/>
                <w:sz w:val="22"/>
                <w:szCs w:val="22"/>
              </w:rPr>
            </w:pPr>
            <w:r w:rsidRPr="00883EC9">
              <w:rPr>
                <w:rFonts w:eastAsia="Calibri"/>
                <w:sz w:val="22"/>
                <w:szCs w:val="22"/>
              </w:rPr>
              <w:t xml:space="preserve">2017. </w:t>
            </w:r>
          </w:p>
        </w:tc>
        <w:tc>
          <w:tcPr>
            <w:tcW w:w="2583" w:type="dxa"/>
            <w:shd w:val="clear" w:color="auto" w:fill="auto"/>
          </w:tcPr>
          <w:p w:rsidR="00D71178" w:rsidRPr="00883EC9" w:rsidRDefault="00D71178" w:rsidP="00A659F9">
            <w:pPr>
              <w:jc w:val="center"/>
              <w:rPr>
                <w:rFonts w:eastAsia="Calibri"/>
                <w:sz w:val="22"/>
                <w:szCs w:val="22"/>
              </w:rPr>
            </w:pPr>
            <w:r w:rsidRPr="00883EC9">
              <w:rPr>
                <w:rFonts w:eastAsia="Calibri"/>
                <w:sz w:val="22"/>
                <w:szCs w:val="22"/>
              </w:rPr>
              <w:t xml:space="preserve">2018. </w:t>
            </w:r>
          </w:p>
        </w:tc>
      </w:tr>
    </w:tbl>
    <w:p w:rsidR="00D71178" w:rsidRPr="00883EC9" w:rsidRDefault="00D71178" w:rsidP="00D71178">
      <w:pPr>
        <w:rPr>
          <w:sz w:val="12"/>
          <w:szCs w:val="12"/>
        </w:rPr>
      </w:pPr>
    </w:p>
    <w:p w:rsidR="00D71178" w:rsidRPr="00883EC9" w:rsidRDefault="00D71178" w:rsidP="00D71178">
      <w:pPr>
        <w:rPr>
          <w:bCs/>
          <w:sz w:val="24"/>
        </w:rPr>
      </w:pPr>
      <w:r w:rsidRPr="00883EC9">
        <w:rPr>
          <w:bCs/>
          <w:sz w:val="24"/>
        </w:rPr>
        <w:t>Szergény, Kemenesmagasi és Vönöck községek a 25/2002.(II.27.) Korm. rendelet szerinti új agglomerációját a BM jóváhagyta. Csénye és Bögöt községek csatlakozását a sárvári szennyvízelvezetési és –tisztítási agglomerációhoz a BM jóváhagyta. A projektek nevesítéséhez a NFM további döntései szükségesek. Nevesítésük esetén szintén KEHOP támogatásban részesülhetnek.</w:t>
      </w:r>
    </w:p>
    <w:p w:rsidR="00D71178" w:rsidRPr="00883EC9" w:rsidRDefault="00D71178" w:rsidP="00D71178">
      <w:pPr>
        <w:rPr>
          <w:szCs w:val="24"/>
        </w:rPr>
      </w:pPr>
    </w:p>
    <w:p w:rsidR="007669B3" w:rsidRDefault="00D71178" w:rsidP="00D71178">
      <w:pPr>
        <w:pStyle w:val="Szvegtrzs"/>
        <w:ind w:right="141"/>
        <w:rPr>
          <w:szCs w:val="24"/>
        </w:rPr>
      </w:pPr>
      <w:r w:rsidRPr="00883EC9">
        <w:rPr>
          <w:szCs w:val="24"/>
        </w:rPr>
        <w:t xml:space="preserve">2016-ban az NFP a szükséges közbeszerzési eljárásokat lefolytatta a kivitelezők kiválasztására Szentgotthárd, Csepreg és Celldömölk agglomerációkhoz. A többi nevesített projektben a részletes konzorciumi szerződéseket az önkormányzatokkal megkötötte, a támogatási szerződéseket a Nemzeti Fejlesztési Minisztériummal aláírta, nyílt eljárásban régiónként négy-négy vállalkozást választott ki keret-megállapodással. Ezek között az egyes projektekre vonatkozóan 2017-ben hirdetmény nélküli tárgyalásos eljárásokat folytat le az NFP a kivitelezők kiválasztására. Az I. félévben az eljárások előkészítését végezte. </w:t>
      </w:r>
    </w:p>
    <w:p w:rsidR="00D71178" w:rsidRPr="000B24C8" w:rsidRDefault="007669B3" w:rsidP="000B24C8">
      <w:pPr>
        <w:rPr>
          <w:sz w:val="24"/>
          <w:szCs w:val="24"/>
        </w:rPr>
      </w:pPr>
      <w:r>
        <w:rPr>
          <w:szCs w:val="24"/>
        </w:rPr>
        <w:br w:type="page"/>
      </w:r>
    </w:p>
    <w:p w:rsidR="00907071" w:rsidRPr="00907071" w:rsidRDefault="00907071" w:rsidP="00907071">
      <w:pPr>
        <w:pStyle w:val="Szvegtrzs"/>
        <w:ind w:right="141"/>
        <w:rPr>
          <w:i/>
          <w:iCs/>
          <w:sz w:val="22"/>
        </w:rPr>
      </w:pPr>
      <w:bookmarkStart w:id="46" w:name="_Toc331589991"/>
      <w:bookmarkStart w:id="47" w:name="_Toc489278865"/>
    </w:p>
    <w:p w:rsidR="00E8097E" w:rsidRPr="00883EC9" w:rsidRDefault="00E8097E">
      <w:pPr>
        <w:pStyle w:val="Cmsor2"/>
        <w:rPr>
          <w:i/>
          <w:iCs/>
          <w:color w:val="auto"/>
        </w:rPr>
      </w:pPr>
      <w:r w:rsidRPr="00883EC9">
        <w:rPr>
          <w:i/>
          <w:iCs/>
          <w:color w:val="auto"/>
        </w:rPr>
        <w:t>Szennyvíztisztító telepek üzemelési körülményei</w:t>
      </w:r>
      <w:bookmarkEnd w:id="46"/>
      <w:bookmarkEnd w:id="47"/>
    </w:p>
    <w:p w:rsidR="00E8097E" w:rsidRPr="000B24C8" w:rsidRDefault="00E8097E" w:rsidP="000B24C8">
      <w:pPr>
        <w:pStyle w:val="Szvegtrzs"/>
        <w:ind w:right="141"/>
        <w:rPr>
          <w:szCs w:val="24"/>
        </w:rPr>
      </w:pPr>
    </w:p>
    <w:p w:rsidR="00F54435" w:rsidRPr="000B24C8" w:rsidRDefault="00F54435" w:rsidP="000B24C8">
      <w:pPr>
        <w:pStyle w:val="Szvegtrzs"/>
        <w:ind w:right="141"/>
        <w:rPr>
          <w:szCs w:val="24"/>
        </w:rPr>
      </w:pPr>
      <w:r w:rsidRPr="000B24C8">
        <w:rPr>
          <w:szCs w:val="24"/>
        </w:rPr>
        <w:t>A laboratóriumban a félév folyamán elvégzett önellenőrzési és üzemeltetést segítő technológiai vizsgálatok száma: kémiai 3096 db, bakteriológiai 42 db, biológiai 333 db.</w:t>
      </w:r>
    </w:p>
    <w:p w:rsidR="00F54435" w:rsidRPr="000B24C8" w:rsidRDefault="00F54435" w:rsidP="000B24C8">
      <w:pPr>
        <w:pStyle w:val="Szvegtrzs"/>
        <w:ind w:right="141"/>
        <w:rPr>
          <w:sz w:val="20"/>
          <w:szCs w:val="24"/>
        </w:rPr>
      </w:pPr>
    </w:p>
    <w:p w:rsidR="00F54435" w:rsidRPr="004975F5" w:rsidRDefault="00F54435" w:rsidP="000B24C8">
      <w:pPr>
        <w:pStyle w:val="Szvegtrzs"/>
        <w:ind w:right="141"/>
        <w:rPr>
          <w:szCs w:val="24"/>
        </w:rPr>
      </w:pPr>
      <w:r w:rsidRPr="004975F5">
        <w:rPr>
          <w:szCs w:val="24"/>
        </w:rPr>
        <w:t xml:space="preserve">Társaságunk a szennyvíztisztító telepeket a rendelkezésére álló eszközökkel a lehető legkörültekintőbben üzemelteti. </w:t>
      </w:r>
    </w:p>
    <w:p w:rsidR="00F54435" w:rsidRPr="004975F5" w:rsidRDefault="00F54435" w:rsidP="000B24C8">
      <w:pPr>
        <w:pStyle w:val="Szvegtrzs"/>
        <w:ind w:right="141"/>
        <w:rPr>
          <w:szCs w:val="24"/>
        </w:rPr>
      </w:pPr>
      <w:r w:rsidRPr="004975F5">
        <w:rPr>
          <w:szCs w:val="24"/>
        </w:rPr>
        <w:t xml:space="preserve">A tisztított szennyvizek minősége többnyire az elvárható értéknek megfelelő. Határérték túllépés elsősorban azokon a telepeken jelentkezett, ahol a megfelelő technológiai feltételek nem biztosítottak (fejletlen irányítástechnika, bejelzés hiánya, elégtelen fúvó- ill. iszapkezelési kapacitás, tápanyag eltávolító fokozat hiánya, túlterheltség, </w:t>
      </w:r>
      <w:proofErr w:type="spellStart"/>
      <w:r w:rsidRPr="004975F5">
        <w:rPr>
          <w:szCs w:val="24"/>
        </w:rPr>
        <w:t>stb</w:t>
      </w:r>
      <w:proofErr w:type="spellEnd"/>
      <w:r w:rsidRPr="004975F5">
        <w:rPr>
          <w:szCs w:val="24"/>
        </w:rPr>
        <w:t xml:space="preserve">). Az utóbbi időben üzemeltetésre átvett szennyvíztisztító telepeken (Celldömölk, Kemenesmihályfa, Kemenessömjén, Kemenesszentmárton, Mersevát) a határérték túllépéseket elsősorban azok műszaki állapota - az elmaradt karbantartások - okozták. </w:t>
      </w:r>
    </w:p>
    <w:p w:rsidR="00F54435" w:rsidRPr="004975F5" w:rsidRDefault="00F54435" w:rsidP="000B24C8">
      <w:pPr>
        <w:pStyle w:val="Szvegtrzs"/>
        <w:ind w:right="141"/>
        <w:rPr>
          <w:szCs w:val="24"/>
        </w:rPr>
      </w:pPr>
      <w:r w:rsidRPr="004975F5">
        <w:rPr>
          <w:szCs w:val="24"/>
        </w:rPr>
        <w:t xml:space="preserve">Szalafő, Magyarszombatfa, és Ispánk települések szennyvízelvezetési és </w:t>
      </w:r>
      <w:proofErr w:type="spellStart"/>
      <w:r w:rsidRPr="004975F5">
        <w:rPr>
          <w:szCs w:val="24"/>
        </w:rPr>
        <w:t>-tisztítási</w:t>
      </w:r>
      <w:proofErr w:type="spellEnd"/>
      <w:r w:rsidRPr="004975F5">
        <w:rPr>
          <w:szCs w:val="24"/>
        </w:rPr>
        <w:t xml:space="preserve"> rendszererein 2017. február 1-jétől a Katasztrófavédelem a szennyvíz elszállítására közszolgáltatót jelölt ki, az általa elszállított szennyvizet a körmendi és kisebb részben a szombathelyi szennyvíztisztító telepen fogadjuk kezelésre. </w:t>
      </w:r>
    </w:p>
    <w:p w:rsidR="00F54435" w:rsidRPr="000B24C8" w:rsidRDefault="00F54435" w:rsidP="000B24C8">
      <w:pPr>
        <w:pStyle w:val="Szvegtrzs"/>
        <w:ind w:right="141"/>
        <w:rPr>
          <w:sz w:val="20"/>
          <w:szCs w:val="24"/>
        </w:rPr>
      </w:pPr>
    </w:p>
    <w:p w:rsidR="00F54435" w:rsidRPr="000B24C8" w:rsidRDefault="00F54435" w:rsidP="000B24C8">
      <w:pPr>
        <w:pStyle w:val="Szvegtrzs"/>
        <w:ind w:right="141"/>
        <w:rPr>
          <w:szCs w:val="24"/>
        </w:rPr>
      </w:pPr>
      <w:r w:rsidRPr="000B24C8">
        <w:rPr>
          <w:szCs w:val="24"/>
        </w:rPr>
        <w:t xml:space="preserve">Társaságunk a tárgyidőszakban a szennyvíztisztító telepek </w:t>
      </w:r>
      <w:proofErr w:type="spellStart"/>
      <w:r w:rsidRPr="000B24C8">
        <w:rPr>
          <w:szCs w:val="24"/>
        </w:rPr>
        <w:t>re</w:t>
      </w:r>
      <w:r w:rsidR="00CE34A1">
        <w:rPr>
          <w:szCs w:val="24"/>
        </w:rPr>
        <w:t>s</w:t>
      </w:r>
      <w:r w:rsidRPr="000B24C8">
        <w:rPr>
          <w:szCs w:val="24"/>
        </w:rPr>
        <w:t>konstrukcióját</w:t>
      </w:r>
      <w:proofErr w:type="spellEnd"/>
      <w:r w:rsidRPr="000B24C8">
        <w:rPr>
          <w:szCs w:val="24"/>
        </w:rPr>
        <w:t>, fejlesztését a szennyvízközmű-használati díj, az önkormányzatok által korábbi években fejlesztési támogatásként visszaadott használati díj és az amortizáció terhére folytatta, amelynek eredményeképpen nőtt az üzembiztonság. Ezek elsősorban vegyszeradagolás kiépítését, szivattyúk pótlását, műszer beszerelést, állagmegóvást tartalmaztak.</w:t>
      </w:r>
    </w:p>
    <w:p w:rsidR="00F54435" w:rsidRPr="000B24C8" w:rsidRDefault="00F54435" w:rsidP="000B24C8">
      <w:pPr>
        <w:pStyle w:val="Szvegtrzs"/>
        <w:ind w:right="141"/>
        <w:rPr>
          <w:szCs w:val="24"/>
        </w:rPr>
      </w:pPr>
      <w:r w:rsidRPr="000B24C8">
        <w:rPr>
          <w:szCs w:val="24"/>
        </w:rPr>
        <w:t>Súlyos üzemeltetési nehézséget okoz, hogy - bár a csatornahálózatok túlnyomó része elválasztó rendszerű - csapadékos időben a szennyvíztisztító telepekre érkező szennyvíz mennyisége jóval meghaladja a névleges terhelhetőségnek megfelelő értéket, ami a telepek rövidebb-hosszabb ideig tartó üzemzavarát okozza (elsősorban Bajánsenye, Ivánc, Egyházasrádóc, Gersekarát, Hegyhátszentjakab, Rádóckölked, Csepreg, Jánosháza, Répcelak, Szentpéterfa, Felsőcsatár tisztítótelepeken).</w:t>
      </w:r>
    </w:p>
    <w:p w:rsidR="00F54435" w:rsidRPr="000B24C8" w:rsidRDefault="00F54435" w:rsidP="000B24C8">
      <w:pPr>
        <w:pStyle w:val="Szvegtrzs"/>
        <w:ind w:right="141"/>
        <w:rPr>
          <w:szCs w:val="24"/>
        </w:rPr>
      </w:pPr>
      <w:bookmarkStart w:id="48" w:name="_Toc479173339"/>
      <w:r w:rsidRPr="000B24C8">
        <w:rPr>
          <w:szCs w:val="24"/>
        </w:rPr>
        <w:t xml:space="preserve">Répcelak és Csepreg csatornahálózatán béleléses technológiával próbáljuk mérsékelni a vízbetöréseket. 2017. I. félév során csapadékvíz terhelés miatt </w:t>
      </w:r>
      <w:proofErr w:type="spellStart"/>
      <w:r w:rsidRPr="000B24C8">
        <w:rPr>
          <w:szCs w:val="24"/>
        </w:rPr>
        <w:t>havária</w:t>
      </w:r>
      <w:proofErr w:type="spellEnd"/>
      <w:r w:rsidRPr="000B24C8">
        <w:rPr>
          <w:szCs w:val="24"/>
        </w:rPr>
        <w:t xml:space="preserve"> helyzet alakult ki Körmend, Pankasz, Szakonyfalu, Őriszentpéter és Táplánszentkereszt szennyvízelvezető hálózatán, amelyeket tehermentesíteni kellett. A higított szennyvizet felszíni vízbe szivattyúztuk, amely miatt várhatóan rendkívüli vízszennyezési bírságokat szab ki a hatóság.</w:t>
      </w:r>
      <w:bookmarkEnd w:id="48"/>
    </w:p>
    <w:p w:rsidR="00F54435" w:rsidRPr="00883EC9" w:rsidRDefault="00F54435">
      <w:pPr>
        <w:ind w:right="141"/>
        <w:jc w:val="both"/>
        <w:rPr>
          <w:sz w:val="16"/>
        </w:rPr>
      </w:pPr>
    </w:p>
    <w:p w:rsidR="00E8097E" w:rsidRPr="00883EC9" w:rsidRDefault="00E8097E">
      <w:pPr>
        <w:pStyle w:val="Cmsor2"/>
        <w:rPr>
          <w:i/>
          <w:iCs/>
          <w:color w:val="auto"/>
        </w:rPr>
      </w:pPr>
      <w:bookmarkStart w:id="49" w:name="_Toc330998701"/>
      <w:bookmarkStart w:id="50" w:name="_Toc330999134"/>
      <w:bookmarkStart w:id="51" w:name="_Toc331589992"/>
      <w:bookmarkStart w:id="52" w:name="_Toc489278866"/>
      <w:r w:rsidRPr="00883EC9">
        <w:rPr>
          <w:i/>
          <w:iCs/>
          <w:color w:val="auto"/>
        </w:rPr>
        <w:t>Szombathely-Kőszeg regionális csatornarendszer szennyvíztisztító tele</w:t>
      </w:r>
      <w:bookmarkEnd w:id="49"/>
      <w:bookmarkEnd w:id="50"/>
      <w:r w:rsidRPr="00883EC9">
        <w:rPr>
          <w:i/>
          <w:iCs/>
          <w:color w:val="auto"/>
        </w:rPr>
        <w:t>pének működése</w:t>
      </w:r>
      <w:bookmarkEnd w:id="51"/>
      <w:bookmarkEnd w:id="52"/>
    </w:p>
    <w:p w:rsidR="00E8097E" w:rsidRPr="00883EC9" w:rsidRDefault="00E8097E">
      <w:pPr>
        <w:pStyle w:val="xl28"/>
        <w:spacing w:before="0" w:beforeAutospacing="0" w:after="0" w:afterAutospacing="0"/>
        <w:jc w:val="both"/>
        <w:rPr>
          <w:rFonts w:eastAsia="Times New Roman"/>
          <w:sz w:val="12"/>
          <w:szCs w:val="20"/>
        </w:rPr>
      </w:pPr>
    </w:p>
    <w:p w:rsidR="00E8097E" w:rsidRPr="00883EC9" w:rsidRDefault="00E8097E">
      <w:pPr>
        <w:pStyle w:val="xl28"/>
        <w:spacing w:before="0" w:beforeAutospacing="0" w:after="0" w:afterAutospacing="0"/>
        <w:ind w:right="142"/>
        <w:rPr>
          <w:rFonts w:eastAsia="Times New Roman"/>
          <w:i/>
          <w:iCs/>
          <w:szCs w:val="20"/>
        </w:rPr>
      </w:pPr>
      <w:r w:rsidRPr="00883EC9">
        <w:rPr>
          <w:rFonts w:eastAsia="Times New Roman"/>
          <w:i/>
          <w:iCs/>
          <w:szCs w:val="20"/>
        </w:rPr>
        <w:t>Szennyvíztisztítás</w:t>
      </w:r>
    </w:p>
    <w:p w:rsidR="00A14736" w:rsidRPr="000B24C8" w:rsidRDefault="00A14736" w:rsidP="000B24C8">
      <w:pPr>
        <w:pStyle w:val="Szvegtrzs"/>
        <w:ind w:right="141"/>
        <w:rPr>
          <w:szCs w:val="24"/>
        </w:rPr>
      </w:pPr>
      <w:r w:rsidRPr="000B24C8">
        <w:rPr>
          <w:szCs w:val="24"/>
        </w:rPr>
        <w:t>2017. I. félévben 3 338 em3 szennyvíz tisztítása történt, amely 17 %-kal alacsonyabb a 2016. I. félévi 4 003 em3-nél.</w:t>
      </w:r>
    </w:p>
    <w:p w:rsidR="00A14736" w:rsidRPr="000B24C8" w:rsidRDefault="00A14736" w:rsidP="000B24C8">
      <w:pPr>
        <w:pStyle w:val="Szvegtrzs"/>
        <w:ind w:right="141"/>
        <w:rPr>
          <w:szCs w:val="24"/>
        </w:rPr>
      </w:pPr>
      <w:r w:rsidRPr="000B24C8">
        <w:rPr>
          <w:szCs w:val="24"/>
        </w:rPr>
        <w:t xml:space="preserve">A mechanikai fokozat 427 t szennyeződést távolított el a szennyvízből, ez 90 % az előző év hasonló időszakának mennyiségéhez képest. A biológiai fokozat műtárgyai megfelelően üzemeltek. </w:t>
      </w:r>
    </w:p>
    <w:p w:rsidR="00A14736" w:rsidRPr="000B24C8" w:rsidRDefault="00A14736" w:rsidP="000B24C8">
      <w:pPr>
        <w:pStyle w:val="Szvegtrzs"/>
        <w:ind w:right="141"/>
        <w:rPr>
          <w:szCs w:val="24"/>
        </w:rPr>
      </w:pPr>
      <w:r w:rsidRPr="000B24C8">
        <w:rPr>
          <w:szCs w:val="24"/>
        </w:rPr>
        <w:t>A kifolyó szennyvíz paraméterei a heti önkontroll mérések alapján minden esetben határérték alatt voltak. Hatósági ellenőrzés nem volt.</w:t>
      </w:r>
    </w:p>
    <w:p w:rsidR="00A14736" w:rsidRPr="000B24C8" w:rsidRDefault="00A14736" w:rsidP="000B24C8">
      <w:pPr>
        <w:pStyle w:val="Szvegtrzs"/>
        <w:ind w:right="141"/>
        <w:rPr>
          <w:szCs w:val="24"/>
        </w:rPr>
      </w:pPr>
    </w:p>
    <w:p w:rsidR="00E8097E" w:rsidRPr="000B24C8" w:rsidRDefault="00E8097E" w:rsidP="000B24C8">
      <w:pPr>
        <w:pStyle w:val="xl28"/>
        <w:spacing w:before="0" w:beforeAutospacing="0" w:after="0" w:afterAutospacing="0"/>
        <w:ind w:right="142"/>
        <w:rPr>
          <w:rFonts w:eastAsia="Times New Roman"/>
          <w:i/>
          <w:iCs/>
          <w:szCs w:val="20"/>
        </w:rPr>
      </w:pPr>
      <w:r w:rsidRPr="000B24C8">
        <w:rPr>
          <w:rFonts w:eastAsia="Times New Roman"/>
          <w:i/>
          <w:iCs/>
          <w:szCs w:val="20"/>
        </w:rPr>
        <w:t>Iszapkezelés illetve biogáz termelés</w:t>
      </w:r>
    </w:p>
    <w:p w:rsidR="00234777" w:rsidRPr="000B24C8" w:rsidRDefault="00A14736" w:rsidP="000B24C8">
      <w:pPr>
        <w:pStyle w:val="Szvegtrzs"/>
        <w:ind w:right="141"/>
        <w:rPr>
          <w:szCs w:val="24"/>
        </w:rPr>
      </w:pPr>
      <w:r w:rsidRPr="000B24C8">
        <w:rPr>
          <w:szCs w:val="24"/>
        </w:rPr>
        <w:t xml:space="preserve">Az előülepítőkből elvett nyers- vagy primer iszap gravitációs sűrítés után, keverve a biológiai fokozatról elvett gépi sűrített fölös eleven-iszappal, a rothasztó tornyokba kerül. Az itt keletkezett biogáz túlnyomó részéből a gázmotorok villamos energiát állítanak elő, a fennmaradó rész kazánokban történő elégetése a telep fűtéséhez járul hozzá. </w:t>
      </w:r>
    </w:p>
    <w:p w:rsidR="006E6207" w:rsidRDefault="006E6207">
      <w:pPr>
        <w:rPr>
          <w:rFonts w:eastAsia="Arial"/>
          <w:kern w:val="1"/>
          <w:sz w:val="24"/>
          <w:szCs w:val="24"/>
          <w:lang w:eastAsia="ar-SA"/>
        </w:rPr>
      </w:pPr>
      <w:r>
        <w:rPr>
          <w:rFonts w:eastAsia="Arial"/>
          <w:kern w:val="1"/>
          <w:sz w:val="24"/>
          <w:szCs w:val="24"/>
          <w:lang w:eastAsia="ar-SA"/>
        </w:rPr>
        <w:br w:type="page"/>
      </w:r>
    </w:p>
    <w:p w:rsidR="00907071" w:rsidRPr="00907071" w:rsidRDefault="00907071" w:rsidP="004C56DE">
      <w:pPr>
        <w:pStyle w:val="Alaprtelmezs"/>
        <w:ind w:right="-1"/>
        <w:jc w:val="both"/>
        <w:rPr>
          <w:rFonts w:ascii="Times New Roman" w:hAnsi="Times New Roman"/>
          <w:sz w:val="22"/>
        </w:rPr>
      </w:pPr>
    </w:p>
    <w:p w:rsidR="00A14736" w:rsidRPr="00883EC9" w:rsidRDefault="00A14736" w:rsidP="004C56DE">
      <w:pPr>
        <w:pStyle w:val="Alaprtelmezs"/>
        <w:ind w:right="-1"/>
        <w:jc w:val="both"/>
        <w:rPr>
          <w:rFonts w:ascii="Times New Roman" w:hAnsi="Times New Roman"/>
          <w:sz w:val="24"/>
        </w:rPr>
      </w:pPr>
      <w:r w:rsidRPr="00883EC9">
        <w:rPr>
          <w:rFonts w:ascii="Times New Roman" w:hAnsi="Times New Roman"/>
          <w:sz w:val="24"/>
        </w:rPr>
        <w:t xml:space="preserve">A gázmotorok által termelt hőt is felhasználjuk a tornyok fűtéséhez és a használati </w:t>
      </w:r>
      <w:proofErr w:type="spellStart"/>
      <w:r w:rsidRPr="00883EC9">
        <w:rPr>
          <w:rFonts w:ascii="Times New Roman" w:hAnsi="Times New Roman"/>
          <w:sz w:val="24"/>
        </w:rPr>
        <w:t>melegvíz</w:t>
      </w:r>
      <w:proofErr w:type="spellEnd"/>
      <w:r w:rsidRPr="00883EC9">
        <w:rPr>
          <w:rFonts w:ascii="Times New Roman" w:hAnsi="Times New Roman"/>
          <w:sz w:val="24"/>
        </w:rPr>
        <w:t xml:space="preserve"> (fűtés, csapi </w:t>
      </w:r>
      <w:proofErr w:type="spellStart"/>
      <w:r w:rsidRPr="00883EC9">
        <w:rPr>
          <w:rFonts w:ascii="Times New Roman" w:hAnsi="Times New Roman"/>
          <w:sz w:val="24"/>
        </w:rPr>
        <w:t>melegvíz</w:t>
      </w:r>
      <w:proofErr w:type="spellEnd"/>
      <w:r w:rsidRPr="00883EC9">
        <w:rPr>
          <w:rFonts w:ascii="Times New Roman" w:hAnsi="Times New Roman"/>
          <w:sz w:val="24"/>
        </w:rPr>
        <w:t>) előállítására.</w:t>
      </w:r>
    </w:p>
    <w:p w:rsidR="00A14736" w:rsidRPr="00883EC9" w:rsidRDefault="00A14736" w:rsidP="004C56DE">
      <w:pPr>
        <w:pStyle w:val="Alaprtelmezs"/>
        <w:ind w:right="-1"/>
        <w:jc w:val="both"/>
        <w:rPr>
          <w:rFonts w:ascii="Times New Roman" w:hAnsi="Times New Roman"/>
          <w:sz w:val="24"/>
        </w:rPr>
      </w:pPr>
      <w:r w:rsidRPr="00883EC9">
        <w:rPr>
          <w:rFonts w:ascii="Times New Roman" w:hAnsi="Times New Roman"/>
          <w:sz w:val="24"/>
        </w:rPr>
        <w:t>A 60 em</w:t>
      </w:r>
      <w:r w:rsidRPr="00883EC9">
        <w:rPr>
          <w:rFonts w:ascii="Times New Roman" w:hAnsi="Times New Roman"/>
          <w:sz w:val="24"/>
          <w:vertAlign w:val="superscript"/>
        </w:rPr>
        <w:t>3</w:t>
      </w:r>
      <w:r w:rsidRPr="00883EC9">
        <w:rPr>
          <w:rFonts w:ascii="Times New Roman" w:hAnsi="Times New Roman"/>
          <w:sz w:val="24"/>
        </w:rPr>
        <w:t xml:space="preserve"> feladott iszapból a bázisidőszakhoz képest 19 %-kal kevesebb, 460 em</w:t>
      </w:r>
      <w:r w:rsidRPr="00883EC9">
        <w:rPr>
          <w:rFonts w:ascii="Times New Roman" w:hAnsi="Times New Roman"/>
          <w:sz w:val="24"/>
          <w:vertAlign w:val="superscript"/>
        </w:rPr>
        <w:t>3</w:t>
      </w:r>
      <w:r w:rsidRPr="00883EC9">
        <w:rPr>
          <w:rFonts w:ascii="Times New Roman" w:hAnsi="Times New Roman"/>
          <w:sz w:val="24"/>
        </w:rPr>
        <w:t xml:space="preserve"> biogáz keletkezett. 400 em</w:t>
      </w:r>
      <w:r w:rsidRPr="00883EC9">
        <w:rPr>
          <w:rFonts w:ascii="Times New Roman" w:hAnsi="Times New Roman"/>
          <w:sz w:val="24"/>
          <w:vertAlign w:val="superscript"/>
        </w:rPr>
        <w:t>3</w:t>
      </w:r>
      <w:r w:rsidRPr="00883EC9">
        <w:rPr>
          <w:rFonts w:ascii="Times New Roman" w:hAnsi="Times New Roman"/>
          <w:sz w:val="24"/>
        </w:rPr>
        <w:t xml:space="preserve"> biogázból a gázmotorok 804 130 kWh villamos energiát termeltek, ez 21 %-kal alacsonyabb az előző év hasonló időszakához képest. </w:t>
      </w:r>
    </w:p>
    <w:p w:rsidR="00A14736" w:rsidRPr="00234777" w:rsidRDefault="00A14736" w:rsidP="004C56DE">
      <w:pPr>
        <w:pStyle w:val="xl28"/>
        <w:spacing w:before="0" w:beforeAutospacing="0" w:after="0" w:afterAutospacing="0"/>
        <w:ind w:right="-1"/>
        <w:rPr>
          <w:rFonts w:eastAsia="Times New Roman"/>
          <w:sz w:val="16"/>
          <w:szCs w:val="16"/>
        </w:rPr>
      </w:pPr>
    </w:p>
    <w:p w:rsidR="00E8097E" w:rsidRPr="00883EC9" w:rsidRDefault="00E8097E" w:rsidP="004C56DE">
      <w:pPr>
        <w:pStyle w:val="xl28"/>
        <w:spacing w:before="0" w:beforeAutospacing="0" w:after="0" w:afterAutospacing="0"/>
        <w:ind w:right="-1"/>
        <w:rPr>
          <w:rFonts w:eastAsia="Times New Roman"/>
          <w:i/>
          <w:iCs/>
          <w:szCs w:val="20"/>
        </w:rPr>
      </w:pPr>
      <w:r w:rsidRPr="00883EC9">
        <w:rPr>
          <w:rFonts w:eastAsia="Times New Roman"/>
          <w:i/>
          <w:iCs/>
          <w:szCs w:val="20"/>
        </w:rPr>
        <w:t>Iszapelhelyezés, komposztálás</w:t>
      </w:r>
    </w:p>
    <w:p w:rsidR="00A14736" w:rsidRPr="00A54AD7" w:rsidRDefault="00A14736" w:rsidP="004C56DE">
      <w:pPr>
        <w:pStyle w:val="Alaprtelmezs"/>
        <w:ind w:right="-1"/>
        <w:jc w:val="both"/>
        <w:rPr>
          <w:rFonts w:ascii="Times New Roman" w:eastAsia="Times New Roman" w:hAnsi="Times New Roman"/>
          <w:kern w:val="0"/>
          <w:sz w:val="24"/>
          <w:lang w:eastAsia="hu-HU"/>
        </w:rPr>
      </w:pPr>
      <w:r w:rsidRPr="00883EC9">
        <w:rPr>
          <w:rFonts w:ascii="Times New Roman" w:eastAsia="Times New Roman" w:hAnsi="Times New Roman"/>
          <w:kern w:val="0"/>
          <w:sz w:val="24"/>
          <w:lang w:eastAsia="hu-HU"/>
        </w:rPr>
        <w:t xml:space="preserve">A szennyvíztisztító telepről az előző időszaki mennyiséghez képest 12 %-kal több, 4726 t rothasztott, víztelenített iszap került a komposztáló telepre. </w:t>
      </w:r>
      <w:r w:rsidR="009C00DE" w:rsidRPr="00D3463E">
        <w:rPr>
          <w:rFonts w:ascii="Times New Roman" w:eastAsia="Times New Roman" w:hAnsi="Times New Roman"/>
          <w:kern w:val="0"/>
          <w:sz w:val="24"/>
          <w:lang w:eastAsia="hu-HU"/>
        </w:rPr>
        <w:t xml:space="preserve">A keletkezett </w:t>
      </w:r>
      <w:r w:rsidR="00486086" w:rsidRPr="00D3463E">
        <w:rPr>
          <w:rFonts w:ascii="Times New Roman" w:eastAsia="Times New Roman" w:hAnsi="Times New Roman"/>
          <w:kern w:val="0"/>
          <w:sz w:val="24"/>
          <w:lang w:eastAsia="hu-HU"/>
        </w:rPr>
        <w:t>szennyvíziszap hasznosítása a komposztálás mellett – figyelembe véve a fenntartható fejlődést szolgáló célokat –mezőgazdasági területekre kerül</w:t>
      </w:r>
      <w:r w:rsidR="00314A09" w:rsidRPr="00D3463E">
        <w:rPr>
          <w:rFonts w:ascii="Times New Roman" w:eastAsia="Times New Roman" w:hAnsi="Times New Roman"/>
          <w:kern w:val="0"/>
          <w:sz w:val="24"/>
          <w:lang w:eastAsia="hu-HU"/>
        </w:rPr>
        <w:t>t</w:t>
      </w:r>
      <w:r w:rsidR="00486086" w:rsidRPr="00D3463E">
        <w:rPr>
          <w:rFonts w:ascii="Times New Roman" w:eastAsia="Times New Roman" w:hAnsi="Times New Roman"/>
          <w:kern w:val="0"/>
          <w:sz w:val="24"/>
          <w:lang w:eastAsia="hu-HU"/>
        </w:rPr>
        <w:t xml:space="preserve"> kihelyezésre. </w:t>
      </w:r>
      <w:r w:rsidRPr="00D3463E">
        <w:rPr>
          <w:rFonts w:ascii="Times New Roman" w:eastAsia="Times New Roman" w:hAnsi="Times New Roman"/>
          <w:kern w:val="0"/>
          <w:sz w:val="24"/>
          <w:lang w:eastAsia="hu-HU"/>
        </w:rPr>
        <w:t>A komposztáláshoz szükséges</w:t>
      </w:r>
      <w:r w:rsidRPr="00883EC9">
        <w:rPr>
          <w:rFonts w:ascii="Times New Roman" w:eastAsia="Times New Roman" w:hAnsi="Times New Roman"/>
          <w:kern w:val="0"/>
          <w:sz w:val="24"/>
          <w:lang w:eastAsia="hu-HU"/>
        </w:rPr>
        <w:t xml:space="preserve"> </w:t>
      </w:r>
      <w:proofErr w:type="spellStart"/>
      <w:r w:rsidRPr="00883EC9">
        <w:rPr>
          <w:rFonts w:ascii="Times New Roman" w:eastAsia="Times New Roman" w:hAnsi="Times New Roman"/>
          <w:kern w:val="0"/>
          <w:sz w:val="24"/>
          <w:lang w:eastAsia="hu-HU"/>
        </w:rPr>
        <w:t>faaprítékot</w:t>
      </w:r>
      <w:proofErr w:type="spellEnd"/>
      <w:r w:rsidRPr="00883EC9">
        <w:rPr>
          <w:rFonts w:ascii="Times New Roman" w:eastAsia="Times New Roman" w:hAnsi="Times New Roman"/>
          <w:kern w:val="0"/>
          <w:sz w:val="24"/>
          <w:lang w:eastAsia="hu-HU"/>
        </w:rPr>
        <w:t xml:space="preserve"> mint struktúraanyagot teljes mennyiségében önköltségi </w:t>
      </w:r>
      <w:r w:rsidRPr="00A54AD7">
        <w:rPr>
          <w:rFonts w:ascii="Times New Roman" w:eastAsia="Times New Roman" w:hAnsi="Times New Roman"/>
          <w:kern w:val="0"/>
          <w:sz w:val="24"/>
          <w:lang w:eastAsia="hu-HU"/>
        </w:rPr>
        <w:t>(darálás, szállítás) áron sikerült biztosítani.</w:t>
      </w:r>
    </w:p>
    <w:p w:rsidR="00E8097E" w:rsidRPr="004C56DE" w:rsidRDefault="00E8097E" w:rsidP="00E549A8">
      <w:pPr>
        <w:pStyle w:val="xl28"/>
        <w:spacing w:before="0" w:beforeAutospacing="0" w:after="0" w:afterAutospacing="0"/>
        <w:jc w:val="both"/>
        <w:rPr>
          <w:b/>
          <w:bCs/>
        </w:rPr>
      </w:pPr>
      <w:bookmarkStart w:id="53" w:name="_GoBack"/>
      <w:bookmarkEnd w:id="53"/>
    </w:p>
    <w:p w:rsidR="00E8097E" w:rsidRPr="00883EC9" w:rsidRDefault="00E8097E" w:rsidP="00E549A8">
      <w:pPr>
        <w:pStyle w:val="Cmsor2"/>
        <w:jc w:val="both"/>
        <w:rPr>
          <w:i/>
          <w:iCs/>
          <w:color w:val="auto"/>
        </w:rPr>
      </w:pPr>
      <w:bookmarkStart w:id="54" w:name="_Toc331589993"/>
      <w:bookmarkStart w:id="55" w:name="_Toc489278867"/>
      <w:r w:rsidRPr="00883EC9">
        <w:rPr>
          <w:i/>
          <w:iCs/>
          <w:color w:val="auto"/>
        </w:rPr>
        <w:t>Szennyvíziszap elhelyezés, környezetvédelem</w:t>
      </w:r>
      <w:bookmarkEnd w:id="54"/>
      <w:bookmarkEnd w:id="55"/>
    </w:p>
    <w:p w:rsidR="00F915F5" w:rsidRPr="00883EC9" w:rsidRDefault="00F915F5" w:rsidP="004C56DE">
      <w:pPr>
        <w:pStyle w:val="Szvegtrzs3"/>
        <w:spacing w:after="60"/>
        <w:ind w:right="-1"/>
      </w:pPr>
      <w:r w:rsidRPr="00883EC9">
        <w:t>A társaság által üzemeltetett szennyvíztisztító telepeken keletkező szennyvíziszapokat elsősorban mezőgazdasági területeken történő elhelyezéssel hasznosítjuk.</w:t>
      </w:r>
    </w:p>
    <w:p w:rsidR="00F915F5" w:rsidRPr="00883EC9" w:rsidRDefault="00F915F5" w:rsidP="004C56DE">
      <w:pPr>
        <w:pStyle w:val="Szvegtrzs3"/>
        <w:spacing w:after="60"/>
        <w:ind w:right="-1"/>
        <w:rPr>
          <w:szCs w:val="24"/>
        </w:rPr>
      </w:pPr>
      <w:r w:rsidRPr="00883EC9">
        <w:t xml:space="preserve">A szombathelyi szennyvíztisztító telepen keletkező szennyvíziszap a Csepreg, Peresznye, Felsőcsatár, Kenyeri, Pornóapáti, Meggyeskovácsi, Egyházasrádóc, Püspökmolnári, </w:t>
      </w:r>
      <w:r w:rsidRPr="00883EC9">
        <w:rPr>
          <w:szCs w:val="24"/>
        </w:rPr>
        <w:t>Nagykölked,</w:t>
      </w:r>
      <w:r w:rsidRPr="00883EC9">
        <w:t xml:space="preserve"> Ják, Kám, Bögöte, Külsővat, Sitke, </w:t>
      </w:r>
      <w:proofErr w:type="spellStart"/>
      <w:r w:rsidRPr="00883EC9">
        <w:t>Rábahídvég</w:t>
      </w:r>
      <w:proofErr w:type="spellEnd"/>
      <w:r w:rsidRPr="00883EC9">
        <w:t xml:space="preserve">, Uraiújfalu, Tokorcs, Kemenesszentmárton, Kemenesmihályfa, Kemenessömjén és Mersevát településeken üzemelő szennyvíztisztító telepekről </w:t>
      </w:r>
      <w:r w:rsidRPr="00883EC9">
        <w:rPr>
          <w:szCs w:val="24"/>
        </w:rPr>
        <w:t>beszállított szennyvíziszapokkal együtt kerül rothasztásra, víztelenítésre, majd komposztálás után mezőgazdasági területeken történő hasznosításra.</w:t>
      </w:r>
    </w:p>
    <w:p w:rsidR="00F915F5" w:rsidRPr="00883EC9" w:rsidRDefault="00F915F5" w:rsidP="004C56DE">
      <w:pPr>
        <w:pStyle w:val="Szvegtrzs2"/>
        <w:spacing w:after="60"/>
        <w:ind w:right="-1"/>
        <w:rPr>
          <w:szCs w:val="24"/>
        </w:rPr>
      </w:pPr>
      <w:r w:rsidRPr="00883EC9">
        <w:rPr>
          <w:szCs w:val="24"/>
        </w:rPr>
        <w:t>Egyházashetyéről és</w:t>
      </w:r>
      <w:r w:rsidRPr="00883EC9">
        <w:t xml:space="preserve"> Szentpéterfáról </w:t>
      </w:r>
      <w:r w:rsidRPr="00883EC9">
        <w:rPr>
          <w:szCs w:val="24"/>
        </w:rPr>
        <w:t>a víztelenített szennyvíziszapot a szombathelyi komposztáló telepre szállítjuk.</w:t>
      </w:r>
    </w:p>
    <w:p w:rsidR="00F915F5" w:rsidRPr="00883EC9" w:rsidRDefault="00F915F5" w:rsidP="004C56DE">
      <w:pPr>
        <w:spacing w:after="60"/>
        <w:ind w:right="-1"/>
        <w:jc w:val="both"/>
        <w:rPr>
          <w:sz w:val="24"/>
        </w:rPr>
      </w:pPr>
      <w:r w:rsidRPr="00883EC9">
        <w:rPr>
          <w:sz w:val="24"/>
        </w:rPr>
        <w:t>Jánosházán a víztelenített, szalmával kevert iszap mezőgazdasági felhasználásra, beszántásra kerül.</w:t>
      </w:r>
    </w:p>
    <w:p w:rsidR="00F915F5" w:rsidRPr="00883EC9" w:rsidRDefault="00F915F5" w:rsidP="004C56DE">
      <w:pPr>
        <w:tabs>
          <w:tab w:val="left" w:pos="1134"/>
          <w:tab w:val="left" w:pos="1701"/>
          <w:tab w:val="right" w:pos="5103"/>
          <w:tab w:val="right" w:pos="6804"/>
        </w:tabs>
        <w:spacing w:after="60"/>
        <w:ind w:right="-1"/>
        <w:jc w:val="both"/>
        <w:rPr>
          <w:sz w:val="24"/>
        </w:rPr>
      </w:pPr>
      <w:r w:rsidRPr="00883EC9">
        <w:rPr>
          <w:sz w:val="24"/>
        </w:rPr>
        <w:t>Répcelakon - a Nickről beszállított iszappal együtt -, valamint Vasváron – a Csehimindszentről és Oszkóról beszállított iszappal együtt -, továbbá Celldömölkön és Sárváron a folyékony szennyvíziszapot átmeneti tárolás után injektálással juttatják ki mezőgazdasági területekre.</w:t>
      </w:r>
    </w:p>
    <w:p w:rsidR="00F915F5" w:rsidRPr="00883EC9" w:rsidRDefault="00F915F5" w:rsidP="004C56DE">
      <w:pPr>
        <w:ind w:right="-1"/>
        <w:jc w:val="both"/>
        <w:rPr>
          <w:sz w:val="24"/>
        </w:rPr>
      </w:pPr>
      <w:r w:rsidRPr="00883EC9">
        <w:rPr>
          <w:sz w:val="24"/>
        </w:rPr>
        <w:t>Körmenden a helyi szennyvíztisztító telepen keletkező szennyvíziszapon felül víztelenítik még Gersekarát, Hegyháthodász, Hegyhátszentjakab, Nádasd, Ivánc és Őriszentpéter szennyvíztisztítójában keletkezett sűrített szennyvíziszapokat</w:t>
      </w:r>
      <w:r w:rsidR="004C56DE">
        <w:rPr>
          <w:sz w:val="24"/>
        </w:rPr>
        <w:t xml:space="preserve">, valamint </w:t>
      </w:r>
      <w:r w:rsidR="00501EB2">
        <w:rPr>
          <w:sz w:val="24"/>
        </w:rPr>
        <w:t xml:space="preserve">2017. I. februártól </w:t>
      </w:r>
      <w:r w:rsidR="004C56DE">
        <w:rPr>
          <w:sz w:val="24"/>
        </w:rPr>
        <w:t xml:space="preserve">– a víztelenítő berendezés meghibásodása miatt - </w:t>
      </w:r>
      <w:r w:rsidR="00501EB2" w:rsidRPr="00883EC9">
        <w:rPr>
          <w:sz w:val="24"/>
        </w:rPr>
        <w:t>Bajánsenye</w:t>
      </w:r>
      <w:r w:rsidR="00501EB2">
        <w:rPr>
          <w:sz w:val="24"/>
        </w:rPr>
        <w:t xml:space="preserve"> szenny</w:t>
      </w:r>
      <w:r w:rsidR="004C56DE">
        <w:rPr>
          <w:sz w:val="24"/>
        </w:rPr>
        <w:t xml:space="preserve">víztisztítójából Körmendre szállított szennyvíziszapot. </w:t>
      </w:r>
    </w:p>
    <w:p w:rsidR="00F915F5" w:rsidRPr="00883EC9" w:rsidRDefault="00F915F5" w:rsidP="004C56DE">
      <w:pPr>
        <w:ind w:right="-1"/>
        <w:jc w:val="both"/>
        <w:rPr>
          <w:sz w:val="24"/>
        </w:rPr>
      </w:pPr>
      <w:r w:rsidRPr="00883EC9">
        <w:rPr>
          <w:sz w:val="24"/>
        </w:rPr>
        <w:t xml:space="preserve">A víztelenített szennyvíziszapot Körmendről </w:t>
      </w:r>
      <w:r w:rsidR="004C56DE">
        <w:rPr>
          <w:sz w:val="24"/>
        </w:rPr>
        <w:t xml:space="preserve">és Bajánsenyéről </w:t>
      </w:r>
      <w:r w:rsidRPr="00883EC9">
        <w:rPr>
          <w:sz w:val="24"/>
        </w:rPr>
        <w:t xml:space="preserve">a </w:t>
      </w:r>
      <w:proofErr w:type="spellStart"/>
      <w:r w:rsidRPr="00883EC9">
        <w:rPr>
          <w:sz w:val="24"/>
        </w:rPr>
        <w:t>Müllex-Körmend</w:t>
      </w:r>
      <w:proofErr w:type="spellEnd"/>
      <w:r w:rsidRPr="00883EC9">
        <w:rPr>
          <w:sz w:val="24"/>
        </w:rPr>
        <w:t xml:space="preserve"> Kft. szállítja el és használja fel komposztálást követően az általa üzemeltetett hulladéklerakón takaróföldként.</w:t>
      </w:r>
    </w:p>
    <w:p w:rsidR="00F915F5" w:rsidRPr="00883EC9" w:rsidRDefault="00F915F5" w:rsidP="004C56DE">
      <w:pPr>
        <w:tabs>
          <w:tab w:val="left" w:pos="1134"/>
          <w:tab w:val="left" w:pos="1701"/>
          <w:tab w:val="right" w:pos="5103"/>
          <w:tab w:val="right" w:pos="6804"/>
        </w:tabs>
        <w:spacing w:after="60"/>
        <w:ind w:right="-1"/>
        <w:jc w:val="both"/>
        <w:rPr>
          <w:sz w:val="24"/>
        </w:rPr>
      </w:pPr>
      <w:r w:rsidRPr="00883EC9">
        <w:rPr>
          <w:sz w:val="24"/>
        </w:rPr>
        <w:t xml:space="preserve">Szentgotthárdról, valamint Csörötnek és térségéből a </w:t>
      </w:r>
      <w:proofErr w:type="spellStart"/>
      <w:r w:rsidRPr="00883EC9">
        <w:rPr>
          <w:sz w:val="24"/>
        </w:rPr>
        <w:t>Heiligenkreuz-ban</w:t>
      </w:r>
      <w:proofErr w:type="spellEnd"/>
      <w:r w:rsidRPr="00883EC9">
        <w:rPr>
          <w:sz w:val="24"/>
        </w:rPr>
        <w:t xml:space="preserve"> (Ausztria) történő tisztítás után keletkező szennyvíziszapot hulladék-behozatali engedéllyel a visszaszállítást követően szintén mezőgazdasági területeken helyezzük el. </w:t>
      </w:r>
    </w:p>
    <w:p w:rsidR="00F915F5" w:rsidRPr="00675ABD" w:rsidRDefault="00F915F5" w:rsidP="004C56DE">
      <w:pPr>
        <w:tabs>
          <w:tab w:val="left" w:pos="1134"/>
          <w:tab w:val="left" w:pos="1701"/>
          <w:tab w:val="right" w:pos="5103"/>
          <w:tab w:val="right" w:pos="6804"/>
        </w:tabs>
        <w:spacing w:after="60"/>
        <w:ind w:right="-1"/>
        <w:jc w:val="both"/>
        <w:rPr>
          <w:sz w:val="16"/>
          <w:szCs w:val="16"/>
        </w:rPr>
      </w:pPr>
    </w:p>
    <w:p w:rsidR="00501EB2" w:rsidRDefault="00F915F5" w:rsidP="004C56DE">
      <w:pPr>
        <w:pStyle w:val="Szvegtrzs"/>
        <w:spacing w:after="80"/>
        <w:ind w:right="-1"/>
        <w:rPr>
          <w:szCs w:val="24"/>
        </w:rPr>
      </w:pPr>
      <w:r w:rsidRPr="00883EC9">
        <w:rPr>
          <w:szCs w:val="24"/>
        </w:rPr>
        <w:t>2017</w:t>
      </w:r>
      <w:r w:rsidR="00FF5F5F" w:rsidRPr="00883EC9">
        <w:rPr>
          <w:szCs w:val="24"/>
        </w:rPr>
        <w:t>.</w:t>
      </w:r>
      <w:r w:rsidRPr="00883EC9">
        <w:rPr>
          <w:szCs w:val="24"/>
        </w:rPr>
        <w:t xml:space="preserve"> </w:t>
      </w:r>
      <w:r w:rsidR="00FF5F5F" w:rsidRPr="00883EC9">
        <w:rPr>
          <w:szCs w:val="24"/>
        </w:rPr>
        <w:t>I.</w:t>
      </w:r>
      <w:r w:rsidRPr="00883EC9">
        <w:rPr>
          <w:szCs w:val="24"/>
        </w:rPr>
        <w:t xml:space="preserve"> félévben Szombathely Vépi úti telephelyről és a Fedett Uszodából történt 838 kg veszélyes hulladék elszállítása. Tárgyidőszakban teljesített környezetvédelmi kötelezettségeink - hulladékszállítás, környezetterhelési díjak - összköltsége 20 621 </w:t>
      </w:r>
      <w:proofErr w:type="spellStart"/>
      <w:r w:rsidRPr="00883EC9">
        <w:rPr>
          <w:szCs w:val="24"/>
        </w:rPr>
        <w:t>eFt</w:t>
      </w:r>
      <w:proofErr w:type="spellEnd"/>
      <w:r w:rsidRPr="00883EC9">
        <w:rPr>
          <w:szCs w:val="24"/>
        </w:rPr>
        <w:t>.</w:t>
      </w:r>
    </w:p>
    <w:p w:rsidR="00907071" w:rsidRPr="00907071" w:rsidRDefault="00501EB2" w:rsidP="00907071">
      <w:pPr>
        <w:rPr>
          <w:sz w:val="24"/>
          <w:szCs w:val="24"/>
        </w:rPr>
      </w:pPr>
      <w:r>
        <w:rPr>
          <w:szCs w:val="24"/>
        </w:rPr>
        <w:br w:type="page"/>
      </w:r>
      <w:bookmarkStart w:id="56" w:name="_Toc331589994"/>
      <w:bookmarkStart w:id="57" w:name="_Toc489278868"/>
    </w:p>
    <w:p w:rsidR="00E8097E" w:rsidRPr="00883EC9" w:rsidRDefault="00E8097E">
      <w:pPr>
        <w:pStyle w:val="Cmsor2"/>
        <w:rPr>
          <w:i/>
          <w:iCs/>
          <w:color w:val="auto"/>
        </w:rPr>
      </w:pPr>
      <w:r w:rsidRPr="00883EC9">
        <w:rPr>
          <w:i/>
          <w:iCs/>
          <w:color w:val="auto"/>
        </w:rPr>
        <w:lastRenderedPageBreak/>
        <w:t>Üzemellenőrzés, csatornabírság</w:t>
      </w:r>
      <w:bookmarkEnd w:id="56"/>
      <w:bookmarkEnd w:id="57"/>
    </w:p>
    <w:p w:rsidR="00E8097E" w:rsidRPr="00883EC9" w:rsidRDefault="00E8097E">
      <w:pPr>
        <w:pStyle w:val="Szvegtrzs"/>
        <w:rPr>
          <w:i/>
          <w:iCs/>
          <w:sz w:val="12"/>
        </w:rPr>
      </w:pPr>
    </w:p>
    <w:p w:rsidR="00FF5F5F" w:rsidRPr="00883EC9" w:rsidRDefault="00FF5F5F" w:rsidP="00FF5F5F">
      <w:pPr>
        <w:pStyle w:val="Szvegtrzs"/>
        <w:spacing w:after="80"/>
        <w:ind w:right="142"/>
        <w:rPr>
          <w:szCs w:val="24"/>
        </w:rPr>
      </w:pPr>
      <w:r w:rsidRPr="00883EC9">
        <w:rPr>
          <w:szCs w:val="24"/>
        </w:rPr>
        <w:t xml:space="preserve">2017. I. félévben a 220/2004. (VII. 21.) Korm. rendelet és a 27/2005. (XII. 06.) </w:t>
      </w:r>
      <w:proofErr w:type="spellStart"/>
      <w:r w:rsidRPr="00883EC9">
        <w:rPr>
          <w:szCs w:val="24"/>
        </w:rPr>
        <w:t>KvVM</w:t>
      </w:r>
      <w:proofErr w:type="spellEnd"/>
      <w:r w:rsidRPr="00883EC9">
        <w:rPr>
          <w:szCs w:val="24"/>
        </w:rPr>
        <w:t xml:space="preserve"> rendelet alapján 2 kibocsátó ellenőrzésére került sor 3 alkalommal. A mintavételek, vizsgálatok akkreditáltak, így az esetleges csatornabírságok alapjait képezhetik.</w:t>
      </w:r>
    </w:p>
    <w:p w:rsidR="00FF5F5F" w:rsidRPr="00883EC9" w:rsidRDefault="00FF5F5F" w:rsidP="00FF5F5F">
      <w:pPr>
        <w:pStyle w:val="Szvegtrzs"/>
        <w:spacing w:after="80"/>
        <w:ind w:right="142"/>
        <w:rPr>
          <w:szCs w:val="24"/>
        </w:rPr>
      </w:pPr>
      <w:r w:rsidRPr="00883EC9">
        <w:rPr>
          <w:szCs w:val="24"/>
        </w:rPr>
        <w:t xml:space="preserve">Az előzetes becslések alapján 346 </w:t>
      </w:r>
      <w:proofErr w:type="spellStart"/>
      <w:r w:rsidRPr="00883EC9">
        <w:rPr>
          <w:szCs w:val="24"/>
        </w:rPr>
        <w:t>eFt</w:t>
      </w:r>
      <w:proofErr w:type="spellEnd"/>
      <w:r w:rsidRPr="00883EC9">
        <w:rPr>
          <w:szCs w:val="24"/>
        </w:rPr>
        <w:t xml:space="preserve"> csatornabírság bevételre számíthatunk.</w:t>
      </w:r>
    </w:p>
    <w:p w:rsidR="00FF5F5F" w:rsidRPr="00883EC9" w:rsidRDefault="00FF5F5F" w:rsidP="00FF5F5F">
      <w:pPr>
        <w:pStyle w:val="Szvegtrzs3"/>
        <w:ind w:right="142"/>
        <w:rPr>
          <w:sz w:val="16"/>
        </w:rPr>
      </w:pPr>
    </w:p>
    <w:p w:rsidR="00FF5F5F" w:rsidRPr="00883EC9" w:rsidRDefault="00FF5F5F" w:rsidP="00FF5F5F">
      <w:pPr>
        <w:pStyle w:val="Cmsor2"/>
        <w:ind w:right="141"/>
        <w:rPr>
          <w:i/>
          <w:iCs/>
          <w:color w:val="auto"/>
        </w:rPr>
      </w:pPr>
      <w:bookmarkStart w:id="58" w:name="_Toc479173343"/>
      <w:bookmarkStart w:id="59" w:name="_Toc489278869"/>
      <w:r w:rsidRPr="00883EC9">
        <w:rPr>
          <w:i/>
          <w:iCs/>
          <w:color w:val="auto"/>
        </w:rPr>
        <w:t>Hatósági ellenőrzés, szennyvízbírság</w:t>
      </w:r>
      <w:bookmarkEnd w:id="58"/>
      <w:bookmarkEnd w:id="59"/>
    </w:p>
    <w:p w:rsidR="00FF5F5F" w:rsidRPr="00883EC9" w:rsidRDefault="00FF5F5F" w:rsidP="00FF5F5F">
      <w:pPr>
        <w:ind w:right="142"/>
        <w:rPr>
          <w:sz w:val="8"/>
        </w:rPr>
      </w:pPr>
    </w:p>
    <w:p w:rsidR="00FF5F5F" w:rsidRPr="00883EC9" w:rsidRDefault="00FF5F5F" w:rsidP="00FF5F5F">
      <w:pPr>
        <w:pStyle w:val="Szvegtrzs"/>
        <w:ind w:right="142"/>
        <w:rPr>
          <w:szCs w:val="24"/>
        </w:rPr>
      </w:pPr>
      <w:r w:rsidRPr="00883EC9">
        <w:rPr>
          <w:szCs w:val="24"/>
        </w:rPr>
        <w:t>Az élővíz szennyezések után a szennyvízbírságot a Vas Megyei Katasztrófavédelmi Igazgatóság szabja ki. A 2016. évre vonatkozó, 2017. évben fizetendő bírság várható összege 3</w:t>
      </w:r>
      <w:r w:rsidR="00B91791">
        <w:rPr>
          <w:szCs w:val="24"/>
        </w:rPr>
        <w:t xml:space="preserve">,5 </w:t>
      </w:r>
      <w:proofErr w:type="spellStart"/>
      <w:r w:rsidR="00B91791">
        <w:rPr>
          <w:szCs w:val="24"/>
        </w:rPr>
        <w:t>m</w:t>
      </w:r>
      <w:r w:rsidRPr="00883EC9">
        <w:rPr>
          <w:szCs w:val="24"/>
        </w:rPr>
        <w:t>Ft</w:t>
      </w:r>
      <w:proofErr w:type="spellEnd"/>
      <w:r w:rsidRPr="00883EC9">
        <w:rPr>
          <w:szCs w:val="24"/>
        </w:rPr>
        <w:t>.</w:t>
      </w:r>
    </w:p>
    <w:p w:rsidR="00E8097E" w:rsidRPr="00883EC9" w:rsidRDefault="00E8097E">
      <w:pPr>
        <w:jc w:val="both"/>
        <w:rPr>
          <w:i/>
          <w:iCs/>
          <w:sz w:val="23"/>
        </w:rPr>
      </w:pPr>
    </w:p>
    <w:p w:rsidR="00E8097E" w:rsidRPr="00883EC9" w:rsidRDefault="00E8097E">
      <w:pPr>
        <w:jc w:val="both"/>
        <w:rPr>
          <w:i/>
          <w:iCs/>
          <w:sz w:val="24"/>
        </w:rPr>
      </w:pPr>
      <w:bookmarkStart w:id="60" w:name="_Toc331589996"/>
    </w:p>
    <w:p w:rsidR="00E8097E" w:rsidRPr="00883EC9" w:rsidRDefault="00E8097E">
      <w:pPr>
        <w:pStyle w:val="Cmsor1"/>
        <w:ind w:left="0"/>
        <w:rPr>
          <w:b/>
          <w:bCs/>
          <w:i/>
          <w:iCs/>
          <w:sz w:val="28"/>
        </w:rPr>
      </w:pPr>
      <w:bookmarkStart w:id="61" w:name="_Toc330999135"/>
      <w:bookmarkStart w:id="62" w:name="_Toc331589997"/>
      <w:bookmarkStart w:id="63" w:name="_Toc489278870"/>
      <w:bookmarkEnd w:id="60"/>
      <w:r w:rsidRPr="00883EC9">
        <w:rPr>
          <w:b/>
          <w:bCs/>
          <w:i/>
          <w:iCs/>
          <w:sz w:val="28"/>
        </w:rPr>
        <w:t>Létszám- és bérgazdálkodás</w:t>
      </w:r>
      <w:bookmarkEnd w:id="61"/>
      <w:bookmarkEnd w:id="62"/>
      <w:bookmarkEnd w:id="63"/>
    </w:p>
    <w:p w:rsidR="00E8097E" w:rsidRPr="00883EC9" w:rsidRDefault="00E8097E" w:rsidP="0095261C"/>
    <w:p w:rsidR="00E8097E" w:rsidRPr="00883EC9" w:rsidRDefault="00E8097E" w:rsidP="0095261C">
      <w:pPr>
        <w:rPr>
          <w:i/>
          <w:sz w:val="24"/>
          <w:szCs w:val="24"/>
        </w:rPr>
      </w:pPr>
      <w:r w:rsidRPr="00883EC9">
        <w:rPr>
          <w:i/>
          <w:sz w:val="24"/>
          <w:szCs w:val="24"/>
        </w:rPr>
        <w:t>Korrigált munkajogi állományi létszám (fő)</w:t>
      </w:r>
    </w:p>
    <w:tbl>
      <w:tblPr>
        <w:tblW w:w="9620" w:type="dxa"/>
        <w:tblCellMar>
          <w:left w:w="70" w:type="dxa"/>
          <w:right w:w="70" w:type="dxa"/>
        </w:tblCellMar>
        <w:tblLook w:val="04A0" w:firstRow="1" w:lastRow="0" w:firstColumn="1" w:lastColumn="0" w:noHBand="0" w:noVBand="1"/>
      </w:tblPr>
      <w:tblGrid>
        <w:gridCol w:w="2980"/>
        <w:gridCol w:w="989"/>
        <w:gridCol w:w="431"/>
        <w:gridCol w:w="987"/>
        <w:gridCol w:w="425"/>
        <w:gridCol w:w="208"/>
        <w:gridCol w:w="847"/>
        <w:gridCol w:w="425"/>
        <w:gridCol w:w="208"/>
        <w:gridCol w:w="797"/>
        <w:gridCol w:w="67"/>
        <w:gridCol w:w="256"/>
        <w:gridCol w:w="677"/>
        <w:gridCol w:w="67"/>
        <w:gridCol w:w="256"/>
      </w:tblGrid>
      <w:tr w:rsidR="006C6282" w:rsidRPr="00883EC9" w:rsidTr="00CC39B8">
        <w:trPr>
          <w:gridAfter w:val="2"/>
          <w:wAfter w:w="323" w:type="dxa"/>
          <w:trHeight w:val="850"/>
        </w:trPr>
        <w:tc>
          <w:tcPr>
            <w:tcW w:w="2980" w:type="dxa"/>
            <w:tcBorders>
              <w:top w:val="nil"/>
              <w:left w:val="nil"/>
              <w:bottom w:val="single" w:sz="4" w:space="0" w:color="auto"/>
              <w:right w:val="nil"/>
            </w:tcBorders>
            <w:shd w:val="clear" w:color="auto" w:fill="auto"/>
            <w:vAlign w:val="bottom"/>
            <w:hideMark/>
          </w:tcPr>
          <w:p w:rsidR="006C6282" w:rsidRPr="00883EC9" w:rsidRDefault="006C6282" w:rsidP="00A659F9">
            <w:pPr>
              <w:rPr>
                <w:rFonts w:ascii="Times New Roman CE" w:hAnsi="Times New Roman CE" w:cs="Times New Roman CE"/>
                <w:i/>
                <w:iCs/>
                <w:sz w:val="22"/>
                <w:szCs w:val="22"/>
              </w:rPr>
            </w:pPr>
            <w:r w:rsidRPr="00883EC9">
              <w:rPr>
                <w:rFonts w:ascii="Times New Roman CE" w:hAnsi="Times New Roman CE" w:cs="Times New Roman CE"/>
                <w:i/>
                <w:iCs/>
                <w:sz w:val="22"/>
                <w:szCs w:val="22"/>
              </w:rPr>
              <w:t> </w:t>
            </w:r>
          </w:p>
        </w:tc>
        <w:tc>
          <w:tcPr>
            <w:tcW w:w="1420" w:type="dxa"/>
            <w:gridSpan w:val="2"/>
            <w:tcBorders>
              <w:top w:val="nil"/>
              <w:left w:val="nil"/>
              <w:bottom w:val="single" w:sz="4" w:space="0" w:color="auto"/>
              <w:right w:val="nil"/>
            </w:tcBorders>
            <w:shd w:val="clear" w:color="auto" w:fill="auto"/>
            <w:vAlign w:val="center"/>
            <w:hideMark/>
          </w:tcPr>
          <w:p w:rsidR="006C6282" w:rsidRPr="00883EC9" w:rsidRDefault="006C6282" w:rsidP="00A659F9">
            <w:pPr>
              <w:jc w:val="center"/>
              <w:rPr>
                <w:rFonts w:ascii="Times New Roman CE" w:hAnsi="Times New Roman CE" w:cs="Times New Roman CE"/>
                <w:i/>
                <w:iCs/>
                <w:sz w:val="22"/>
                <w:szCs w:val="22"/>
              </w:rPr>
            </w:pPr>
            <w:r w:rsidRPr="00883EC9">
              <w:rPr>
                <w:rFonts w:ascii="Times New Roman CE" w:hAnsi="Times New Roman CE" w:cs="Times New Roman CE"/>
                <w:i/>
                <w:iCs/>
                <w:sz w:val="22"/>
                <w:szCs w:val="22"/>
              </w:rPr>
              <w:t>2016. I. félév tény</w:t>
            </w:r>
          </w:p>
        </w:tc>
        <w:tc>
          <w:tcPr>
            <w:tcW w:w="1412" w:type="dxa"/>
            <w:gridSpan w:val="2"/>
            <w:tcBorders>
              <w:top w:val="nil"/>
              <w:left w:val="nil"/>
              <w:bottom w:val="single" w:sz="4" w:space="0" w:color="auto"/>
              <w:right w:val="nil"/>
            </w:tcBorders>
            <w:shd w:val="clear" w:color="auto" w:fill="auto"/>
            <w:vAlign w:val="center"/>
            <w:hideMark/>
          </w:tcPr>
          <w:p w:rsidR="006C6282" w:rsidRPr="00883EC9" w:rsidRDefault="006C6282" w:rsidP="00A659F9">
            <w:pPr>
              <w:jc w:val="center"/>
              <w:rPr>
                <w:rFonts w:ascii="Times New Roman CE" w:hAnsi="Times New Roman CE" w:cs="Times New Roman CE"/>
                <w:i/>
                <w:iCs/>
                <w:sz w:val="22"/>
                <w:szCs w:val="22"/>
              </w:rPr>
            </w:pPr>
            <w:r w:rsidRPr="00883EC9">
              <w:rPr>
                <w:rFonts w:ascii="Times New Roman CE" w:hAnsi="Times New Roman CE" w:cs="Times New Roman CE"/>
                <w:i/>
                <w:iCs/>
                <w:sz w:val="22"/>
                <w:szCs w:val="22"/>
              </w:rPr>
              <w:t>2017. évi</w:t>
            </w:r>
            <w:r w:rsidRPr="00883EC9">
              <w:rPr>
                <w:rFonts w:ascii="Times New Roman CE" w:hAnsi="Times New Roman CE" w:cs="Times New Roman CE"/>
                <w:i/>
                <w:iCs/>
                <w:sz w:val="22"/>
                <w:szCs w:val="22"/>
              </w:rPr>
              <w:br/>
              <w:t>1. sz. mód.</w:t>
            </w:r>
            <w:r w:rsidRPr="00883EC9">
              <w:rPr>
                <w:rFonts w:ascii="Times New Roman CE" w:hAnsi="Times New Roman CE" w:cs="Times New Roman CE"/>
                <w:i/>
                <w:iCs/>
                <w:sz w:val="22"/>
                <w:szCs w:val="22"/>
              </w:rPr>
              <w:br/>
              <w:t>terv</w:t>
            </w:r>
          </w:p>
        </w:tc>
        <w:tc>
          <w:tcPr>
            <w:tcW w:w="1480" w:type="dxa"/>
            <w:gridSpan w:val="3"/>
            <w:tcBorders>
              <w:top w:val="nil"/>
              <w:left w:val="nil"/>
              <w:bottom w:val="single" w:sz="4" w:space="0" w:color="auto"/>
              <w:right w:val="nil"/>
            </w:tcBorders>
            <w:shd w:val="clear" w:color="auto" w:fill="auto"/>
            <w:vAlign w:val="center"/>
            <w:hideMark/>
          </w:tcPr>
          <w:p w:rsidR="006C6282" w:rsidRPr="00883EC9" w:rsidRDefault="006C6282" w:rsidP="00A659F9">
            <w:pPr>
              <w:jc w:val="center"/>
              <w:rPr>
                <w:rFonts w:ascii="Times New Roman CE" w:hAnsi="Times New Roman CE" w:cs="Times New Roman CE"/>
                <w:i/>
                <w:iCs/>
                <w:sz w:val="22"/>
                <w:szCs w:val="22"/>
              </w:rPr>
            </w:pPr>
            <w:r w:rsidRPr="00883EC9">
              <w:rPr>
                <w:rFonts w:ascii="Times New Roman CE" w:hAnsi="Times New Roman CE" w:cs="Times New Roman CE"/>
                <w:i/>
                <w:iCs/>
                <w:sz w:val="22"/>
                <w:szCs w:val="22"/>
              </w:rPr>
              <w:t>2017. I. félév tény</w:t>
            </w:r>
          </w:p>
        </w:tc>
        <w:tc>
          <w:tcPr>
            <w:tcW w:w="1005" w:type="dxa"/>
            <w:gridSpan w:val="2"/>
            <w:tcBorders>
              <w:top w:val="nil"/>
              <w:left w:val="nil"/>
              <w:bottom w:val="single" w:sz="4" w:space="0" w:color="auto"/>
              <w:right w:val="nil"/>
            </w:tcBorders>
            <w:shd w:val="clear" w:color="auto" w:fill="auto"/>
            <w:vAlign w:val="center"/>
            <w:hideMark/>
          </w:tcPr>
          <w:p w:rsidR="006C6282" w:rsidRPr="00883EC9" w:rsidRDefault="006C6282" w:rsidP="00A659F9">
            <w:pPr>
              <w:jc w:val="center"/>
              <w:rPr>
                <w:rFonts w:ascii="Times New Roman CE" w:hAnsi="Times New Roman CE" w:cs="Times New Roman CE"/>
                <w:i/>
                <w:iCs/>
                <w:sz w:val="22"/>
                <w:szCs w:val="22"/>
              </w:rPr>
            </w:pPr>
            <w:r w:rsidRPr="00883EC9">
              <w:rPr>
                <w:rFonts w:ascii="Times New Roman CE" w:hAnsi="Times New Roman CE" w:cs="Times New Roman CE"/>
                <w:i/>
                <w:iCs/>
                <w:sz w:val="22"/>
                <w:szCs w:val="22"/>
              </w:rPr>
              <w:t xml:space="preserve">tény/ </w:t>
            </w:r>
          </w:p>
          <w:p w:rsidR="006C6282" w:rsidRPr="00883EC9" w:rsidRDefault="006C6282" w:rsidP="00A659F9">
            <w:pPr>
              <w:jc w:val="center"/>
              <w:rPr>
                <w:rFonts w:ascii="Times New Roman CE" w:hAnsi="Times New Roman CE" w:cs="Times New Roman CE"/>
                <w:i/>
                <w:iCs/>
                <w:sz w:val="22"/>
                <w:szCs w:val="22"/>
              </w:rPr>
            </w:pPr>
            <w:r w:rsidRPr="00883EC9">
              <w:rPr>
                <w:rFonts w:ascii="Times New Roman CE" w:hAnsi="Times New Roman CE" w:cs="Times New Roman CE"/>
                <w:i/>
                <w:iCs/>
                <w:sz w:val="22"/>
                <w:szCs w:val="22"/>
              </w:rPr>
              <w:t xml:space="preserve">bázis    </w:t>
            </w:r>
          </w:p>
        </w:tc>
        <w:tc>
          <w:tcPr>
            <w:tcW w:w="1000" w:type="dxa"/>
            <w:gridSpan w:val="3"/>
            <w:tcBorders>
              <w:top w:val="nil"/>
              <w:left w:val="nil"/>
              <w:bottom w:val="single" w:sz="4" w:space="0" w:color="auto"/>
              <w:right w:val="nil"/>
            </w:tcBorders>
            <w:shd w:val="clear" w:color="auto" w:fill="auto"/>
            <w:vAlign w:val="center"/>
            <w:hideMark/>
          </w:tcPr>
          <w:p w:rsidR="006C6282" w:rsidRPr="00883EC9" w:rsidRDefault="006C6282" w:rsidP="00A659F9">
            <w:pPr>
              <w:jc w:val="center"/>
              <w:rPr>
                <w:rFonts w:ascii="Times New Roman CE" w:hAnsi="Times New Roman CE" w:cs="Times New Roman CE"/>
                <w:i/>
                <w:iCs/>
                <w:sz w:val="22"/>
                <w:szCs w:val="22"/>
              </w:rPr>
            </w:pPr>
            <w:r w:rsidRPr="00883EC9">
              <w:rPr>
                <w:rFonts w:ascii="Times New Roman CE" w:hAnsi="Times New Roman CE" w:cs="Times New Roman CE"/>
                <w:i/>
                <w:iCs/>
                <w:sz w:val="22"/>
                <w:szCs w:val="22"/>
              </w:rPr>
              <w:t xml:space="preserve">tény/ terv    </w:t>
            </w:r>
          </w:p>
        </w:tc>
      </w:tr>
      <w:tr w:rsidR="006C6282" w:rsidRPr="00883EC9" w:rsidTr="00675ABD">
        <w:trPr>
          <w:gridAfter w:val="1"/>
          <w:wAfter w:w="256" w:type="dxa"/>
          <w:trHeight w:val="178"/>
        </w:trPr>
        <w:tc>
          <w:tcPr>
            <w:tcW w:w="2980" w:type="dxa"/>
            <w:tcBorders>
              <w:top w:val="nil"/>
              <w:left w:val="nil"/>
              <w:bottom w:val="nil"/>
              <w:right w:val="nil"/>
            </w:tcBorders>
            <w:shd w:val="clear" w:color="auto" w:fill="auto"/>
            <w:noWrap/>
            <w:vAlign w:val="bottom"/>
            <w:hideMark/>
          </w:tcPr>
          <w:p w:rsidR="006C6282" w:rsidRPr="00883EC9" w:rsidRDefault="006C6282" w:rsidP="00A659F9">
            <w:pPr>
              <w:rPr>
                <w:rFonts w:ascii="Times New Roman CE" w:hAnsi="Times New Roman CE" w:cs="Times New Roman CE"/>
                <w:sz w:val="24"/>
                <w:szCs w:val="24"/>
              </w:rPr>
            </w:pPr>
            <w:r w:rsidRPr="00883EC9">
              <w:rPr>
                <w:rFonts w:ascii="Times New Roman CE" w:hAnsi="Times New Roman CE" w:cs="Times New Roman CE"/>
                <w:sz w:val="24"/>
                <w:szCs w:val="24"/>
              </w:rPr>
              <w:t>Teljes munkaidős</w:t>
            </w:r>
          </w:p>
        </w:tc>
        <w:tc>
          <w:tcPr>
            <w:tcW w:w="989" w:type="dxa"/>
            <w:tcBorders>
              <w:top w:val="nil"/>
              <w:left w:val="nil"/>
              <w:bottom w:val="nil"/>
              <w:right w:val="nil"/>
            </w:tcBorders>
            <w:shd w:val="clear" w:color="auto" w:fill="auto"/>
            <w:noWrap/>
            <w:vAlign w:val="bottom"/>
            <w:hideMark/>
          </w:tcPr>
          <w:p w:rsidR="006C6282" w:rsidRPr="00883EC9" w:rsidRDefault="006C6282" w:rsidP="00A659F9">
            <w:pPr>
              <w:jc w:val="right"/>
              <w:rPr>
                <w:rFonts w:ascii="Times New Roman CE" w:hAnsi="Times New Roman CE" w:cs="Times New Roman CE"/>
                <w:sz w:val="24"/>
                <w:szCs w:val="24"/>
              </w:rPr>
            </w:pPr>
            <w:r w:rsidRPr="00883EC9">
              <w:rPr>
                <w:rFonts w:ascii="Times New Roman CE" w:hAnsi="Times New Roman CE" w:cs="Times New Roman CE"/>
                <w:sz w:val="24"/>
                <w:szCs w:val="24"/>
              </w:rPr>
              <w:t>616</w:t>
            </w:r>
          </w:p>
        </w:tc>
        <w:tc>
          <w:tcPr>
            <w:tcW w:w="1418" w:type="dxa"/>
            <w:gridSpan w:val="2"/>
            <w:tcBorders>
              <w:top w:val="nil"/>
              <w:left w:val="nil"/>
              <w:bottom w:val="nil"/>
              <w:right w:val="nil"/>
            </w:tcBorders>
            <w:shd w:val="clear" w:color="auto" w:fill="auto"/>
            <w:noWrap/>
            <w:vAlign w:val="bottom"/>
            <w:hideMark/>
          </w:tcPr>
          <w:p w:rsidR="006C6282" w:rsidRPr="00883EC9" w:rsidRDefault="006C6282" w:rsidP="00A659F9">
            <w:pPr>
              <w:jc w:val="right"/>
              <w:rPr>
                <w:rFonts w:ascii="Times New Roman CE" w:hAnsi="Times New Roman CE" w:cs="Times New Roman CE"/>
                <w:sz w:val="24"/>
                <w:szCs w:val="24"/>
              </w:rPr>
            </w:pPr>
            <w:r w:rsidRPr="00883EC9">
              <w:rPr>
                <w:rFonts w:ascii="Times New Roman CE" w:hAnsi="Times New Roman CE" w:cs="Times New Roman CE"/>
                <w:sz w:val="24"/>
                <w:szCs w:val="24"/>
              </w:rPr>
              <w:t>606</w:t>
            </w:r>
          </w:p>
        </w:tc>
        <w:tc>
          <w:tcPr>
            <w:tcW w:w="1480" w:type="dxa"/>
            <w:gridSpan w:val="3"/>
            <w:tcBorders>
              <w:top w:val="nil"/>
              <w:left w:val="nil"/>
              <w:bottom w:val="nil"/>
              <w:right w:val="nil"/>
            </w:tcBorders>
            <w:shd w:val="clear" w:color="auto" w:fill="auto"/>
            <w:noWrap/>
            <w:vAlign w:val="bottom"/>
            <w:hideMark/>
          </w:tcPr>
          <w:p w:rsidR="006C6282" w:rsidRPr="00883EC9" w:rsidRDefault="006C6282" w:rsidP="00A659F9">
            <w:pPr>
              <w:jc w:val="right"/>
              <w:rPr>
                <w:rFonts w:ascii="Times New Roman CE" w:hAnsi="Times New Roman CE" w:cs="Times New Roman CE"/>
                <w:sz w:val="24"/>
                <w:szCs w:val="24"/>
              </w:rPr>
            </w:pPr>
            <w:r w:rsidRPr="00883EC9">
              <w:rPr>
                <w:rFonts w:ascii="Times New Roman CE" w:hAnsi="Times New Roman CE" w:cs="Times New Roman CE"/>
                <w:sz w:val="24"/>
                <w:szCs w:val="24"/>
              </w:rPr>
              <w:t>601</w:t>
            </w:r>
          </w:p>
        </w:tc>
        <w:tc>
          <w:tcPr>
            <w:tcW w:w="1497" w:type="dxa"/>
            <w:gridSpan w:val="4"/>
            <w:tcBorders>
              <w:top w:val="nil"/>
              <w:left w:val="nil"/>
              <w:bottom w:val="nil"/>
              <w:right w:val="nil"/>
            </w:tcBorders>
            <w:shd w:val="clear" w:color="auto" w:fill="auto"/>
            <w:noWrap/>
            <w:vAlign w:val="bottom"/>
            <w:hideMark/>
          </w:tcPr>
          <w:p w:rsidR="006C6282" w:rsidRPr="00883EC9" w:rsidRDefault="006C6282" w:rsidP="00A659F9">
            <w:pPr>
              <w:jc w:val="right"/>
              <w:rPr>
                <w:rFonts w:ascii="Times New Roman CE" w:hAnsi="Times New Roman CE" w:cs="Times New Roman CE"/>
                <w:sz w:val="24"/>
                <w:szCs w:val="24"/>
              </w:rPr>
            </w:pPr>
            <w:r w:rsidRPr="00883EC9">
              <w:rPr>
                <w:rFonts w:ascii="Times New Roman CE" w:hAnsi="Times New Roman CE" w:cs="Times New Roman CE"/>
                <w:sz w:val="24"/>
                <w:szCs w:val="24"/>
              </w:rPr>
              <w:t>97,6%</w:t>
            </w:r>
          </w:p>
        </w:tc>
        <w:tc>
          <w:tcPr>
            <w:tcW w:w="1000" w:type="dxa"/>
            <w:gridSpan w:val="3"/>
            <w:tcBorders>
              <w:top w:val="nil"/>
              <w:left w:val="nil"/>
              <w:bottom w:val="nil"/>
              <w:right w:val="nil"/>
            </w:tcBorders>
            <w:shd w:val="clear" w:color="auto" w:fill="auto"/>
            <w:noWrap/>
            <w:vAlign w:val="bottom"/>
            <w:hideMark/>
          </w:tcPr>
          <w:p w:rsidR="006C6282" w:rsidRPr="00883EC9" w:rsidRDefault="006C6282" w:rsidP="00A659F9">
            <w:pPr>
              <w:jc w:val="right"/>
              <w:rPr>
                <w:rFonts w:ascii="Times New Roman CE" w:hAnsi="Times New Roman CE" w:cs="Times New Roman CE"/>
                <w:sz w:val="24"/>
                <w:szCs w:val="24"/>
              </w:rPr>
            </w:pPr>
            <w:r w:rsidRPr="00883EC9">
              <w:rPr>
                <w:rFonts w:ascii="Times New Roman CE" w:hAnsi="Times New Roman CE" w:cs="Times New Roman CE"/>
                <w:sz w:val="24"/>
                <w:szCs w:val="24"/>
              </w:rPr>
              <w:t>99,2%</w:t>
            </w:r>
          </w:p>
        </w:tc>
      </w:tr>
      <w:tr w:rsidR="006C6282" w:rsidRPr="00883EC9" w:rsidTr="00675ABD">
        <w:trPr>
          <w:gridAfter w:val="1"/>
          <w:wAfter w:w="256" w:type="dxa"/>
          <w:trHeight w:val="177"/>
        </w:trPr>
        <w:tc>
          <w:tcPr>
            <w:tcW w:w="2980" w:type="dxa"/>
            <w:tcBorders>
              <w:top w:val="nil"/>
              <w:left w:val="nil"/>
              <w:bottom w:val="single" w:sz="4" w:space="0" w:color="auto"/>
              <w:right w:val="nil"/>
            </w:tcBorders>
            <w:shd w:val="clear" w:color="auto" w:fill="auto"/>
            <w:noWrap/>
            <w:vAlign w:val="bottom"/>
            <w:hideMark/>
          </w:tcPr>
          <w:p w:rsidR="006C6282" w:rsidRPr="00883EC9" w:rsidRDefault="006C6282" w:rsidP="00A659F9">
            <w:pPr>
              <w:rPr>
                <w:rFonts w:ascii="Times New Roman CE" w:hAnsi="Times New Roman CE" w:cs="Times New Roman CE"/>
                <w:sz w:val="24"/>
                <w:szCs w:val="24"/>
              </w:rPr>
            </w:pPr>
            <w:r w:rsidRPr="00883EC9">
              <w:rPr>
                <w:rFonts w:ascii="Times New Roman CE" w:hAnsi="Times New Roman CE" w:cs="Times New Roman CE"/>
                <w:sz w:val="24"/>
                <w:szCs w:val="24"/>
              </w:rPr>
              <w:t>Nem teljes munkaidős</w:t>
            </w:r>
          </w:p>
        </w:tc>
        <w:tc>
          <w:tcPr>
            <w:tcW w:w="989" w:type="dxa"/>
            <w:tcBorders>
              <w:top w:val="nil"/>
              <w:left w:val="nil"/>
              <w:bottom w:val="single" w:sz="4" w:space="0" w:color="auto"/>
              <w:right w:val="nil"/>
            </w:tcBorders>
            <w:shd w:val="clear" w:color="auto" w:fill="auto"/>
            <w:noWrap/>
            <w:vAlign w:val="bottom"/>
            <w:hideMark/>
          </w:tcPr>
          <w:p w:rsidR="006C6282" w:rsidRPr="00883EC9" w:rsidRDefault="006C6282" w:rsidP="00A659F9">
            <w:pPr>
              <w:jc w:val="right"/>
              <w:rPr>
                <w:rFonts w:ascii="Times New Roman CE" w:hAnsi="Times New Roman CE" w:cs="Times New Roman CE"/>
                <w:sz w:val="24"/>
                <w:szCs w:val="24"/>
              </w:rPr>
            </w:pPr>
            <w:r w:rsidRPr="00883EC9">
              <w:rPr>
                <w:rFonts w:ascii="Times New Roman CE" w:hAnsi="Times New Roman CE" w:cs="Times New Roman CE"/>
                <w:sz w:val="24"/>
                <w:szCs w:val="24"/>
              </w:rPr>
              <w:t>13</w:t>
            </w:r>
          </w:p>
        </w:tc>
        <w:tc>
          <w:tcPr>
            <w:tcW w:w="1418" w:type="dxa"/>
            <w:gridSpan w:val="2"/>
            <w:tcBorders>
              <w:top w:val="nil"/>
              <w:left w:val="nil"/>
              <w:bottom w:val="single" w:sz="4" w:space="0" w:color="auto"/>
              <w:right w:val="nil"/>
            </w:tcBorders>
            <w:shd w:val="clear" w:color="auto" w:fill="auto"/>
            <w:noWrap/>
            <w:vAlign w:val="bottom"/>
            <w:hideMark/>
          </w:tcPr>
          <w:p w:rsidR="006C6282" w:rsidRPr="00883EC9" w:rsidRDefault="006C6282" w:rsidP="00A659F9">
            <w:pPr>
              <w:jc w:val="right"/>
              <w:rPr>
                <w:rFonts w:ascii="Times New Roman CE" w:hAnsi="Times New Roman CE" w:cs="Times New Roman CE"/>
                <w:sz w:val="24"/>
                <w:szCs w:val="24"/>
              </w:rPr>
            </w:pPr>
            <w:r w:rsidRPr="00883EC9">
              <w:rPr>
                <w:rFonts w:ascii="Times New Roman CE" w:hAnsi="Times New Roman CE" w:cs="Times New Roman CE"/>
                <w:sz w:val="24"/>
                <w:szCs w:val="24"/>
              </w:rPr>
              <w:t>14</w:t>
            </w:r>
          </w:p>
        </w:tc>
        <w:tc>
          <w:tcPr>
            <w:tcW w:w="1480" w:type="dxa"/>
            <w:gridSpan w:val="3"/>
            <w:tcBorders>
              <w:top w:val="nil"/>
              <w:left w:val="nil"/>
              <w:bottom w:val="single" w:sz="4" w:space="0" w:color="auto"/>
              <w:right w:val="nil"/>
            </w:tcBorders>
            <w:shd w:val="clear" w:color="auto" w:fill="auto"/>
            <w:noWrap/>
            <w:vAlign w:val="bottom"/>
            <w:hideMark/>
          </w:tcPr>
          <w:p w:rsidR="006C6282" w:rsidRPr="00883EC9" w:rsidRDefault="006C6282" w:rsidP="00A659F9">
            <w:pPr>
              <w:jc w:val="right"/>
              <w:rPr>
                <w:rFonts w:ascii="Times New Roman CE" w:hAnsi="Times New Roman CE" w:cs="Times New Roman CE"/>
                <w:sz w:val="24"/>
                <w:szCs w:val="24"/>
              </w:rPr>
            </w:pPr>
            <w:r w:rsidRPr="00883EC9">
              <w:rPr>
                <w:rFonts w:ascii="Times New Roman CE" w:hAnsi="Times New Roman CE" w:cs="Times New Roman CE"/>
                <w:sz w:val="24"/>
                <w:szCs w:val="24"/>
              </w:rPr>
              <w:t>16</w:t>
            </w:r>
          </w:p>
        </w:tc>
        <w:tc>
          <w:tcPr>
            <w:tcW w:w="1497" w:type="dxa"/>
            <w:gridSpan w:val="4"/>
            <w:tcBorders>
              <w:top w:val="nil"/>
              <w:left w:val="nil"/>
              <w:bottom w:val="single" w:sz="4" w:space="0" w:color="auto"/>
              <w:right w:val="nil"/>
            </w:tcBorders>
            <w:shd w:val="clear" w:color="auto" w:fill="auto"/>
            <w:noWrap/>
            <w:vAlign w:val="bottom"/>
            <w:hideMark/>
          </w:tcPr>
          <w:p w:rsidR="006C6282" w:rsidRPr="00883EC9" w:rsidRDefault="006C6282" w:rsidP="00A659F9">
            <w:pPr>
              <w:jc w:val="right"/>
              <w:rPr>
                <w:rFonts w:ascii="Times New Roman CE" w:hAnsi="Times New Roman CE" w:cs="Times New Roman CE"/>
                <w:sz w:val="24"/>
                <w:szCs w:val="24"/>
              </w:rPr>
            </w:pPr>
            <w:r w:rsidRPr="00883EC9">
              <w:rPr>
                <w:rFonts w:ascii="Times New Roman CE" w:hAnsi="Times New Roman CE" w:cs="Times New Roman CE"/>
                <w:sz w:val="24"/>
                <w:szCs w:val="24"/>
              </w:rPr>
              <w:t>123,1%</w:t>
            </w:r>
          </w:p>
        </w:tc>
        <w:tc>
          <w:tcPr>
            <w:tcW w:w="1000" w:type="dxa"/>
            <w:gridSpan w:val="3"/>
            <w:tcBorders>
              <w:top w:val="nil"/>
              <w:left w:val="nil"/>
              <w:bottom w:val="single" w:sz="4" w:space="0" w:color="auto"/>
              <w:right w:val="nil"/>
            </w:tcBorders>
            <w:shd w:val="clear" w:color="auto" w:fill="auto"/>
            <w:noWrap/>
            <w:vAlign w:val="bottom"/>
            <w:hideMark/>
          </w:tcPr>
          <w:p w:rsidR="006C6282" w:rsidRPr="00883EC9" w:rsidRDefault="006C6282" w:rsidP="00A659F9">
            <w:pPr>
              <w:jc w:val="right"/>
              <w:rPr>
                <w:rFonts w:ascii="Times New Roman CE" w:hAnsi="Times New Roman CE" w:cs="Times New Roman CE"/>
                <w:sz w:val="24"/>
                <w:szCs w:val="24"/>
              </w:rPr>
            </w:pPr>
            <w:r w:rsidRPr="00883EC9">
              <w:rPr>
                <w:rFonts w:ascii="Times New Roman CE" w:hAnsi="Times New Roman CE" w:cs="Times New Roman CE"/>
                <w:sz w:val="24"/>
                <w:szCs w:val="24"/>
              </w:rPr>
              <w:t>114,3%</w:t>
            </w:r>
          </w:p>
        </w:tc>
      </w:tr>
      <w:tr w:rsidR="006C6282" w:rsidRPr="00883EC9" w:rsidTr="006C6282">
        <w:trPr>
          <w:gridAfter w:val="1"/>
          <w:wAfter w:w="256" w:type="dxa"/>
          <w:trHeight w:val="315"/>
        </w:trPr>
        <w:tc>
          <w:tcPr>
            <w:tcW w:w="2980" w:type="dxa"/>
            <w:tcBorders>
              <w:top w:val="nil"/>
              <w:left w:val="nil"/>
              <w:bottom w:val="nil"/>
              <w:right w:val="nil"/>
            </w:tcBorders>
            <w:shd w:val="clear" w:color="auto" w:fill="auto"/>
            <w:noWrap/>
            <w:vAlign w:val="bottom"/>
            <w:hideMark/>
          </w:tcPr>
          <w:p w:rsidR="006C6282" w:rsidRPr="00883EC9" w:rsidRDefault="006C6282" w:rsidP="00A659F9">
            <w:pPr>
              <w:rPr>
                <w:rFonts w:ascii="Times New Roman CE" w:hAnsi="Times New Roman CE" w:cs="Times New Roman CE"/>
                <w:i/>
                <w:iCs/>
                <w:sz w:val="24"/>
                <w:szCs w:val="24"/>
              </w:rPr>
            </w:pPr>
            <w:r w:rsidRPr="00883EC9">
              <w:rPr>
                <w:rFonts w:ascii="Times New Roman CE" w:hAnsi="Times New Roman CE" w:cs="Times New Roman CE"/>
                <w:i/>
                <w:iCs/>
                <w:sz w:val="24"/>
                <w:szCs w:val="24"/>
              </w:rPr>
              <w:t>Összesen</w:t>
            </w:r>
          </w:p>
        </w:tc>
        <w:tc>
          <w:tcPr>
            <w:tcW w:w="989" w:type="dxa"/>
            <w:tcBorders>
              <w:top w:val="nil"/>
              <w:left w:val="nil"/>
              <w:bottom w:val="nil"/>
              <w:right w:val="nil"/>
            </w:tcBorders>
            <w:shd w:val="clear" w:color="auto" w:fill="auto"/>
            <w:noWrap/>
            <w:vAlign w:val="bottom"/>
            <w:hideMark/>
          </w:tcPr>
          <w:p w:rsidR="006C6282" w:rsidRPr="00883EC9" w:rsidRDefault="006C6282" w:rsidP="00A659F9">
            <w:pPr>
              <w:jc w:val="right"/>
              <w:rPr>
                <w:rFonts w:ascii="Times New Roman CE" w:hAnsi="Times New Roman CE" w:cs="Times New Roman CE"/>
                <w:i/>
                <w:iCs/>
                <w:sz w:val="24"/>
                <w:szCs w:val="24"/>
              </w:rPr>
            </w:pPr>
            <w:r w:rsidRPr="00883EC9">
              <w:rPr>
                <w:rFonts w:ascii="Times New Roman CE" w:hAnsi="Times New Roman CE" w:cs="Times New Roman CE"/>
                <w:i/>
                <w:iCs/>
                <w:sz w:val="24"/>
                <w:szCs w:val="24"/>
              </w:rPr>
              <w:t>629</w:t>
            </w:r>
          </w:p>
        </w:tc>
        <w:tc>
          <w:tcPr>
            <w:tcW w:w="1418" w:type="dxa"/>
            <w:gridSpan w:val="2"/>
            <w:tcBorders>
              <w:top w:val="nil"/>
              <w:left w:val="nil"/>
              <w:bottom w:val="nil"/>
              <w:right w:val="nil"/>
            </w:tcBorders>
            <w:shd w:val="clear" w:color="auto" w:fill="auto"/>
            <w:noWrap/>
            <w:vAlign w:val="bottom"/>
            <w:hideMark/>
          </w:tcPr>
          <w:p w:rsidR="006C6282" w:rsidRPr="00883EC9" w:rsidRDefault="006C6282" w:rsidP="00A659F9">
            <w:pPr>
              <w:jc w:val="right"/>
              <w:rPr>
                <w:rFonts w:ascii="Times New Roman CE" w:hAnsi="Times New Roman CE" w:cs="Times New Roman CE"/>
                <w:i/>
                <w:iCs/>
                <w:sz w:val="24"/>
                <w:szCs w:val="24"/>
              </w:rPr>
            </w:pPr>
            <w:r w:rsidRPr="00883EC9">
              <w:rPr>
                <w:rFonts w:ascii="Times New Roman CE" w:hAnsi="Times New Roman CE" w:cs="Times New Roman CE"/>
                <w:i/>
                <w:iCs/>
                <w:sz w:val="24"/>
                <w:szCs w:val="24"/>
              </w:rPr>
              <w:t>620</w:t>
            </w:r>
          </w:p>
        </w:tc>
        <w:tc>
          <w:tcPr>
            <w:tcW w:w="1480" w:type="dxa"/>
            <w:gridSpan w:val="3"/>
            <w:tcBorders>
              <w:top w:val="nil"/>
              <w:left w:val="nil"/>
              <w:bottom w:val="nil"/>
              <w:right w:val="nil"/>
            </w:tcBorders>
            <w:shd w:val="clear" w:color="auto" w:fill="auto"/>
            <w:noWrap/>
            <w:vAlign w:val="bottom"/>
            <w:hideMark/>
          </w:tcPr>
          <w:p w:rsidR="006C6282" w:rsidRPr="00883EC9" w:rsidRDefault="006C6282" w:rsidP="00A659F9">
            <w:pPr>
              <w:jc w:val="right"/>
              <w:rPr>
                <w:rFonts w:ascii="Times New Roman CE" w:hAnsi="Times New Roman CE" w:cs="Times New Roman CE"/>
                <w:i/>
                <w:iCs/>
                <w:sz w:val="24"/>
                <w:szCs w:val="24"/>
              </w:rPr>
            </w:pPr>
            <w:r w:rsidRPr="00883EC9">
              <w:rPr>
                <w:rFonts w:ascii="Times New Roman CE" w:hAnsi="Times New Roman CE" w:cs="Times New Roman CE"/>
                <w:i/>
                <w:iCs/>
                <w:sz w:val="24"/>
                <w:szCs w:val="24"/>
              </w:rPr>
              <w:t>617</w:t>
            </w:r>
          </w:p>
        </w:tc>
        <w:tc>
          <w:tcPr>
            <w:tcW w:w="1497" w:type="dxa"/>
            <w:gridSpan w:val="4"/>
            <w:tcBorders>
              <w:top w:val="nil"/>
              <w:left w:val="nil"/>
              <w:bottom w:val="nil"/>
              <w:right w:val="nil"/>
            </w:tcBorders>
            <w:shd w:val="clear" w:color="auto" w:fill="auto"/>
            <w:noWrap/>
            <w:vAlign w:val="bottom"/>
            <w:hideMark/>
          </w:tcPr>
          <w:p w:rsidR="006C6282" w:rsidRPr="00883EC9" w:rsidRDefault="006C6282" w:rsidP="00A659F9">
            <w:pPr>
              <w:jc w:val="right"/>
              <w:rPr>
                <w:rFonts w:ascii="Times New Roman CE" w:hAnsi="Times New Roman CE" w:cs="Times New Roman CE"/>
                <w:i/>
                <w:iCs/>
                <w:sz w:val="24"/>
                <w:szCs w:val="24"/>
              </w:rPr>
            </w:pPr>
            <w:r w:rsidRPr="00883EC9">
              <w:rPr>
                <w:rFonts w:ascii="Times New Roman CE" w:hAnsi="Times New Roman CE" w:cs="Times New Roman CE"/>
                <w:i/>
                <w:iCs/>
                <w:sz w:val="24"/>
                <w:szCs w:val="24"/>
              </w:rPr>
              <w:t>98,1%</w:t>
            </w:r>
          </w:p>
        </w:tc>
        <w:tc>
          <w:tcPr>
            <w:tcW w:w="1000" w:type="dxa"/>
            <w:gridSpan w:val="3"/>
            <w:tcBorders>
              <w:top w:val="nil"/>
              <w:left w:val="nil"/>
              <w:bottom w:val="nil"/>
              <w:right w:val="nil"/>
            </w:tcBorders>
            <w:shd w:val="clear" w:color="auto" w:fill="auto"/>
            <w:noWrap/>
            <w:vAlign w:val="bottom"/>
            <w:hideMark/>
          </w:tcPr>
          <w:p w:rsidR="006C6282" w:rsidRPr="00883EC9" w:rsidRDefault="006C6282" w:rsidP="00A659F9">
            <w:pPr>
              <w:jc w:val="right"/>
              <w:rPr>
                <w:rFonts w:ascii="Times New Roman CE" w:hAnsi="Times New Roman CE" w:cs="Times New Roman CE"/>
                <w:i/>
                <w:iCs/>
                <w:sz w:val="24"/>
                <w:szCs w:val="24"/>
              </w:rPr>
            </w:pPr>
            <w:r w:rsidRPr="00883EC9">
              <w:rPr>
                <w:rFonts w:ascii="Times New Roman CE" w:hAnsi="Times New Roman CE" w:cs="Times New Roman CE"/>
                <w:i/>
                <w:iCs/>
                <w:sz w:val="24"/>
                <w:szCs w:val="24"/>
              </w:rPr>
              <w:t>99,5%</w:t>
            </w:r>
          </w:p>
        </w:tc>
      </w:tr>
      <w:tr w:rsidR="006C6282" w:rsidRPr="00883EC9" w:rsidTr="00883EC9">
        <w:trPr>
          <w:trHeight w:val="80"/>
        </w:trPr>
        <w:tc>
          <w:tcPr>
            <w:tcW w:w="2980" w:type="dxa"/>
            <w:tcBorders>
              <w:top w:val="nil"/>
              <w:left w:val="nil"/>
              <w:bottom w:val="nil"/>
              <w:right w:val="nil"/>
            </w:tcBorders>
            <w:shd w:val="clear" w:color="auto" w:fill="auto"/>
            <w:noWrap/>
            <w:vAlign w:val="bottom"/>
            <w:hideMark/>
          </w:tcPr>
          <w:p w:rsidR="006C6282" w:rsidRPr="00883EC9" w:rsidRDefault="006C6282" w:rsidP="00A659F9">
            <w:pPr>
              <w:jc w:val="right"/>
              <w:rPr>
                <w:rFonts w:ascii="Times New Roman CE" w:hAnsi="Times New Roman CE" w:cs="Times New Roman CE"/>
                <w:i/>
                <w:iCs/>
                <w:sz w:val="24"/>
                <w:szCs w:val="24"/>
              </w:rPr>
            </w:pPr>
          </w:p>
        </w:tc>
        <w:tc>
          <w:tcPr>
            <w:tcW w:w="1420" w:type="dxa"/>
            <w:gridSpan w:val="2"/>
            <w:tcBorders>
              <w:top w:val="nil"/>
              <w:left w:val="nil"/>
              <w:bottom w:val="nil"/>
              <w:right w:val="nil"/>
            </w:tcBorders>
            <w:shd w:val="clear" w:color="auto" w:fill="auto"/>
            <w:noWrap/>
            <w:vAlign w:val="bottom"/>
            <w:hideMark/>
          </w:tcPr>
          <w:p w:rsidR="006C6282" w:rsidRPr="00883EC9" w:rsidRDefault="006C6282" w:rsidP="00A659F9"/>
        </w:tc>
        <w:tc>
          <w:tcPr>
            <w:tcW w:w="1620" w:type="dxa"/>
            <w:gridSpan w:val="3"/>
            <w:tcBorders>
              <w:top w:val="nil"/>
              <w:left w:val="nil"/>
              <w:bottom w:val="nil"/>
              <w:right w:val="nil"/>
            </w:tcBorders>
            <w:shd w:val="clear" w:color="auto" w:fill="auto"/>
            <w:noWrap/>
            <w:vAlign w:val="bottom"/>
            <w:hideMark/>
          </w:tcPr>
          <w:p w:rsidR="006C6282" w:rsidRPr="00883EC9" w:rsidRDefault="006C6282" w:rsidP="00A659F9"/>
        </w:tc>
        <w:tc>
          <w:tcPr>
            <w:tcW w:w="1480" w:type="dxa"/>
            <w:gridSpan w:val="3"/>
            <w:tcBorders>
              <w:top w:val="nil"/>
              <w:left w:val="nil"/>
              <w:bottom w:val="nil"/>
              <w:right w:val="nil"/>
            </w:tcBorders>
            <w:shd w:val="clear" w:color="auto" w:fill="auto"/>
            <w:noWrap/>
            <w:vAlign w:val="bottom"/>
            <w:hideMark/>
          </w:tcPr>
          <w:p w:rsidR="006C6282" w:rsidRPr="00883EC9" w:rsidRDefault="006C6282" w:rsidP="00A659F9"/>
        </w:tc>
        <w:tc>
          <w:tcPr>
            <w:tcW w:w="1120" w:type="dxa"/>
            <w:gridSpan w:val="3"/>
            <w:tcBorders>
              <w:top w:val="nil"/>
              <w:left w:val="nil"/>
              <w:bottom w:val="nil"/>
              <w:right w:val="nil"/>
            </w:tcBorders>
            <w:shd w:val="clear" w:color="auto" w:fill="auto"/>
            <w:noWrap/>
            <w:vAlign w:val="bottom"/>
            <w:hideMark/>
          </w:tcPr>
          <w:p w:rsidR="006C6282" w:rsidRPr="00883EC9" w:rsidRDefault="006C6282" w:rsidP="00A659F9"/>
        </w:tc>
        <w:tc>
          <w:tcPr>
            <w:tcW w:w="1000" w:type="dxa"/>
            <w:gridSpan w:val="3"/>
            <w:tcBorders>
              <w:top w:val="nil"/>
              <w:left w:val="nil"/>
              <w:bottom w:val="nil"/>
              <w:right w:val="nil"/>
            </w:tcBorders>
            <w:shd w:val="clear" w:color="auto" w:fill="auto"/>
            <w:noWrap/>
            <w:vAlign w:val="bottom"/>
            <w:hideMark/>
          </w:tcPr>
          <w:p w:rsidR="006C6282" w:rsidRPr="00883EC9" w:rsidRDefault="006C6282" w:rsidP="00A659F9"/>
        </w:tc>
      </w:tr>
    </w:tbl>
    <w:p w:rsidR="006C6282" w:rsidRPr="00883EC9" w:rsidRDefault="006C6282" w:rsidP="0095261C">
      <w:pPr>
        <w:rPr>
          <w:i/>
          <w:sz w:val="24"/>
          <w:szCs w:val="24"/>
        </w:rPr>
      </w:pPr>
    </w:p>
    <w:p w:rsidR="00E8097E" w:rsidRPr="00883EC9" w:rsidRDefault="00E8097E" w:rsidP="0095261C">
      <w:pPr>
        <w:rPr>
          <w:i/>
          <w:sz w:val="24"/>
          <w:szCs w:val="24"/>
        </w:rPr>
      </w:pPr>
      <w:r w:rsidRPr="00883EC9">
        <w:rPr>
          <w:i/>
          <w:sz w:val="24"/>
          <w:szCs w:val="24"/>
        </w:rPr>
        <w:t>A munkavállalók éves átlagos statisztikai állományi létszáma állománycsoportonként (fő)</w:t>
      </w:r>
    </w:p>
    <w:p w:rsidR="00E8097E" w:rsidRPr="00883EC9" w:rsidRDefault="00E8097E">
      <w:pPr>
        <w:rPr>
          <w:sz w:val="12"/>
          <w:szCs w:val="12"/>
        </w:rPr>
      </w:pPr>
    </w:p>
    <w:tbl>
      <w:tblPr>
        <w:tblW w:w="10040" w:type="dxa"/>
        <w:tblCellMar>
          <w:left w:w="70" w:type="dxa"/>
          <w:right w:w="70" w:type="dxa"/>
        </w:tblCellMar>
        <w:tblLook w:val="04A0" w:firstRow="1" w:lastRow="0" w:firstColumn="1" w:lastColumn="0" w:noHBand="0" w:noVBand="1"/>
      </w:tblPr>
      <w:tblGrid>
        <w:gridCol w:w="2980"/>
        <w:gridCol w:w="1420"/>
        <w:gridCol w:w="420"/>
        <w:gridCol w:w="1200"/>
        <w:gridCol w:w="420"/>
        <w:gridCol w:w="1060"/>
        <w:gridCol w:w="420"/>
        <w:gridCol w:w="700"/>
        <w:gridCol w:w="420"/>
        <w:gridCol w:w="580"/>
        <w:gridCol w:w="420"/>
      </w:tblGrid>
      <w:tr w:rsidR="006C6282" w:rsidRPr="00883EC9" w:rsidTr="00675ABD">
        <w:trPr>
          <w:trHeight w:val="98"/>
        </w:trPr>
        <w:tc>
          <w:tcPr>
            <w:tcW w:w="2980" w:type="dxa"/>
            <w:tcBorders>
              <w:top w:val="nil"/>
              <w:left w:val="nil"/>
              <w:bottom w:val="single" w:sz="4" w:space="0" w:color="auto"/>
              <w:right w:val="nil"/>
            </w:tcBorders>
            <w:shd w:val="clear" w:color="auto" w:fill="auto"/>
            <w:noWrap/>
            <w:vAlign w:val="bottom"/>
            <w:hideMark/>
          </w:tcPr>
          <w:p w:rsidR="006C6282" w:rsidRPr="00883EC9" w:rsidRDefault="006C6282" w:rsidP="006C6282">
            <w:pPr>
              <w:rPr>
                <w:rFonts w:ascii="Times New Roman CE" w:hAnsi="Times New Roman CE" w:cs="Times New Roman CE"/>
                <w:i/>
                <w:iCs/>
                <w:sz w:val="24"/>
                <w:szCs w:val="24"/>
              </w:rPr>
            </w:pPr>
            <w:r w:rsidRPr="00883EC9">
              <w:rPr>
                <w:rFonts w:ascii="Times New Roman CE" w:hAnsi="Times New Roman CE" w:cs="Times New Roman CE"/>
                <w:i/>
                <w:iCs/>
                <w:sz w:val="24"/>
                <w:szCs w:val="24"/>
              </w:rPr>
              <w:t> </w:t>
            </w:r>
          </w:p>
        </w:tc>
        <w:tc>
          <w:tcPr>
            <w:tcW w:w="1840" w:type="dxa"/>
            <w:gridSpan w:val="2"/>
            <w:tcBorders>
              <w:top w:val="nil"/>
              <w:left w:val="nil"/>
              <w:bottom w:val="single" w:sz="4" w:space="0" w:color="auto"/>
              <w:right w:val="nil"/>
            </w:tcBorders>
            <w:shd w:val="clear" w:color="auto" w:fill="auto"/>
            <w:noWrap/>
            <w:vAlign w:val="center"/>
            <w:hideMark/>
          </w:tcPr>
          <w:p w:rsidR="006C6282" w:rsidRPr="00883EC9" w:rsidRDefault="006C6282" w:rsidP="006C6282">
            <w:pPr>
              <w:jc w:val="center"/>
              <w:rPr>
                <w:rFonts w:ascii="Times New Roman CE" w:hAnsi="Times New Roman CE" w:cs="Times New Roman CE"/>
                <w:i/>
                <w:iCs/>
                <w:sz w:val="24"/>
                <w:szCs w:val="24"/>
              </w:rPr>
            </w:pPr>
            <w:r w:rsidRPr="00883EC9">
              <w:rPr>
                <w:rFonts w:ascii="Times New Roman CE" w:hAnsi="Times New Roman CE" w:cs="Times New Roman CE"/>
                <w:i/>
                <w:iCs/>
                <w:sz w:val="24"/>
                <w:szCs w:val="24"/>
              </w:rPr>
              <w:t xml:space="preserve"> 2016. I. félév </w:t>
            </w:r>
          </w:p>
        </w:tc>
        <w:tc>
          <w:tcPr>
            <w:tcW w:w="1620" w:type="dxa"/>
            <w:gridSpan w:val="2"/>
            <w:tcBorders>
              <w:top w:val="nil"/>
              <w:left w:val="nil"/>
              <w:bottom w:val="single" w:sz="4" w:space="0" w:color="auto"/>
              <w:right w:val="nil"/>
            </w:tcBorders>
            <w:shd w:val="clear" w:color="auto" w:fill="auto"/>
            <w:noWrap/>
            <w:vAlign w:val="center"/>
            <w:hideMark/>
          </w:tcPr>
          <w:p w:rsidR="006C6282" w:rsidRPr="00883EC9" w:rsidRDefault="006C6282" w:rsidP="006C6282">
            <w:pPr>
              <w:jc w:val="center"/>
              <w:rPr>
                <w:rFonts w:ascii="Times New Roman CE" w:hAnsi="Times New Roman CE" w:cs="Times New Roman CE"/>
                <w:i/>
                <w:iCs/>
                <w:sz w:val="24"/>
                <w:szCs w:val="24"/>
              </w:rPr>
            </w:pPr>
            <w:r w:rsidRPr="00883EC9">
              <w:rPr>
                <w:rFonts w:ascii="Times New Roman CE" w:hAnsi="Times New Roman CE" w:cs="Times New Roman CE"/>
                <w:i/>
                <w:iCs/>
                <w:sz w:val="24"/>
                <w:szCs w:val="24"/>
              </w:rPr>
              <w:t xml:space="preserve"> 2017. I. félév </w:t>
            </w:r>
          </w:p>
        </w:tc>
        <w:tc>
          <w:tcPr>
            <w:tcW w:w="1480" w:type="dxa"/>
            <w:gridSpan w:val="2"/>
            <w:tcBorders>
              <w:top w:val="nil"/>
              <w:left w:val="nil"/>
              <w:bottom w:val="single" w:sz="4" w:space="0" w:color="auto"/>
              <w:right w:val="nil"/>
            </w:tcBorders>
            <w:shd w:val="clear" w:color="auto" w:fill="auto"/>
            <w:noWrap/>
            <w:vAlign w:val="bottom"/>
            <w:hideMark/>
          </w:tcPr>
          <w:p w:rsidR="006C6282" w:rsidRPr="00883EC9" w:rsidRDefault="006C6282" w:rsidP="006C6282">
            <w:pPr>
              <w:jc w:val="center"/>
              <w:rPr>
                <w:rFonts w:ascii="Times New Roman CE" w:hAnsi="Times New Roman CE" w:cs="Times New Roman CE"/>
                <w:i/>
                <w:iCs/>
                <w:sz w:val="24"/>
                <w:szCs w:val="24"/>
              </w:rPr>
            </w:pPr>
            <w:r w:rsidRPr="00883EC9">
              <w:rPr>
                <w:rFonts w:ascii="Times New Roman CE" w:hAnsi="Times New Roman CE" w:cs="Times New Roman CE"/>
                <w:i/>
                <w:iCs/>
                <w:sz w:val="24"/>
                <w:szCs w:val="24"/>
              </w:rPr>
              <w:t>Index</w:t>
            </w:r>
          </w:p>
        </w:tc>
        <w:tc>
          <w:tcPr>
            <w:tcW w:w="1120" w:type="dxa"/>
            <w:gridSpan w:val="2"/>
            <w:tcBorders>
              <w:top w:val="nil"/>
              <w:left w:val="nil"/>
              <w:bottom w:val="nil"/>
              <w:right w:val="nil"/>
            </w:tcBorders>
            <w:shd w:val="clear" w:color="auto" w:fill="auto"/>
            <w:noWrap/>
            <w:vAlign w:val="bottom"/>
            <w:hideMark/>
          </w:tcPr>
          <w:p w:rsidR="006C6282" w:rsidRPr="00883EC9" w:rsidRDefault="006C6282" w:rsidP="006C6282">
            <w:pPr>
              <w:jc w:val="center"/>
              <w:rPr>
                <w:rFonts w:ascii="Times New Roman CE" w:hAnsi="Times New Roman CE" w:cs="Times New Roman CE"/>
                <w:i/>
                <w:iCs/>
                <w:sz w:val="24"/>
                <w:szCs w:val="24"/>
              </w:rPr>
            </w:pPr>
          </w:p>
        </w:tc>
        <w:tc>
          <w:tcPr>
            <w:tcW w:w="1000" w:type="dxa"/>
            <w:gridSpan w:val="2"/>
            <w:tcBorders>
              <w:top w:val="nil"/>
              <w:left w:val="nil"/>
              <w:bottom w:val="nil"/>
              <w:right w:val="nil"/>
            </w:tcBorders>
            <w:shd w:val="clear" w:color="auto" w:fill="auto"/>
            <w:noWrap/>
            <w:vAlign w:val="bottom"/>
            <w:hideMark/>
          </w:tcPr>
          <w:p w:rsidR="006C6282" w:rsidRPr="00883EC9" w:rsidRDefault="006C6282" w:rsidP="006C6282"/>
        </w:tc>
      </w:tr>
      <w:tr w:rsidR="006C6282" w:rsidRPr="00675ABD" w:rsidTr="00675ABD">
        <w:trPr>
          <w:gridAfter w:val="1"/>
          <w:wAfter w:w="420" w:type="dxa"/>
          <w:trHeight w:val="264"/>
        </w:trPr>
        <w:tc>
          <w:tcPr>
            <w:tcW w:w="2980" w:type="dxa"/>
            <w:tcBorders>
              <w:top w:val="nil"/>
              <w:left w:val="nil"/>
              <w:bottom w:val="nil"/>
              <w:right w:val="nil"/>
            </w:tcBorders>
            <w:shd w:val="clear" w:color="auto" w:fill="auto"/>
            <w:noWrap/>
            <w:vAlign w:val="bottom"/>
            <w:hideMark/>
          </w:tcPr>
          <w:p w:rsidR="006C6282" w:rsidRPr="00675ABD" w:rsidRDefault="006C6282" w:rsidP="006C6282">
            <w:pPr>
              <w:rPr>
                <w:rFonts w:ascii="Times New Roman CE" w:hAnsi="Times New Roman CE" w:cs="Times New Roman CE"/>
                <w:iCs/>
                <w:sz w:val="24"/>
                <w:szCs w:val="24"/>
              </w:rPr>
            </w:pPr>
            <w:r w:rsidRPr="00675ABD">
              <w:rPr>
                <w:rFonts w:ascii="Times New Roman CE" w:hAnsi="Times New Roman CE" w:cs="Times New Roman CE"/>
                <w:iCs/>
                <w:sz w:val="24"/>
                <w:szCs w:val="24"/>
              </w:rPr>
              <w:t>Teljes munkaidős</w:t>
            </w:r>
          </w:p>
        </w:tc>
        <w:tc>
          <w:tcPr>
            <w:tcW w:w="1420" w:type="dxa"/>
            <w:tcBorders>
              <w:top w:val="nil"/>
              <w:left w:val="nil"/>
              <w:bottom w:val="nil"/>
              <w:right w:val="nil"/>
            </w:tcBorders>
            <w:shd w:val="clear" w:color="auto" w:fill="auto"/>
            <w:noWrap/>
            <w:vAlign w:val="bottom"/>
            <w:hideMark/>
          </w:tcPr>
          <w:p w:rsidR="006C6282" w:rsidRPr="00675ABD" w:rsidRDefault="006C6282" w:rsidP="006C6282">
            <w:pPr>
              <w:jc w:val="right"/>
              <w:rPr>
                <w:rFonts w:ascii="Times New Roman CE" w:hAnsi="Times New Roman CE" w:cs="Times New Roman CE"/>
                <w:iCs/>
                <w:sz w:val="24"/>
                <w:szCs w:val="24"/>
              </w:rPr>
            </w:pPr>
            <w:r w:rsidRPr="00675ABD">
              <w:rPr>
                <w:rFonts w:ascii="Times New Roman CE" w:hAnsi="Times New Roman CE" w:cs="Times New Roman CE"/>
                <w:iCs/>
                <w:sz w:val="24"/>
                <w:szCs w:val="24"/>
              </w:rPr>
              <w:t>606,4</w:t>
            </w:r>
          </w:p>
        </w:tc>
        <w:tc>
          <w:tcPr>
            <w:tcW w:w="1620" w:type="dxa"/>
            <w:gridSpan w:val="2"/>
            <w:tcBorders>
              <w:top w:val="nil"/>
              <w:left w:val="nil"/>
              <w:bottom w:val="nil"/>
              <w:right w:val="nil"/>
            </w:tcBorders>
            <w:shd w:val="clear" w:color="auto" w:fill="auto"/>
            <w:noWrap/>
            <w:vAlign w:val="bottom"/>
            <w:hideMark/>
          </w:tcPr>
          <w:p w:rsidR="006C6282" w:rsidRPr="00675ABD" w:rsidRDefault="006C6282" w:rsidP="006C6282">
            <w:pPr>
              <w:jc w:val="right"/>
              <w:rPr>
                <w:rFonts w:ascii="Times New Roman CE" w:hAnsi="Times New Roman CE" w:cs="Times New Roman CE"/>
                <w:iCs/>
                <w:sz w:val="24"/>
                <w:szCs w:val="24"/>
              </w:rPr>
            </w:pPr>
            <w:r w:rsidRPr="00675ABD">
              <w:rPr>
                <w:rFonts w:ascii="Times New Roman CE" w:hAnsi="Times New Roman CE" w:cs="Times New Roman CE"/>
                <w:iCs/>
                <w:sz w:val="24"/>
                <w:szCs w:val="24"/>
              </w:rPr>
              <w:t>596,0</w:t>
            </w:r>
          </w:p>
        </w:tc>
        <w:tc>
          <w:tcPr>
            <w:tcW w:w="1480" w:type="dxa"/>
            <w:gridSpan w:val="2"/>
            <w:tcBorders>
              <w:top w:val="nil"/>
              <w:left w:val="nil"/>
              <w:bottom w:val="nil"/>
              <w:right w:val="nil"/>
            </w:tcBorders>
            <w:shd w:val="clear" w:color="auto" w:fill="auto"/>
            <w:noWrap/>
            <w:vAlign w:val="bottom"/>
            <w:hideMark/>
          </w:tcPr>
          <w:p w:rsidR="006C6282" w:rsidRPr="00675ABD" w:rsidRDefault="006C6282" w:rsidP="006C6282">
            <w:pPr>
              <w:jc w:val="right"/>
              <w:rPr>
                <w:rFonts w:ascii="Times New Roman CE" w:hAnsi="Times New Roman CE" w:cs="Times New Roman CE"/>
                <w:iCs/>
                <w:sz w:val="24"/>
                <w:szCs w:val="24"/>
              </w:rPr>
            </w:pPr>
            <w:r w:rsidRPr="00675ABD">
              <w:rPr>
                <w:rFonts w:ascii="Times New Roman CE" w:hAnsi="Times New Roman CE" w:cs="Times New Roman CE"/>
                <w:iCs/>
                <w:sz w:val="24"/>
                <w:szCs w:val="24"/>
              </w:rPr>
              <w:t>98,3%</w:t>
            </w:r>
          </w:p>
        </w:tc>
        <w:tc>
          <w:tcPr>
            <w:tcW w:w="1120" w:type="dxa"/>
            <w:gridSpan w:val="2"/>
            <w:tcBorders>
              <w:top w:val="nil"/>
              <w:left w:val="nil"/>
              <w:bottom w:val="nil"/>
              <w:right w:val="nil"/>
            </w:tcBorders>
            <w:shd w:val="clear" w:color="auto" w:fill="auto"/>
            <w:noWrap/>
            <w:vAlign w:val="bottom"/>
            <w:hideMark/>
          </w:tcPr>
          <w:p w:rsidR="006C6282" w:rsidRPr="00675ABD" w:rsidRDefault="006C6282" w:rsidP="006C6282">
            <w:pPr>
              <w:jc w:val="right"/>
              <w:rPr>
                <w:rFonts w:ascii="Times New Roman CE" w:hAnsi="Times New Roman CE" w:cs="Times New Roman CE"/>
                <w:iCs/>
                <w:sz w:val="24"/>
                <w:szCs w:val="24"/>
              </w:rPr>
            </w:pPr>
          </w:p>
        </w:tc>
        <w:tc>
          <w:tcPr>
            <w:tcW w:w="1000" w:type="dxa"/>
            <w:gridSpan w:val="2"/>
            <w:tcBorders>
              <w:top w:val="nil"/>
              <w:left w:val="nil"/>
              <w:bottom w:val="nil"/>
              <w:right w:val="nil"/>
            </w:tcBorders>
            <w:shd w:val="clear" w:color="auto" w:fill="auto"/>
            <w:noWrap/>
            <w:vAlign w:val="bottom"/>
            <w:hideMark/>
          </w:tcPr>
          <w:p w:rsidR="006C6282" w:rsidRPr="00675ABD" w:rsidRDefault="006C6282" w:rsidP="006C6282"/>
        </w:tc>
      </w:tr>
      <w:tr w:rsidR="006C6282" w:rsidRPr="00675ABD" w:rsidTr="00675ABD">
        <w:trPr>
          <w:gridAfter w:val="1"/>
          <w:wAfter w:w="420" w:type="dxa"/>
          <w:trHeight w:val="122"/>
        </w:trPr>
        <w:tc>
          <w:tcPr>
            <w:tcW w:w="2980" w:type="dxa"/>
            <w:tcBorders>
              <w:top w:val="nil"/>
              <w:left w:val="nil"/>
              <w:bottom w:val="single" w:sz="4" w:space="0" w:color="auto"/>
              <w:right w:val="nil"/>
            </w:tcBorders>
            <w:shd w:val="clear" w:color="auto" w:fill="auto"/>
            <w:noWrap/>
            <w:vAlign w:val="bottom"/>
            <w:hideMark/>
          </w:tcPr>
          <w:p w:rsidR="006C6282" w:rsidRPr="00675ABD" w:rsidRDefault="006C6282" w:rsidP="006C6282">
            <w:pPr>
              <w:rPr>
                <w:rFonts w:ascii="Times New Roman CE" w:hAnsi="Times New Roman CE" w:cs="Times New Roman CE"/>
                <w:iCs/>
                <w:sz w:val="24"/>
                <w:szCs w:val="24"/>
              </w:rPr>
            </w:pPr>
            <w:r w:rsidRPr="00675ABD">
              <w:rPr>
                <w:rFonts w:ascii="Times New Roman CE" w:hAnsi="Times New Roman CE" w:cs="Times New Roman CE"/>
                <w:iCs/>
                <w:sz w:val="24"/>
                <w:szCs w:val="24"/>
              </w:rPr>
              <w:t>Nem teljes munkaidős*</w:t>
            </w:r>
          </w:p>
        </w:tc>
        <w:tc>
          <w:tcPr>
            <w:tcW w:w="1420" w:type="dxa"/>
            <w:tcBorders>
              <w:top w:val="nil"/>
              <w:left w:val="nil"/>
              <w:bottom w:val="single" w:sz="4" w:space="0" w:color="auto"/>
              <w:right w:val="nil"/>
            </w:tcBorders>
            <w:shd w:val="clear" w:color="auto" w:fill="auto"/>
            <w:noWrap/>
            <w:vAlign w:val="bottom"/>
            <w:hideMark/>
          </w:tcPr>
          <w:p w:rsidR="006C6282" w:rsidRPr="00675ABD" w:rsidRDefault="006C6282" w:rsidP="006C6282">
            <w:pPr>
              <w:jc w:val="right"/>
              <w:rPr>
                <w:rFonts w:ascii="Times New Roman CE" w:hAnsi="Times New Roman CE" w:cs="Times New Roman CE"/>
                <w:iCs/>
                <w:sz w:val="24"/>
                <w:szCs w:val="24"/>
              </w:rPr>
            </w:pPr>
            <w:r w:rsidRPr="00675ABD">
              <w:rPr>
                <w:rFonts w:ascii="Times New Roman CE" w:hAnsi="Times New Roman CE" w:cs="Times New Roman CE"/>
                <w:iCs/>
                <w:sz w:val="24"/>
                <w:szCs w:val="24"/>
              </w:rPr>
              <w:t>13,8</w:t>
            </w:r>
          </w:p>
        </w:tc>
        <w:tc>
          <w:tcPr>
            <w:tcW w:w="1620" w:type="dxa"/>
            <w:gridSpan w:val="2"/>
            <w:tcBorders>
              <w:top w:val="nil"/>
              <w:left w:val="nil"/>
              <w:bottom w:val="single" w:sz="4" w:space="0" w:color="auto"/>
              <w:right w:val="nil"/>
            </w:tcBorders>
            <w:shd w:val="clear" w:color="auto" w:fill="auto"/>
            <w:noWrap/>
            <w:vAlign w:val="bottom"/>
            <w:hideMark/>
          </w:tcPr>
          <w:p w:rsidR="006C6282" w:rsidRPr="00675ABD" w:rsidRDefault="006C6282" w:rsidP="006C6282">
            <w:pPr>
              <w:jc w:val="right"/>
              <w:rPr>
                <w:rFonts w:ascii="Times New Roman CE" w:hAnsi="Times New Roman CE" w:cs="Times New Roman CE"/>
                <w:iCs/>
                <w:sz w:val="24"/>
                <w:szCs w:val="24"/>
              </w:rPr>
            </w:pPr>
            <w:r w:rsidRPr="00675ABD">
              <w:rPr>
                <w:rFonts w:ascii="Times New Roman CE" w:hAnsi="Times New Roman CE" w:cs="Times New Roman CE"/>
                <w:iCs/>
                <w:sz w:val="24"/>
                <w:szCs w:val="24"/>
              </w:rPr>
              <w:t>15,7</w:t>
            </w:r>
          </w:p>
        </w:tc>
        <w:tc>
          <w:tcPr>
            <w:tcW w:w="1480" w:type="dxa"/>
            <w:gridSpan w:val="2"/>
            <w:tcBorders>
              <w:top w:val="nil"/>
              <w:left w:val="nil"/>
              <w:bottom w:val="single" w:sz="4" w:space="0" w:color="auto"/>
              <w:right w:val="nil"/>
            </w:tcBorders>
            <w:shd w:val="clear" w:color="auto" w:fill="auto"/>
            <w:noWrap/>
            <w:vAlign w:val="bottom"/>
            <w:hideMark/>
          </w:tcPr>
          <w:p w:rsidR="006C6282" w:rsidRPr="00675ABD" w:rsidRDefault="006C6282" w:rsidP="006C6282">
            <w:pPr>
              <w:jc w:val="right"/>
              <w:rPr>
                <w:rFonts w:ascii="Times New Roman CE" w:hAnsi="Times New Roman CE" w:cs="Times New Roman CE"/>
                <w:iCs/>
                <w:sz w:val="24"/>
                <w:szCs w:val="24"/>
              </w:rPr>
            </w:pPr>
            <w:r w:rsidRPr="00675ABD">
              <w:rPr>
                <w:rFonts w:ascii="Times New Roman CE" w:hAnsi="Times New Roman CE" w:cs="Times New Roman CE"/>
                <w:iCs/>
                <w:sz w:val="24"/>
                <w:szCs w:val="24"/>
              </w:rPr>
              <w:t>113,8%</w:t>
            </w:r>
          </w:p>
        </w:tc>
        <w:tc>
          <w:tcPr>
            <w:tcW w:w="1120" w:type="dxa"/>
            <w:gridSpan w:val="2"/>
            <w:tcBorders>
              <w:top w:val="nil"/>
              <w:left w:val="nil"/>
              <w:bottom w:val="nil"/>
              <w:right w:val="nil"/>
            </w:tcBorders>
            <w:shd w:val="clear" w:color="auto" w:fill="auto"/>
            <w:noWrap/>
            <w:vAlign w:val="bottom"/>
            <w:hideMark/>
          </w:tcPr>
          <w:p w:rsidR="006C6282" w:rsidRPr="00675ABD" w:rsidRDefault="006C6282" w:rsidP="006C6282">
            <w:pPr>
              <w:jc w:val="right"/>
              <w:rPr>
                <w:rFonts w:ascii="Times New Roman CE" w:hAnsi="Times New Roman CE" w:cs="Times New Roman CE"/>
                <w:iCs/>
                <w:sz w:val="24"/>
                <w:szCs w:val="24"/>
              </w:rPr>
            </w:pPr>
          </w:p>
        </w:tc>
        <w:tc>
          <w:tcPr>
            <w:tcW w:w="1000" w:type="dxa"/>
            <w:gridSpan w:val="2"/>
            <w:tcBorders>
              <w:top w:val="nil"/>
              <w:left w:val="nil"/>
              <w:bottom w:val="nil"/>
              <w:right w:val="nil"/>
            </w:tcBorders>
            <w:shd w:val="clear" w:color="auto" w:fill="auto"/>
            <w:noWrap/>
            <w:vAlign w:val="bottom"/>
            <w:hideMark/>
          </w:tcPr>
          <w:p w:rsidR="006C6282" w:rsidRPr="00675ABD" w:rsidRDefault="006C6282" w:rsidP="006C6282"/>
        </w:tc>
      </w:tr>
      <w:tr w:rsidR="006C6282" w:rsidRPr="00675ABD" w:rsidTr="00CC39B8">
        <w:trPr>
          <w:gridAfter w:val="1"/>
          <w:wAfter w:w="420" w:type="dxa"/>
          <w:trHeight w:val="315"/>
        </w:trPr>
        <w:tc>
          <w:tcPr>
            <w:tcW w:w="2980" w:type="dxa"/>
            <w:tcBorders>
              <w:top w:val="nil"/>
              <w:left w:val="nil"/>
              <w:bottom w:val="nil"/>
              <w:right w:val="nil"/>
            </w:tcBorders>
            <w:shd w:val="clear" w:color="auto" w:fill="auto"/>
            <w:noWrap/>
            <w:vAlign w:val="bottom"/>
            <w:hideMark/>
          </w:tcPr>
          <w:p w:rsidR="006C6282" w:rsidRPr="00675ABD" w:rsidRDefault="006C6282" w:rsidP="006C6282">
            <w:pPr>
              <w:rPr>
                <w:rFonts w:ascii="Times New Roman CE" w:hAnsi="Times New Roman CE" w:cs="Times New Roman CE"/>
                <w:i/>
                <w:sz w:val="24"/>
                <w:szCs w:val="24"/>
              </w:rPr>
            </w:pPr>
            <w:r w:rsidRPr="00675ABD">
              <w:rPr>
                <w:rFonts w:ascii="Times New Roman CE" w:hAnsi="Times New Roman CE" w:cs="Times New Roman CE"/>
                <w:i/>
                <w:sz w:val="24"/>
                <w:szCs w:val="24"/>
              </w:rPr>
              <w:t>Összesen</w:t>
            </w:r>
          </w:p>
        </w:tc>
        <w:tc>
          <w:tcPr>
            <w:tcW w:w="1420" w:type="dxa"/>
            <w:tcBorders>
              <w:top w:val="nil"/>
              <w:left w:val="nil"/>
              <w:bottom w:val="nil"/>
              <w:right w:val="nil"/>
            </w:tcBorders>
            <w:shd w:val="clear" w:color="auto" w:fill="auto"/>
            <w:noWrap/>
            <w:vAlign w:val="bottom"/>
            <w:hideMark/>
          </w:tcPr>
          <w:p w:rsidR="006C6282" w:rsidRPr="00675ABD" w:rsidRDefault="006C6282" w:rsidP="006C6282">
            <w:pPr>
              <w:jc w:val="right"/>
              <w:rPr>
                <w:rFonts w:ascii="Times New Roman CE" w:hAnsi="Times New Roman CE" w:cs="Times New Roman CE"/>
                <w:i/>
                <w:sz w:val="24"/>
                <w:szCs w:val="24"/>
              </w:rPr>
            </w:pPr>
            <w:r w:rsidRPr="00675ABD">
              <w:rPr>
                <w:rFonts w:ascii="Times New Roman CE" w:hAnsi="Times New Roman CE" w:cs="Times New Roman CE"/>
                <w:i/>
                <w:sz w:val="24"/>
                <w:szCs w:val="24"/>
              </w:rPr>
              <w:t>620,2</w:t>
            </w:r>
          </w:p>
        </w:tc>
        <w:tc>
          <w:tcPr>
            <w:tcW w:w="1620" w:type="dxa"/>
            <w:gridSpan w:val="2"/>
            <w:tcBorders>
              <w:top w:val="nil"/>
              <w:left w:val="nil"/>
              <w:bottom w:val="nil"/>
              <w:right w:val="nil"/>
            </w:tcBorders>
            <w:shd w:val="clear" w:color="auto" w:fill="auto"/>
            <w:noWrap/>
            <w:vAlign w:val="bottom"/>
            <w:hideMark/>
          </w:tcPr>
          <w:p w:rsidR="006C6282" w:rsidRPr="00675ABD" w:rsidRDefault="006C6282" w:rsidP="006C6282">
            <w:pPr>
              <w:jc w:val="right"/>
              <w:rPr>
                <w:rFonts w:ascii="Times New Roman CE" w:hAnsi="Times New Roman CE" w:cs="Times New Roman CE"/>
                <w:i/>
                <w:sz w:val="24"/>
                <w:szCs w:val="24"/>
              </w:rPr>
            </w:pPr>
            <w:r w:rsidRPr="00675ABD">
              <w:rPr>
                <w:rFonts w:ascii="Times New Roman CE" w:hAnsi="Times New Roman CE" w:cs="Times New Roman CE"/>
                <w:i/>
                <w:sz w:val="24"/>
                <w:szCs w:val="24"/>
              </w:rPr>
              <w:t>611,7</w:t>
            </w:r>
          </w:p>
        </w:tc>
        <w:tc>
          <w:tcPr>
            <w:tcW w:w="1480" w:type="dxa"/>
            <w:gridSpan w:val="2"/>
            <w:tcBorders>
              <w:top w:val="nil"/>
              <w:left w:val="nil"/>
              <w:bottom w:val="nil"/>
              <w:right w:val="nil"/>
            </w:tcBorders>
            <w:shd w:val="clear" w:color="auto" w:fill="auto"/>
            <w:noWrap/>
            <w:vAlign w:val="bottom"/>
            <w:hideMark/>
          </w:tcPr>
          <w:p w:rsidR="006C6282" w:rsidRPr="00675ABD" w:rsidRDefault="006C6282" w:rsidP="006C6282">
            <w:pPr>
              <w:jc w:val="right"/>
              <w:rPr>
                <w:rFonts w:ascii="Times New Roman CE" w:hAnsi="Times New Roman CE" w:cs="Times New Roman CE"/>
                <w:i/>
                <w:iCs/>
                <w:sz w:val="24"/>
                <w:szCs w:val="24"/>
              </w:rPr>
            </w:pPr>
            <w:r w:rsidRPr="00675ABD">
              <w:rPr>
                <w:rFonts w:ascii="Times New Roman CE" w:hAnsi="Times New Roman CE" w:cs="Times New Roman CE"/>
                <w:i/>
                <w:iCs/>
                <w:sz w:val="24"/>
                <w:szCs w:val="24"/>
              </w:rPr>
              <w:t>98,6%</w:t>
            </w:r>
          </w:p>
        </w:tc>
        <w:tc>
          <w:tcPr>
            <w:tcW w:w="1120" w:type="dxa"/>
            <w:gridSpan w:val="2"/>
            <w:tcBorders>
              <w:top w:val="nil"/>
              <w:left w:val="nil"/>
              <w:bottom w:val="nil"/>
              <w:right w:val="nil"/>
            </w:tcBorders>
            <w:shd w:val="clear" w:color="auto" w:fill="auto"/>
            <w:noWrap/>
            <w:vAlign w:val="bottom"/>
            <w:hideMark/>
          </w:tcPr>
          <w:p w:rsidR="006C6282" w:rsidRPr="00675ABD" w:rsidRDefault="006C6282" w:rsidP="006C6282">
            <w:pPr>
              <w:jc w:val="right"/>
              <w:rPr>
                <w:rFonts w:ascii="Times New Roman CE" w:hAnsi="Times New Roman CE" w:cs="Times New Roman CE"/>
                <w:i/>
                <w:iCs/>
                <w:sz w:val="24"/>
                <w:szCs w:val="24"/>
              </w:rPr>
            </w:pPr>
          </w:p>
        </w:tc>
        <w:tc>
          <w:tcPr>
            <w:tcW w:w="1000" w:type="dxa"/>
            <w:gridSpan w:val="2"/>
            <w:tcBorders>
              <w:top w:val="nil"/>
              <w:left w:val="nil"/>
              <w:bottom w:val="nil"/>
              <w:right w:val="nil"/>
            </w:tcBorders>
            <w:shd w:val="clear" w:color="auto" w:fill="auto"/>
            <w:noWrap/>
            <w:vAlign w:val="bottom"/>
            <w:hideMark/>
          </w:tcPr>
          <w:p w:rsidR="006C6282" w:rsidRPr="00675ABD" w:rsidRDefault="006C6282" w:rsidP="006C6282">
            <w:pPr>
              <w:rPr>
                <w:i/>
              </w:rPr>
            </w:pPr>
          </w:p>
        </w:tc>
      </w:tr>
      <w:tr w:rsidR="006C6282" w:rsidRPr="00883EC9" w:rsidTr="00675ABD">
        <w:trPr>
          <w:gridAfter w:val="1"/>
          <w:wAfter w:w="420" w:type="dxa"/>
          <w:trHeight w:val="159"/>
        </w:trPr>
        <w:tc>
          <w:tcPr>
            <w:tcW w:w="4400" w:type="dxa"/>
            <w:gridSpan w:val="2"/>
            <w:tcBorders>
              <w:top w:val="nil"/>
              <w:left w:val="nil"/>
              <w:bottom w:val="nil"/>
              <w:right w:val="nil"/>
            </w:tcBorders>
            <w:shd w:val="clear" w:color="auto" w:fill="auto"/>
            <w:noWrap/>
            <w:vAlign w:val="bottom"/>
            <w:hideMark/>
          </w:tcPr>
          <w:p w:rsidR="006C6282" w:rsidRPr="00883EC9" w:rsidRDefault="006C6282" w:rsidP="006C6282">
            <w:pPr>
              <w:rPr>
                <w:rFonts w:ascii="Times New Roman CE" w:hAnsi="Times New Roman CE" w:cs="Times New Roman CE"/>
                <w:sz w:val="18"/>
                <w:szCs w:val="18"/>
              </w:rPr>
            </w:pPr>
            <w:r w:rsidRPr="00883EC9">
              <w:rPr>
                <w:rFonts w:ascii="Times New Roman CE" w:hAnsi="Times New Roman CE" w:cs="Times New Roman CE"/>
                <w:sz w:val="18"/>
                <w:szCs w:val="18"/>
              </w:rPr>
              <w:t>*havi 60 óra alatt foglalkoztatottak nélkül</w:t>
            </w:r>
          </w:p>
        </w:tc>
        <w:tc>
          <w:tcPr>
            <w:tcW w:w="1620" w:type="dxa"/>
            <w:gridSpan w:val="2"/>
            <w:tcBorders>
              <w:top w:val="nil"/>
              <w:left w:val="nil"/>
              <w:bottom w:val="nil"/>
              <w:right w:val="nil"/>
            </w:tcBorders>
            <w:shd w:val="clear" w:color="auto" w:fill="auto"/>
            <w:noWrap/>
            <w:vAlign w:val="bottom"/>
            <w:hideMark/>
          </w:tcPr>
          <w:p w:rsidR="006C6282" w:rsidRPr="00883EC9" w:rsidRDefault="006C6282" w:rsidP="006C6282">
            <w:pPr>
              <w:rPr>
                <w:rFonts w:ascii="Times New Roman CE" w:hAnsi="Times New Roman CE" w:cs="Times New Roman CE"/>
                <w:sz w:val="18"/>
                <w:szCs w:val="18"/>
              </w:rPr>
            </w:pPr>
          </w:p>
        </w:tc>
        <w:tc>
          <w:tcPr>
            <w:tcW w:w="1480" w:type="dxa"/>
            <w:gridSpan w:val="2"/>
            <w:tcBorders>
              <w:top w:val="nil"/>
              <w:left w:val="nil"/>
              <w:bottom w:val="nil"/>
              <w:right w:val="nil"/>
            </w:tcBorders>
            <w:shd w:val="clear" w:color="auto" w:fill="auto"/>
            <w:noWrap/>
            <w:vAlign w:val="bottom"/>
            <w:hideMark/>
          </w:tcPr>
          <w:p w:rsidR="006C6282" w:rsidRPr="00883EC9" w:rsidRDefault="006C6282" w:rsidP="006C6282"/>
        </w:tc>
        <w:tc>
          <w:tcPr>
            <w:tcW w:w="1120" w:type="dxa"/>
            <w:gridSpan w:val="2"/>
            <w:tcBorders>
              <w:top w:val="nil"/>
              <w:left w:val="nil"/>
              <w:bottom w:val="nil"/>
              <w:right w:val="nil"/>
            </w:tcBorders>
            <w:shd w:val="clear" w:color="auto" w:fill="auto"/>
            <w:noWrap/>
            <w:vAlign w:val="bottom"/>
            <w:hideMark/>
          </w:tcPr>
          <w:p w:rsidR="006C6282" w:rsidRPr="00883EC9" w:rsidRDefault="006C6282" w:rsidP="006C6282"/>
        </w:tc>
        <w:tc>
          <w:tcPr>
            <w:tcW w:w="1000" w:type="dxa"/>
            <w:gridSpan w:val="2"/>
            <w:tcBorders>
              <w:top w:val="nil"/>
              <w:left w:val="nil"/>
              <w:bottom w:val="nil"/>
              <w:right w:val="nil"/>
            </w:tcBorders>
            <w:shd w:val="clear" w:color="auto" w:fill="auto"/>
            <w:noWrap/>
            <w:vAlign w:val="bottom"/>
            <w:hideMark/>
          </w:tcPr>
          <w:p w:rsidR="006C6282" w:rsidRPr="00883EC9" w:rsidRDefault="006C6282" w:rsidP="006C6282"/>
        </w:tc>
      </w:tr>
      <w:tr w:rsidR="006C6282" w:rsidRPr="00675ABD" w:rsidTr="00883EC9">
        <w:trPr>
          <w:gridAfter w:val="1"/>
          <w:wAfter w:w="420" w:type="dxa"/>
          <w:trHeight w:val="80"/>
        </w:trPr>
        <w:tc>
          <w:tcPr>
            <w:tcW w:w="2980" w:type="dxa"/>
            <w:tcBorders>
              <w:top w:val="nil"/>
              <w:left w:val="nil"/>
              <w:bottom w:val="nil"/>
              <w:right w:val="nil"/>
            </w:tcBorders>
            <w:shd w:val="clear" w:color="auto" w:fill="auto"/>
            <w:noWrap/>
            <w:vAlign w:val="bottom"/>
            <w:hideMark/>
          </w:tcPr>
          <w:p w:rsidR="006C6282" w:rsidRPr="00675ABD" w:rsidRDefault="006C6282" w:rsidP="006C6282">
            <w:pPr>
              <w:rPr>
                <w:sz w:val="8"/>
                <w:szCs w:val="8"/>
              </w:rPr>
            </w:pPr>
          </w:p>
        </w:tc>
        <w:tc>
          <w:tcPr>
            <w:tcW w:w="1420" w:type="dxa"/>
            <w:tcBorders>
              <w:top w:val="nil"/>
              <w:left w:val="nil"/>
              <w:bottom w:val="nil"/>
              <w:right w:val="nil"/>
            </w:tcBorders>
            <w:shd w:val="clear" w:color="auto" w:fill="auto"/>
            <w:noWrap/>
            <w:vAlign w:val="bottom"/>
            <w:hideMark/>
          </w:tcPr>
          <w:p w:rsidR="006C6282" w:rsidRPr="00675ABD" w:rsidRDefault="006C6282" w:rsidP="006C6282">
            <w:pPr>
              <w:rPr>
                <w:sz w:val="8"/>
                <w:szCs w:val="8"/>
              </w:rPr>
            </w:pPr>
          </w:p>
        </w:tc>
        <w:tc>
          <w:tcPr>
            <w:tcW w:w="1620" w:type="dxa"/>
            <w:gridSpan w:val="2"/>
            <w:tcBorders>
              <w:top w:val="nil"/>
              <w:left w:val="nil"/>
              <w:bottom w:val="nil"/>
              <w:right w:val="nil"/>
            </w:tcBorders>
            <w:shd w:val="clear" w:color="auto" w:fill="auto"/>
            <w:noWrap/>
            <w:vAlign w:val="bottom"/>
            <w:hideMark/>
          </w:tcPr>
          <w:p w:rsidR="006C6282" w:rsidRPr="00675ABD" w:rsidRDefault="006C6282" w:rsidP="006C6282">
            <w:pPr>
              <w:rPr>
                <w:sz w:val="8"/>
                <w:szCs w:val="8"/>
              </w:rPr>
            </w:pPr>
          </w:p>
        </w:tc>
        <w:tc>
          <w:tcPr>
            <w:tcW w:w="1480" w:type="dxa"/>
            <w:gridSpan w:val="2"/>
            <w:tcBorders>
              <w:top w:val="nil"/>
              <w:left w:val="nil"/>
              <w:bottom w:val="nil"/>
              <w:right w:val="nil"/>
            </w:tcBorders>
            <w:shd w:val="clear" w:color="auto" w:fill="auto"/>
            <w:noWrap/>
            <w:vAlign w:val="bottom"/>
            <w:hideMark/>
          </w:tcPr>
          <w:p w:rsidR="006C6282" w:rsidRPr="00675ABD" w:rsidRDefault="006C6282" w:rsidP="006C6282">
            <w:pPr>
              <w:rPr>
                <w:sz w:val="8"/>
                <w:szCs w:val="8"/>
              </w:rPr>
            </w:pPr>
          </w:p>
        </w:tc>
        <w:tc>
          <w:tcPr>
            <w:tcW w:w="1120" w:type="dxa"/>
            <w:gridSpan w:val="2"/>
            <w:tcBorders>
              <w:top w:val="nil"/>
              <w:left w:val="nil"/>
              <w:bottom w:val="nil"/>
              <w:right w:val="nil"/>
            </w:tcBorders>
            <w:shd w:val="clear" w:color="auto" w:fill="auto"/>
            <w:noWrap/>
            <w:vAlign w:val="bottom"/>
            <w:hideMark/>
          </w:tcPr>
          <w:p w:rsidR="006C6282" w:rsidRPr="00675ABD" w:rsidRDefault="006C6282" w:rsidP="006C6282">
            <w:pPr>
              <w:rPr>
                <w:sz w:val="8"/>
                <w:szCs w:val="8"/>
              </w:rPr>
            </w:pPr>
          </w:p>
        </w:tc>
        <w:tc>
          <w:tcPr>
            <w:tcW w:w="1000" w:type="dxa"/>
            <w:gridSpan w:val="2"/>
            <w:tcBorders>
              <w:top w:val="nil"/>
              <w:left w:val="nil"/>
              <w:bottom w:val="nil"/>
              <w:right w:val="nil"/>
            </w:tcBorders>
            <w:shd w:val="clear" w:color="auto" w:fill="auto"/>
            <w:noWrap/>
            <w:vAlign w:val="bottom"/>
            <w:hideMark/>
          </w:tcPr>
          <w:p w:rsidR="006C6282" w:rsidRPr="00675ABD" w:rsidRDefault="006C6282" w:rsidP="006C6282">
            <w:pPr>
              <w:rPr>
                <w:sz w:val="8"/>
                <w:szCs w:val="8"/>
              </w:rPr>
            </w:pPr>
          </w:p>
        </w:tc>
      </w:tr>
    </w:tbl>
    <w:p w:rsidR="006C6282" w:rsidRPr="00675ABD" w:rsidRDefault="006C6282">
      <w:pPr>
        <w:jc w:val="both"/>
        <w:rPr>
          <w:sz w:val="16"/>
          <w:szCs w:val="16"/>
        </w:rPr>
      </w:pPr>
    </w:p>
    <w:p w:rsidR="00E8097E" w:rsidRPr="00883EC9" w:rsidRDefault="00E8097E">
      <w:pPr>
        <w:pStyle w:val="Szvegtrzs"/>
        <w:tabs>
          <w:tab w:val="left" w:pos="567"/>
          <w:tab w:val="left" w:pos="1134"/>
          <w:tab w:val="right" w:pos="3686"/>
          <w:tab w:val="right" w:pos="5103"/>
          <w:tab w:val="right" w:pos="6946"/>
        </w:tabs>
        <w:ind w:right="283"/>
      </w:pPr>
      <w:r w:rsidRPr="00883EC9">
        <w:t xml:space="preserve">A </w:t>
      </w:r>
      <w:proofErr w:type="spellStart"/>
      <w:r w:rsidRPr="00883EC9">
        <w:t>ZRt</w:t>
      </w:r>
      <w:proofErr w:type="spellEnd"/>
      <w:r w:rsidR="00675ABD">
        <w:t>.</w:t>
      </w:r>
      <w:r w:rsidRPr="00883EC9">
        <w:t xml:space="preserve"> üzleti tervében 201</w:t>
      </w:r>
      <w:r w:rsidR="00CC39B8" w:rsidRPr="00883EC9">
        <w:t>7</w:t>
      </w:r>
      <w:r w:rsidRPr="00883EC9">
        <w:t>. december 31-re meghatározott betölthető álláshelyek száma 6</w:t>
      </w:r>
      <w:r w:rsidR="00CC39B8" w:rsidRPr="00883EC9">
        <w:t>20</w:t>
      </w:r>
      <w:r w:rsidR="00675ABD">
        <w:t>.</w:t>
      </w:r>
      <w:r w:rsidRPr="00883EC9">
        <w:t xml:space="preserve">  </w:t>
      </w:r>
    </w:p>
    <w:p w:rsidR="00675ABD" w:rsidRPr="00052689" w:rsidRDefault="00675ABD">
      <w:pPr>
        <w:pStyle w:val="Szvegtrzs"/>
        <w:tabs>
          <w:tab w:val="left" w:pos="567"/>
          <w:tab w:val="left" w:pos="1134"/>
          <w:tab w:val="right" w:pos="3686"/>
          <w:tab w:val="right" w:pos="5103"/>
          <w:tab w:val="right" w:pos="6946"/>
        </w:tabs>
        <w:ind w:right="283"/>
        <w:rPr>
          <w:sz w:val="16"/>
          <w:szCs w:val="16"/>
        </w:rPr>
      </w:pPr>
    </w:p>
    <w:p w:rsidR="005F7DFA" w:rsidRPr="00052689" w:rsidRDefault="005F7DFA">
      <w:pPr>
        <w:pStyle w:val="Szvegtrzs"/>
        <w:tabs>
          <w:tab w:val="left" w:pos="567"/>
          <w:tab w:val="left" w:pos="1134"/>
          <w:tab w:val="right" w:pos="3686"/>
          <w:tab w:val="right" w:pos="5103"/>
          <w:tab w:val="right" w:pos="6946"/>
        </w:tabs>
        <w:ind w:right="283"/>
        <w:rPr>
          <w:sz w:val="16"/>
          <w:szCs w:val="16"/>
        </w:rPr>
      </w:pPr>
    </w:p>
    <w:p w:rsidR="00E8097E" w:rsidRPr="00883EC9" w:rsidRDefault="00E8097E">
      <w:pPr>
        <w:jc w:val="both"/>
        <w:rPr>
          <w:bCs/>
          <w:i/>
          <w:sz w:val="24"/>
        </w:rPr>
      </w:pPr>
      <w:r w:rsidRPr="00883EC9">
        <w:rPr>
          <w:bCs/>
          <w:i/>
          <w:sz w:val="24"/>
        </w:rPr>
        <w:t>Bérköltség állománycsoportonként (</w:t>
      </w:r>
      <w:proofErr w:type="spellStart"/>
      <w:r w:rsidRPr="00883EC9">
        <w:rPr>
          <w:bCs/>
          <w:i/>
          <w:sz w:val="24"/>
        </w:rPr>
        <w:t>eFt</w:t>
      </w:r>
      <w:proofErr w:type="spellEnd"/>
      <w:r w:rsidRPr="00883EC9">
        <w:rPr>
          <w:bCs/>
          <w:i/>
          <w:sz w:val="24"/>
        </w:rPr>
        <w:t>)</w:t>
      </w:r>
    </w:p>
    <w:tbl>
      <w:tblPr>
        <w:tblW w:w="10040" w:type="dxa"/>
        <w:tblCellMar>
          <w:left w:w="70" w:type="dxa"/>
          <w:right w:w="70" w:type="dxa"/>
        </w:tblCellMar>
        <w:tblLook w:val="04A0" w:firstRow="1" w:lastRow="0" w:firstColumn="1" w:lastColumn="0" w:noHBand="0" w:noVBand="1"/>
      </w:tblPr>
      <w:tblGrid>
        <w:gridCol w:w="3109"/>
        <w:gridCol w:w="152"/>
        <w:gridCol w:w="1134"/>
        <w:gridCol w:w="196"/>
        <w:gridCol w:w="1221"/>
        <w:gridCol w:w="284"/>
        <w:gridCol w:w="186"/>
        <w:gridCol w:w="947"/>
        <w:gridCol w:w="284"/>
        <w:gridCol w:w="314"/>
        <w:gridCol w:w="571"/>
        <w:gridCol w:w="121"/>
        <w:gridCol w:w="477"/>
        <w:gridCol w:w="446"/>
        <w:gridCol w:w="121"/>
        <w:gridCol w:w="477"/>
      </w:tblGrid>
      <w:tr w:rsidR="00CC39B8" w:rsidRPr="00052689" w:rsidTr="00052689">
        <w:trPr>
          <w:gridAfter w:val="1"/>
          <w:wAfter w:w="477" w:type="dxa"/>
          <w:trHeight w:val="517"/>
        </w:trPr>
        <w:tc>
          <w:tcPr>
            <w:tcW w:w="3109" w:type="dxa"/>
            <w:tcBorders>
              <w:top w:val="nil"/>
              <w:left w:val="nil"/>
              <w:bottom w:val="single" w:sz="4" w:space="0" w:color="auto"/>
              <w:right w:val="nil"/>
            </w:tcBorders>
            <w:shd w:val="clear" w:color="auto" w:fill="auto"/>
            <w:noWrap/>
            <w:vAlign w:val="bottom"/>
            <w:hideMark/>
          </w:tcPr>
          <w:p w:rsidR="00CC39B8" w:rsidRPr="00052689" w:rsidRDefault="00CC39B8" w:rsidP="00A659F9">
            <w:pPr>
              <w:rPr>
                <w:rFonts w:ascii="Times New Roman CE" w:hAnsi="Times New Roman CE" w:cs="Times New Roman CE"/>
                <w:b/>
                <w:bCs/>
                <w:sz w:val="22"/>
                <w:szCs w:val="22"/>
              </w:rPr>
            </w:pPr>
            <w:r w:rsidRPr="00052689">
              <w:rPr>
                <w:rFonts w:ascii="Times New Roman CE" w:hAnsi="Times New Roman CE" w:cs="Times New Roman CE"/>
                <w:b/>
                <w:bCs/>
                <w:sz w:val="22"/>
                <w:szCs w:val="22"/>
              </w:rPr>
              <w:t> </w:t>
            </w:r>
          </w:p>
        </w:tc>
        <w:tc>
          <w:tcPr>
            <w:tcW w:w="1482" w:type="dxa"/>
            <w:gridSpan w:val="3"/>
            <w:tcBorders>
              <w:top w:val="nil"/>
              <w:left w:val="nil"/>
              <w:bottom w:val="single" w:sz="4" w:space="0" w:color="auto"/>
              <w:right w:val="nil"/>
            </w:tcBorders>
            <w:shd w:val="clear" w:color="auto" w:fill="auto"/>
            <w:vAlign w:val="center"/>
            <w:hideMark/>
          </w:tcPr>
          <w:p w:rsidR="00CC39B8" w:rsidRPr="00052689" w:rsidRDefault="00CC39B8" w:rsidP="00A659F9">
            <w:pPr>
              <w:jc w:val="center"/>
              <w:rPr>
                <w:rFonts w:ascii="Times New Roman CE" w:hAnsi="Times New Roman CE" w:cs="Times New Roman CE"/>
                <w:i/>
                <w:iCs/>
                <w:sz w:val="22"/>
                <w:szCs w:val="22"/>
              </w:rPr>
            </w:pPr>
            <w:r w:rsidRPr="00052689">
              <w:rPr>
                <w:rFonts w:ascii="Times New Roman CE" w:hAnsi="Times New Roman CE" w:cs="Times New Roman CE"/>
                <w:i/>
                <w:iCs/>
                <w:sz w:val="22"/>
                <w:szCs w:val="22"/>
              </w:rPr>
              <w:t>2016. I. félév tény</w:t>
            </w:r>
          </w:p>
        </w:tc>
        <w:tc>
          <w:tcPr>
            <w:tcW w:w="1505" w:type="dxa"/>
            <w:gridSpan w:val="2"/>
            <w:tcBorders>
              <w:top w:val="nil"/>
              <w:left w:val="nil"/>
              <w:bottom w:val="single" w:sz="4" w:space="0" w:color="auto"/>
              <w:right w:val="nil"/>
            </w:tcBorders>
            <w:shd w:val="clear" w:color="auto" w:fill="auto"/>
            <w:vAlign w:val="center"/>
            <w:hideMark/>
          </w:tcPr>
          <w:p w:rsidR="00CC39B8" w:rsidRPr="00052689" w:rsidRDefault="00CC39B8" w:rsidP="00A659F9">
            <w:pPr>
              <w:jc w:val="center"/>
              <w:rPr>
                <w:rFonts w:ascii="Times New Roman CE" w:hAnsi="Times New Roman CE" w:cs="Times New Roman CE"/>
                <w:i/>
                <w:iCs/>
                <w:sz w:val="22"/>
                <w:szCs w:val="22"/>
              </w:rPr>
            </w:pPr>
            <w:r w:rsidRPr="00052689">
              <w:rPr>
                <w:rFonts w:ascii="Times New Roman CE" w:hAnsi="Times New Roman CE" w:cs="Times New Roman CE"/>
                <w:i/>
                <w:iCs/>
                <w:sz w:val="22"/>
                <w:szCs w:val="22"/>
              </w:rPr>
              <w:t>2017. évi</w:t>
            </w:r>
            <w:r w:rsidRPr="00052689">
              <w:rPr>
                <w:rFonts w:ascii="Times New Roman CE" w:hAnsi="Times New Roman CE" w:cs="Times New Roman CE"/>
                <w:i/>
                <w:iCs/>
                <w:sz w:val="22"/>
                <w:szCs w:val="22"/>
              </w:rPr>
              <w:br/>
              <w:t>1. sz. mód.</w:t>
            </w:r>
            <w:r w:rsidRPr="00052689">
              <w:rPr>
                <w:rFonts w:ascii="Times New Roman CE" w:hAnsi="Times New Roman CE" w:cs="Times New Roman CE"/>
                <w:i/>
                <w:iCs/>
                <w:sz w:val="22"/>
                <w:szCs w:val="22"/>
              </w:rPr>
              <w:br/>
              <w:t>terv</w:t>
            </w:r>
          </w:p>
        </w:tc>
        <w:tc>
          <w:tcPr>
            <w:tcW w:w="1417" w:type="dxa"/>
            <w:gridSpan w:val="3"/>
            <w:tcBorders>
              <w:top w:val="nil"/>
              <w:left w:val="nil"/>
              <w:bottom w:val="single" w:sz="4" w:space="0" w:color="auto"/>
              <w:right w:val="nil"/>
            </w:tcBorders>
            <w:shd w:val="clear" w:color="auto" w:fill="auto"/>
            <w:vAlign w:val="center"/>
            <w:hideMark/>
          </w:tcPr>
          <w:p w:rsidR="00CC39B8" w:rsidRPr="00052689" w:rsidRDefault="00CC39B8" w:rsidP="00A659F9">
            <w:pPr>
              <w:jc w:val="center"/>
              <w:rPr>
                <w:rFonts w:ascii="Times New Roman CE" w:hAnsi="Times New Roman CE" w:cs="Times New Roman CE"/>
                <w:i/>
                <w:iCs/>
                <w:sz w:val="22"/>
                <w:szCs w:val="22"/>
              </w:rPr>
            </w:pPr>
            <w:r w:rsidRPr="00052689">
              <w:rPr>
                <w:rFonts w:ascii="Times New Roman CE" w:hAnsi="Times New Roman CE" w:cs="Times New Roman CE"/>
                <w:i/>
                <w:iCs/>
                <w:sz w:val="22"/>
                <w:szCs w:val="22"/>
              </w:rPr>
              <w:t>2017. I. félév tény</w:t>
            </w:r>
          </w:p>
        </w:tc>
        <w:tc>
          <w:tcPr>
            <w:tcW w:w="1006" w:type="dxa"/>
            <w:gridSpan w:val="3"/>
            <w:tcBorders>
              <w:top w:val="nil"/>
              <w:left w:val="nil"/>
              <w:bottom w:val="single" w:sz="4" w:space="0" w:color="auto"/>
              <w:right w:val="nil"/>
            </w:tcBorders>
            <w:shd w:val="clear" w:color="auto" w:fill="auto"/>
            <w:vAlign w:val="center"/>
            <w:hideMark/>
          </w:tcPr>
          <w:p w:rsidR="00CC39B8" w:rsidRPr="00052689" w:rsidRDefault="00CC39B8" w:rsidP="00A659F9">
            <w:pPr>
              <w:jc w:val="center"/>
              <w:rPr>
                <w:rFonts w:ascii="Times New Roman CE" w:hAnsi="Times New Roman CE" w:cs="Times New Roman CE"/>
                <w:i/>
                <w:iCs/>
                <w:sz w:val="22"/>
                <w:szCs w:val="22"/>
              </w:rPr>
            </w:pPr>
            <w:r w:rsidRPr="00052689">
              <w:rPr>
                <w:rFonts w:ascii="Times New Roman CE" w:hAnsi="Times New Roman CE" w:cs="Times New Roman CE"/>
                <w:i/>
                <w:iCs/>
                <w:sz w:val="22"/>
                <w:szCs w:val="22"/>
              </w:rPr>
              <w:t xml:space="preserve">tény/ </w:t>
            </w:r>
          </w:p>
          <w:p w:rsidR="00CC39B8" w:rsidRPr="00052689" w:rsidRDefault="00CC39B8" w:rsidP="00A659F9">
            <w:pPr>
              <w:jc w:val="center"/>
              <w:rPr>
                <w:rFonts w:ascii="Times New Roman CE" w:hAnsi="Times New Roman CE" w:cs="Times New Roman CE"/>
                <w:i/>
                <w:iCs/>
                <w:sz w:val="22"/>
                <w:szCs w:val="22"/>
              </w:rPr>
            </w:pPr>
            <w:r w:rsidRPr="00052689">
              <w:rPr>
                <w:rFonts w:ascii="Times New Roman CE" w:hAnsi="Times New Roman CE" w:cs="Times New Roman CE"/>
                <w:i/>
                <w:iCs/>
                <w:sz w:val="22"/>
                <w:szCs w:val="22"/>
              </w:rPr>
              <w:t xml:space="preserve">bázis    </w:t>
            </w:r>
          </w:p>
        </w:tc>
        <w:tc>
          <w:tcPr>
            <w:tcW w:w="1044" w:type="dxa"/>
            <w:gridSpan w:val="3"/>
            <w:tcBorders>
              <w:top w:val="nil"/>
              <w:left w:val="nil"/>
              <w:bottom w:val="single" w:sz="4" w:space="0" w:color="auto"/>
              <w:right w:val="nil"/>
            </w:tcBorders>
            <w:shd w:val="clear" w:color="auto" w:fill="auto"/>
            <w:vAlign w:val="center"/>
            <w:hideMark/>
          </w:tcPr>
          <w:p w:rsidR="00CC39B8" w:rsidRPr="00052689" w:rsidRDefault="00CC39B8" w:rsidP="00A659F9">
            <w:pPr>
              <w:jc w:val="center"/>
              <w:rPr>
                <w:rFonts w:ascii="Times New Roman CE" w:hAnsi="Times New Roman CE" w:cs="Times New Roman CE"/>
                <w:i/>
                <w:iCs/>
                <w:sz w:val="22"/>
                <w:szCs w:val="22"/>
              </w:rPr>
            </w:pPr>
            <w:r w:rsidRPr="00052689">
              <w:rPr>
                <w:rFonts w:ascii="Times New Roman CE" w:hAnsi="Times New Roman CE" w:cs="Times New Roman CE"/>
                <w:i/>
                <w:iCs/>
                <w:sz w:val="22"/>
                <w:szCs w:val="22"/>
              </w:rPr>
              <w:t xml:space="preserve">tény/ </w:t>
            </w:r>
          </w:p>
          <w:p w:rsidR="00CC39B8" w:rsidRPr="00052689" w:rsidRDefault="00CC39B8" w:rsidP="00A659F9">
            <w:pPr>
              <w:jc w:val="center"/>
              <w:rPr>
                <w:rFonts w:ascii="Times New Roman CE" w:hAnsi="Times New Roman CE" w:cs="Times New Roman CE"/>
                <w:i/>
                <w:iCs/>
                <w:sz w:val="22"/>
                <w:szCs w:val="22"/>
              </w:rPr>
            </w:pPr>
            <w:r w:rsidRPr="00052689">
              <w:rPr>
                <w:rFonts w:ascii="Times New Roman CE" w:hAnsi="Times New Roman CE" w:cs="Times New Roman CE"/>
                <w:i/>
                <w:iCs/>
                <w:sz w:val="22"/>
                <w:szCs w:val="22"/>
              </w:rPr>
              <w:t xml:space="preserve">terv    </w:t>
            </w:r>
          </w:p>
        </w:tc>
      </w:tr>
      <w:tr w:rsidR="00CC39B8" w:rsidRPr="00883EC9" w:rsidTr="0024068B">
        <w:trPr>
          <w:gridAfter w:val="2"/>
          <w:wAfter w:w="598" w:type="dxa"/>
          <w:trHeight w:val="315"/>
        </w:trPr>
        <w:tc>
          <w:tcPr>
            <w:tcW w:w="3109" w:type="dxa"/>
            <w:tcBorders>
              <w:top w:val="nil"/>
              <w:left w:val="nil"/>
              <w:bottom w:val="nil"/>
              <w:right w:val="nil"/>
            </w:tcBorders>
            <w:shd w:val="clear" w:color="auto" w:fill="auto"/>
            <w:noWrap/>
            <w:vAlign w:val="center"/>
            <w:hideMark/>
          </w:tcPr>
          <w:p w:rsidR="00CC39B8" w:rsidRPr="00883EC9" w:rsidRDefault="00CC39B8" w:rsidP="00A659F9">
            <w:pPr>
              <w:rPr>
                <w:rFonts w:ascii="Times New Roman CE" w:hAnsi="Times New Roman CE" w:cs="Times New Roman CE"/>
                <w:sz w:val="23"/>
                <w:szCs w:val="23"/>
              </w:rPr>
            </w:pPr>
            <w:r w:rsidRPr="00883EC9">
              <w:rPr>
                <w:rFonts w:ascii="Times New Roman CE" w:hAnsi="Times New Roman CE" w:cs="Times New Roman CE"/>
                <w:sz w:val="23"/>
                <w:szCs w:val="23"/>
              </w:rPr>
              <w:t xml:space="preserve">Teljes munkaidőben </w:t>
            </w:r>
            <w:proofErr w:type="spellStart"/>
            <w:r w:rsidRPr="00883EC9">
              <w:rPr>
                <w:rFonts w:ascii="Times New Roman CE" w:hAnsi="Times New Roman CE" w:cs="Times New Roman CE"/>
                <w:sz w:val="23"/>
                <w:szCs w:val="23"/>
              </w:rPr>
              <w:t>fogl</w:t>
            </w:r>
            <w:proofErr w:type="spellEnd"/>
            <w:r w:rsidRPr="00883EC9">
              <w:rPr>
                <w:rFonts w:ascii="Times New Roman CE" w:hAnsi="Times New Roman CE" w:cs="Times New Roman CE"/>
                <w:sz w:val="23"/>
                <w:szCs w:val="23"/>
              </w:rPr>
              <w:t>. bére</w:t>
            </w:r>
          </w:p>
        </w:tc>
        <w:tc>
          <w:tcPr>
            <w:tcW w:w="1286" w:type="dxa"/>
            <w:gridSpan w:val="2"/>
            <w:tcBorders>
              <w:top w:val="nil"/>
              <w:left w:val="nil"/>
              <w:bottom w:val="nil"/>
              <w:right w:val="nil"/>
            </w:tcBorders>
            <w:shd w:val="clear" w:color="auto" w:fill="auto"/>
            <w:noWrap/>
            <w:vAlign w:val="bottom"/>
            <w:hideMark/>
          </w:tcPr>
          <w:p w:rsidR="00CC39B8" w:rsidRPr="00883EC9" w:rsidRDefault="00CC39B8" w:rsidP="00A659F9">
            <w:pPr>
              <w:jc w:val="right"/>
              <w:rPr>
                <w:rFonts w:ascii="Times New Roman CE" w:hAnsi="Times New Roman CE" w:cs="Times New Roman CE"/>
                <w:sz w:val="23"/>
                <w:szCs w:val="23"/>
              </w:rPr>
            </w:pPr>
            <w:r w:rsidRPr="00883EC9">
              <w:rPr>
                <w:rFonts w:ascii="Times New Roman CE" w:hAnsi="Times New Roman CE" w:cs="Times New Roman CE"/>
                <w:sz w:val="23"/>
                <w:szCs w:val="23"/>
              </w:rPr>
              <w:t>855 439</w:t>
            </w:r>
          </w:p>
        </w:tc>
        <w:tc>
          <w:tcPr>
            <w:tcW w:w="1417" w:type="dxa"/>
            <w:gridSpan w:val="2"/>
            <w:tcBorders>
              <w:top w:val="nil"/>
              <w:left w:val="nil"/>
              <w:bottom w:val="nil"/>
              <w:right w:val="nil"/>
            </w:tcBorders>
            <w:shd w:val="clear" w:color="auto" w:fill="auto"/>
            <w:noWrap/>
            <w:vAlign w:val="bottom"/>
            <w:hideMark/>
          </w:tcPr>
          <w:p w:rsidR="00CC39B8" w:rsidRPr="00883EC9" w:rsidRDefault="00CC39B8" w:rsidP="00A659F9">
            <w:pPr>
              <w:jc w:val="right"/>
              <w:rPr>
                <w:rFonts w:ascii="Times New Roman CE" w:hAnsi="Times New Roman CE" w:cs="Times New Roman CE"/>
                <w:sz w:val="23"/>
                <w:szCs w:val="23"/>
              </w:rPr>
            </w:pPr>
            <w:r w:rsidRPr="00883EC9">
              <w:rPr>
                <w:rFonts w:ascii="Times New Roman CE" w:hAnsi="Times New Roman CE" w:cs="Times New Roman CE"/>
                <w:sz w:val="23"/>
                <w:szCs w:val="23"/>
              </w:rPr>
              <w:t>1 967 847</w:t>
            </w:r>
          </w:p>
        </w:tc>
        <w:tc>
          <w:tcPr>
            <w:tcW w:w="1417" w:type="dxa"/>
            <w:gridSpan w:val="3"/>
            <w:tcBorders>
              <w:top w:val="nil"/>
              <w:left w:val="nil"/>
              <w:bottom w:val="nil"/>
              <w:right w:val="nil"/>
            </w:tcBorders>
            <w:shd w:val="clear" w:color="auto" w:fill="auto"/>
            <w:noWrap/>
            <w:vAlign w:val="bottom"/>
            <w:hideMark/>
          </w:tcPr>
          <w:p w:rsidR="00CC39B8" w:rsidRPr="00883EC9" w:rsidRDefault="00CC39B8" w:rsidP="00A659F9">
            <w:pPr>
              <w:jc w:val="right"/>
              <w:rPr>
                <w:rFonts w:ascii="Times New Roman CE" w:hAnsi="Times New Roman CE" w:cs="Times New Roman CE"/>
                <w:sz w:val="23"/>
                <w:szCs w:val="23"/>
              </w:rPr>
            </w:pPr>
            <w:r w:rsidRPr="00883EC9">
              <w:rPr>
                <w:rFonts w:ascii="Times New Roman CE" w:hAnsi="Times New Roman CE" w:cs="Times New Roman CE"/>
                <w:sz w:val="23"/>
                <w:szCs w:val="23"/>
              </w:rPr>
              <w:t>916 761</w:t>
            </w:r>
          </w:p>
        </w:tc>
        <w:tc>
          <w:tcPr>
            <w:tcW w:w="1169" w:type="dxa"/>
            <w:gridSpan w:val="3"/>
            <w:tcBorders>
              <w:top w:val="nil"/>
              <w:left w:val="nil"/>
              <w:bottom w:val="nil"/>
              <w:right w:val="nil"/>
            </w:tcBorders>
            <w:shd w:val="clear" w:color="auto" w:fill="auto"/>
            <w:noWrap/>
            <w:vAlign w:val="bottom"/>
            <w:hideMark/>
          </w:tcPr>
          <w:p w:rsidR="00CC39B8" w:rsidRPr="00883EC9" w:rsidRDefault="00CC39B8" w:rsidP="00A659F9">
            <w:pPr>
              <w:jc w:val="right"/>
              <w:rPr>
                <w:rFonts w:ascii="Times New Roman CE" w:hAnsi="Times New Roman CE" w:cs="Times New Roman CE"/>
                <w:sz w:val="23"/>
                <w:szCs w:val="23"/>
              </w:rPr>
            </w:pPr>
            <w:r w:rsidRPr="00883EC9">
              <w:rPr>
                <w:rFonts w:ascii="Times New Roman CE" w:hAnsi="Times New Roman CE" w:cs="Times New Roman CE"/>
                <w:sz w:val="23"/>
                <w:szCs w:val="23"/>
              </w:rPr>
              <w:t>107,2%</w:t>
            </w:r>
          </w:p>
        </w:tc>
        <w:tc>
          <w:tcPr>
            <w:tcW w:w="1044" w:type="dxa"/>
            <w:gridSpan w:val="3"/>
            <w:tcBorders>
              <w:top w:val="nil"/>
              <w:left w:val="nil"/>
              <w:bottom w:val="nil"/>
              <w:right w:val="nil"/>
            </w:tcBorders>
            <w:shd w:val="clear" w:color="auto" w:fill="auto"/>
            <w:noWrap/>
            <w:vAlign w:val="bottom"/>
            <w:hideMark/>
          </w:tcPr>
          <w:p w:rsidR="00CC39B8" w:rsidRPr="00883EC9" w:rsidRDefault="00CC39B8" w:rsidP="00A659F9">
            <w:pPr>
              <w:jc w:val="right"/>
              <w:rPr>
                <w:rFonts w:ascii="Times New Roman CE" w:hAnsi="Times New Roman CE" w:cs="Times New Roman CE"/>
                <w:sz w:val="23"/>
                <w:szCs w:val="23"/>
              </w:rPr>
            </w:pPr>
            <w:r w:rsidRPr="00883EC9">
              <w:rPr>
                <w:rFonts w:ascii="Times New Roman CE" w:hAnsi="Times New Roman CE" w:cs="Times New Roman CE"/>
                <w:sz w:val="23"/>
                <w:szCs w:val="23"/>
              </w:rPr>
              <w:t>46,6%</w:t>
            </w:r>
          </w:p>
        </w:tc>
      </w:tr>
      <w:tr w:rsidR="00CC39B8" w:rsidRPr="00883EC9" w:rsidTr="0024068B">
        <w:trPr>
          <w:gridAfter w:val="2"/>
          <w:wAfter w:w="598" w:type="dxa"/>
          <w:trHeight w:val="206"/>
        </w:trPr>
        <w:tc>
          <w:tcPr>
            <w:tcW w:w="3261" w:type="dxa"/>
            <w:gridSpan w:val="2"/>
            <w:tcBorders>
              <w:top w:val="nil"/>
              <w:left w:val="nil"/>
              <w:bottom w:val="nil"/>
              <w:right w:val="nil"/>
            </w:tcBorders>
            <w:shd w:val="clear" w:color="auto" w:fill="auto"/>
            <w:noWrap/>
            <w:vAlign w:val="center"/>
            <w:hideMark/>
          </w:tcPr>
          <w:p w:rsidR="00CC39B8" w:rsidRPr="00883EC9" w:rsidRDefault="00CC39B8" w:rsidP="00A659F9">
            <w:pPr>
              <w:rPr>
                <w:rFonts w:ascii="Times New Roman CE" w:hAnsi="Times New Roman CE" w:cs="Times New Roman CE"/>
                <w:sz w:val="23"/>
                <w:szCs w:val="23"/>
              </w:rPr>
            </w:pPr>
            <w:r w:rsidRPr="00883EC9">
              <w:rPr>
                <w:rFonts w:ascii="Times New Roman CE" w:hAnsi="Times New Roman CE" w:cs="Times New Roman CE"/>
                <w:sz w:val="23"/>
                <w:szCs w:val="23"/>
              </w:rPr>
              <w:t xml:space="preserve">Nem teljes munkaidős </w:t>
            </w:r>
            <w:proofErr w:type="spellStart"/>
            <w:r w:rsidRPr="00883EC9">
              <w:rPr>
                <w:rFonts w:ascii="Times New Roman CE" w:hAnsi="Times New Roman CE" w:cs="Times New Roman CE"/>
                <w:sz w:val="23"/>
                <w:szCs w:val="23"/>
              </w:rPr>
              <w:t>fogl</w:t>
            </w:r>
            <w:proofErr w:type="spellEnd"/>
            <w:r w:rsidRPr="00883EC9">
              <w:rPr>
                <w:rFonts w:ascii="Times New Roman CE" w:hAnsi="Times New Roman CE" w:cs="Times New Roman CE"/>
                <w:sz w:val="23"/>
                <w:szCs w:val="23"/>
              </w:rPr>
              <w:t>. bére</w:t>
            </w:r>
          </w:p>
        </w:tc>
        <w:tc>
          <w:tcPr>
            <w:tcW w:w="1134" w:type="dxa"/>
            <w:tcBorders>
              <w:top w:val="nil"/>
              <w:left w:val="nil"/>
              <w:bottom w:val="nil"/>
              <w:right w:val="nil"/>
            </w:tcBorders>
            <w:shd w:val="clear" w:color="auto" w:fill="auto"/>
            <w:noWrap/>
            <w:vAlign w:val="bottom"/>
            <w:hideMark/>
          </w:tcPr>
          <w:p w:rsidR="00CC39B8" w:rsidRPr="00883EC9" w:rsidRDefault="00CC39B8" w:rsidP="00A659F9">
            <w:pPr>
              <w:jc w:val="right"/>
              <w:rPr>
                <w:rFonts w:ascii="Times New Roman CE" w:hAnsi="Times New Roman CE" w:cs="Times New Roman CE"/>
                <w:sz w:val="23"/>
                <w:szCs w:val="23"/>
              </w:rPr>
            </w:pPr>
            <w:r w:rsidRPr="00883EC9">
              <w:rPr>
                <w:rFonts w:ascii="Times New Roman CE" w:hAnsi="Times New Roman CE" w:cs="Times New Roman CE"/>
                <w:sz w:val="23"/>
                <w:szCs w:val="23"/>
              </w:rPr>
              <w:t>11 492</w:t>
            </w:r>
          </w:p>
        </w:tc>
        <w:tc>
          <w:tcPr>
            <w:tcW w:w="1417" w:type="dxa"/>
            <w:gridSpan w:val="2"/>
            <w:tcBorders>
              <w:top w:val="nil"/>
              <w:left w:val="nil"/>
              <w:bottom w:val="nil"/>
              <w:right w:val="nil"/>
            </w:tcBorders>
            <w:shd w:val="clear" w:color="auto" w:fill="auto"/>
            <w:noWrap/>
            <w:vAlign w:val="bottom"/>
            <w:hideMark/>
          </w:tcPr>
          <w:p w:rsidR="00CC39B8" w:rsidRPr="00883EC9" w:rsidRDefault="00CC39B8" w:rsidP="00A659F9">
            <w:pPr>
              <w:jc w:val="right"/>
              <w:rPr>
                <w:rFonts w:ascii="Times New Roman CE" w:hAnsi="Times New Roman CE" w:cs="Times New Roman CE"/>
                <w:sz w:val="23"/>
                <w:szCs w:val="23"/>
              </w:rPr>
            </w:pPr>
            <w:r w:rsidRPr="00883EC9">
              <w:rPr>
                <w:rFonts w:ascii="Times New Roman CE" w:hAnsi="Times New Roman CE" w:cs="Times New Roman CE"/>
                <w:sz w:val="23"/>
                <w:szCs w:val="23"/>
              </w:rPr>
              <w:t>27 793</w:t>
            </w:r>
          </w:p>
        </w:tc>
        <w:tc>
          <w:tcPr>
            <w:tcW w:w="1417" w:type="dxa"/>
            <w:gridSpan w:val="3"/>
            <w:tcBorders>
              <w:top w:val="nil"/>
              <w:left w:val="nil"/>
              <w:bottom w:val="nil"/>
              <w:right w:val="nil"/>
            </w:tcBorders>
            <w:shd w:val="clear" w:color="auto" w:fill="auto"/>
            <w:noWrap/>
            <w:vAlign w:val="bottom"/>
            <w:hideMark/>
          </w:tcPr>
          <w:p w:rsidR="00CC39B8" w:rsidRPr="00883EC9" w:rsidRDefault="00CC39B8" w:rsidP="00A659F9">
            <w:pPr>
              <w:jc w:val="right"/>
              <w:rPr>
                <w:rFonts w:ascii="Times New Roman CE" w:hAnsi="Times New Roman CE" w:cs="Times New Roman CE"/>
                <w:sz w:val="23"/>
                <w:szCs w:val="23"/>
              </w:rPr>
            </w:pPr>
            <w:r w:rsidRPr="00883EC9">
              <w:rPr>
                <w:rFonts w:ascii="Times New Roman CE" w:hAnsi="Times New Roman CE" w:cs="Times New Roman CE"/>
                <w:sz w:val="23"/>
                <w:szCs w:val="23"/>
              </w:rPr>
              <w:t>15 413</w:t>
            </w:r>
          </w:p>
        </w:tc>
        <w:tc>
          <w:tcPr>
            <w:tcW w:w="1169" w:type="dxa"/>
            <w:gridSpan w:val="3"/>
            <w:tcBorders>
              <w:top w:val="nil"/>
              <w:left w:val="nil"/>
              <w:bottom w:val="nil"/>
              <w:right w:val="nil"/>
            </w:tcBorders>
            <w:shd w:val="clear" w:color="auto" w:fill="auto"/>
            <w:noWrap/>
            <w:vAlign w:val="bottom"/>
            <w:hideMark/>
          </w:tcPr>
          <w:p w:rsidR="00CC39B8" w:rsidRPr="00883EC9" w:rsidRDefault="00CC39B8" w:rsidP="00A659F9">
            <w:pPr>
              <w:jc w:val="right"/>
              <w:rPr>
                <w:rFonts w:ascii="Times New Roman CE" w:hAnsi="Times New Roman CE" w:cs="Times New Roman CE"/>
                <w:sz w:val="23"/>
                <w:szCs w:val="23"/>
              </w:rPr>
            </w:pPr>
            <w:r w:rsidRPr="00883EC9">
              <w:rPr>
                <w:rFonts w:ascii="Times New Roman CE" w:hAnsi="Times New Roman CE" w:cs="Times New Roman CE"/>
                <w:sz w:val="23"/>
                <w:szCs w:val="23"/>
              </w:rPr>
              <w:t>134,1%</w:t>
            </w:r>
          </w:p>
        </w:tc>
        <w:tc>
          <w:tcPr>
            <w:tcW w:w="1044" w:type="dxa"/>
            <w:gridSpan w:val="3"/>
            <w:tcBorders>
              <w:top w:val="nil"/>
              <w:left w:val="nil"/>
              <w:bottom w:val="nil"/>
              <w:right w:val="nil"/>
            </w:tcBorders>
            <w:shd w:val="clear" w:color="auto" w:fill="auto"/>
            <w:noWrap/>
            <w:vAlign w:val="bottom"/>
            <w:hideMark/>
          </w:tcPr>
          <w:p w:rsidR="00CC39B8" w:rsidRPr="00883EC9" w:rsidRDefault="00CC39B8" w:rsidP="00A659F9">
            <w:pPr>
              <w:jc w:val="right"/>
              <w:rPr>
                <w:rFonts w:ascii="Times New Roman CE" w:hAnsi="Times New Roman CE" w:cs="Times New Roman CE"/>
                <w:sz w:val="23"/>
                <w:szCs w:val="23"/>
              </w:rPr>
            </w:pPr>
            <w:r w:rsidRPr="00883EC9">
              <w:rPr>
                <w:rFonts w:ascii="Times New Roman CE" w:hAnsi="Times New Roman CE" w:cs="Times New Roman CE"/>
                <w:sz w:val="23"/>
                <w:szCs w:val="23"/>
              </w:rPr>
              <w:t>55,5%</w:t>
            </w:r>
          </w:p>
        </w:tc>
      </w:tr>
      <w:tr w:rsidR="00CC39B8" w:rsidRPr="00883EC9" w:rsidTr="0024068B">
        <w:trPr>
          <w:gridAfter w:val="2"/>
          <w:wAfter w:w="598" w:type="dxa"/>
          <w:trHeight w:val="237"/>
        </w:trPr>
        <w:tc>
          <w:tcPr>
            <w:tcW w:w="3109" w:type="dxa"/>
            <w:tcBorders>
              <w:top w:val="nil"/>
              <w:left w:val="nil"/>
              <w:bottom w:val="single" w:sz="4" w:space="0" w:color="auto"/>
              <w:right w:val="nil"/>
            </w:tcBorders>
            <w:shd w:val="clear" w:color="auto" w:fill="auto"/>
            <w:noWrap/>
            <w:vAlign w:val="center"/>
            <w:hideMark/>
          </w:tcPr>
          <w:p w:rsidR="00CC39B8" w:rsidRPr="00883EC9" w:rsidRDefault="00CC39B8" w:rsidP="00A659F9">
            <w:pPr>
              <w:rPr>
                <w:rFonts w:ascii="Times New Roman CE" w:hAnsi="Times New Roman CE" w:cs="Times New Roman CE"/>
                <w:sz w:val="23"/>
                <w:szCs w:val="23"/>
              </w:rPr>
            </w:pPr>
            <w:r w:rsidRPr="00883EC9">
              <w:rPr>
                <w:rFonts w:ascii="Times New Roman CE" w:hAnsi="Times New Roman CE" w:cs="Times New Roman CE"/>
                <w:sz w:val="23"/>
                <w:szCs w:val="23"/>
              </w:rPr>
              <w:t xml:space="preserve">Egyéb bérek </w:t>
            </w:r>
          </w:p>
        </w:tc>
        <w:tc>
          <w:tcPr>
            <w:tcW w:w="1286" w:type="dxa"/>
            <w:gridSpan w:val="2"/>
            <w:tcBorders>
              <w:top w:val="nil"/>
              <w:left w:val="nil"/>
              <w:bottom w:val="single" w:sz="4" w:space="0" w:color="auto"/>
              <w:right w:val="nil"/>
            </w:tcBorders>
            <w:shd w:val="clear" w:color="auto" w:fill="auto"/>
            <w:noWrap/>
            <w:vAlign w:val="bottom"/>
            <w:hideMark/>
          </w:tcPr>
          <w:p w:rsidR="00CC39B8" w:rsidRPr="00883EC9" w:rsidRDefault="00CC39B8" w:rsidP="00A659F9">
            <w:pPr>
              <w:jc w:val="right"/>
              <w:rPr>
                <w:rFonts w:ascii="Times New Roman CE" w:hAnsi="Times New Roman CE" w:cs="Times New Roman CE"/>
                <w:sz w:val="23"/>
                <w:szCs w:val="23"/>
              </w:rPr>
            </w:pPr>
            <w:r w:rsidRPr="00883EC9">
              <w:rPr>
                <w:rFonts w:ascii="Times New Roman CE" w:hAnsi="Times New Roman CE" w:cs="Times New Roman CE"/>
                <w:sz w:val="23"/>
                <w:szCs w:val="23"/>
              </w:rPr>
              <w:t>8 813</w:t>
            </w:r>
          </w:p>
        </w:tc>
        <w:tc>
          <w:tcPr>
            <w:tcW w:w="1417" w:type="dxa"/>
            <w:gridSpan w:val="2"/>
            <w:tcBorders>
              <w:top w:val="nil"/>
              <w:left w:val="nil"/>
              <w:bottom w:val="single" w:sz="4" w:space="0" w:color="auto"/>
              <w:right w:val="nil"/>
            </w:tcBorders>
            <w:shd w:val="clear" w:color="auto" w:fill="auto"/>
            <w:noWrap/>
            <w:vAlign w:val="bottom"/>
            <w:hideMark/>
          </w:tcPr>
          <w:p w:rsidR="00CC39B8" w:rsidRPr="00883EC9" w:rsidRDefault="00CC39B8" w:rsidP="00A659F9">
            <w:pPr>
              <w:jc w:val="right"/>
              <w:rPr>
                <w:rFonts w:ascii="Times New Roman CE" w:hAnsi="Times New Roman CE" w:cs="Times New Roman CE"/>
                <w:sz w:val="23"/>
                <w:szCs w:val="23"/>
              </w:rPr>
            </w:pPr>
            <w:r w:rsidRPr="00883EC9">
              <w:rPr>
                <w:rFonts w:ascii="Times New Roman CE" w:hAnsi="Times New Roman CE" w:cs="Times New Roman CE"/>
                <w:sz w:val="23"/>
                <w:szCs w:val="23"/>
              </w:rPr>
              <w:t>18 327</w:t>
            </w:r>
          </w:p>
        </w:tc>
        <w:tc>
          <w:tcPr>
            <w:tcW w:w="1417" w:type="dxa"/>
            <w:gridSpan w:val="3"/>
            <w:tcBorders>
              <w:top w:val="nil"/>
              <w:left w:val="nil"/>
              <w:bottom w:val="single" w:sz="4" w:space="0" w:color="auto"/>
              <w:right w:val="nil"/>
            </w:tcBorders>
            <w:shd w:val="clear" w:color="auto" w:fill="auto"/>
            <w:noWrap/>
            <w:vAlign w:val="bottom"/>
            <w:hideMark/>
          </w:tcPr>
          <w:p w:rsidR="00CC39B8" w:rsidRPr="00883EC9" w:rsidRDefault="00CC39B8" w:rsidP="00A659F9">
            <w:pPr>
              <w:jc w:val="right"/>
              <w:rPr>
                <w:rFonts w:ascii="Times New Roman CE" w:hAnsi="Times New Roman CE" w:cs="Times New Roman CE"/>
                <w:sz w:val="23"/>
                <w:szCs w:val="23"/>
              </w:rPr>
            </w:pPr>
            <w:r w:rsidRPr="00883EC9">
              <w:rPr>
                <w:rFonts w:ascii="Times New Roman CE" w:hAnsi="Times New Roman CE" w:cs="Times New Roman CE"/>
                <w:sz w:val="23"/>
                <w:szCs w:val="23"/>
              </w:rPr>
              <w:t>9 536</w:t>
            </w:r>
          </w:p>
        </w:tc>
        <w:tc>
          <w:tcPr>
            <w:tcW w:w="1169" w:type="dxa"/>
            <w:gridSpan w:val="3"/>
            <w:tcBorders>
              <w:top w:val="nil"/>
              <w:left w:val="nil"/>
              <w:bottom w:val="single" w:sz="4" w:space="0" w:color="auto"/>
              <w:right w:val="nil"/>
            </w:tcBorders>
            <w:shd w:val="clear" w:color="auto" w:fill="auto"/>
            <w:noWrap/>
            <w:vAlign w:val="bottom"/>
            <w:hideMark/>
          </w:tcPr>
          <w:p w:rsidR="00CC39B8" w:rsidRPr="00883EC9" w:rsidRDefault="00CC39B8" w:rsidP="00A659F9">
            <w:pPr>
              <w:jc w:val="right"/>
              <w:rPr>
                <w:rFonts w:ascii="Times New Roman CE" w:hAnsi="Times New Roman CE" w:cs="Times New Roman CE"/>
                <w:sz w:val="23"/>
                <w:szCs w:val="23"/>
              </w:rPr>
            </w:pPr>
            <w:r w:rsidRPr="00883EC9">
              <w:rPr>
                <w:rFonts w:ascii="Times New Roman CE" w:hAnsi="Times New Roman CE" w:cs="Times New Roman CE"/>
                <w:sz w:val="23"/>
                <w:szCs w:val="23"/>
              </w:rPr>
              <w:t>108,2%</w:t>
            </w:r>
          </w:p>
        </w:tc>
        <w:tc>
          <w:tcPr>
            <w:tcW w:w="1044" w:type="dxa"/>
            <w:gridSpan w:val="3"/>
            <w:tcBorders>
              <w:top w:val="nil"/>
              <w:left w:val="nil"/>
              <w:bottom w:val="single" w:sz="4" w:space="0" w:color="auto"/>
              <w:right w:val="nil"/>
            </w:tcBorders>
            <w:shd w:val="clear" w:color="auto" w:fill="auto"/>
            <w:noWrap/>
            <w:vAlign w:val="bottom"/>
            <w:hideMark/>
          </w:tcPr>
          <w:p w:rsidR="00CC39B8" w:rsidRPr="00883EC9" w:rsidRDefault="00CC39B8" w:rsidP="00A659F9">
            <w:pPr>
              <w:jc w:val="right"/>
              <w:rPr>
                <w:rFonts w:ascii="Times New Roman CE" w:hAnsi="Times New Roman CE" w:cs="Times New Roman CE"/>
                <w:sz w:val="23"/>
                <w:szCs w:val="23"/>
              </w:rPr>
            </w:pPr>
            <w:r w:rsidRPr="00883EC9">
              <w:rPr>
                <w:rFonts w:ascii="Times New Roman CE" w:hAnsi="Times New Roman CE" w:cs="Times New Roman CE"/>
                <w:sz w:val="23"/>
                <w:szCs w:val="23"/>
              </w:rPr>
              <w:t>52,0%</w:t>
            </w:r>
          </w:p>
        </w:tc>
      </w:tr>
      <w:tr w:rsidR="00CC39B8" w:rsidRPr="00883EC9" w:rsidTr="0024068B">
        <w:trPr>
          <w:gridAfter w:val="2"/>
          <w:wAfter w:w="598" w:type="dxa"/>
          <w:trHeight w:val="315"/>
        </w:trPr>
        <w:tc>
          <w:tcPr>
            <w:tcW w:w="3109" w:type="dxa"/>
            <w:tcBorders>
              <w:top w:val="nil"/>
              <w:left w:val="nil"/>
              <w:bottom w:val="nil"/>
              <w:right w:val="nil"/>
            </w:tcBorders>
            <w:shd w:val="clear" w:color="auto" w:fill="auto"/>
            <w:noWrap/>
            <w:vAlign w:val="center"/>
            <w:hideMark/>
          </w:tcPr>
          <w:p w:rsidR="00CC39B8" w:rsidRPr="00883EC9" w:rsidRDefault="00CC39B8" w:rsidP="00A659F9">
            <w:pPr>
              <w:rPr>
                <w:rFonts w:ascii="Times New Roman CE" w:hAnsi="Times New Roman CE" w:cs="Times New Roman CE"/>
                <w:i/>
                <w:iCs/>
                <w:sz w:val="23"/>
                <w:szCs w:val="23"/>
              </w:rPr>
            </w:pPr>
            <w:r w:rsidRPr="00883EC9">
              <w:rPr>
                <w:rFonts w:ascii="Times New Roman CE" w:hAnsi="Times New Roman CE" w:cs="Times New Roman CE"/>
                <w:i/>
                <w:iCs/>
                <w:sz w:val="23"/>
                <w:szCs w:val="23"/>
              </w:rPr>
              <w:t>Összesen</w:t>
            </w:r>
          </w:p>
        </w:tc>
        <w:tc>
          <w:tcPr>
            <w:tcW w:w="1286" w:type="dxa"/>
            <w:gridSpan w:val="2"/>
            <w:tcBorders>
              <w:top w:val="nil"/>
              <w:left w:val="nil"/>
              <w:bottom w:val="nil"/>
              <w:right w:val="nil"/>
            </w:tcBorders>
            <w:shd w:val="clear" w:color="auto" w:fill="auto"/>
            <w:noWrap/>
            <w:vAlign w:val="bottom"/>
            <w:hideMark/>
          </w:tcPr>
          <w:p w:rsidR="00CC39B8" w:rsidRPr="00883EC9" w:rsidRDefault="00CC39B8" w:rsidP="00A659F9">
            <w:pPr>
              <w:jc w:val="right"/>
              <w:rPr>
                <w:rFonts w:ascii="Times New Roman CE" w:hAnsi="Times New Roman CE" w:cs="Times New Roman CE"/>
                <w:i/>
                <w:iCs/>
                <w:sz w:val="23"/>
                <w:szCs w:val="23"/>
              </w:rPr>
            </w:pPr>
            <w:r w:rsidRPr="00883EC9">
              <w:rPr>
                <w:rFonts w:ascii="Times New Roman CE" w:hAnsi="Times New Roman CE" w:cs="Times New Roman CE"/>
                <w:i/>
                <w:iCs/>
                <w:sz w:val="23"/>
                <w:szCs w:val="23"/>
              </w:rPr>
              <w:t>875 744</w:t>
            </w:r>
          </w:p>
        </w:tc>
        <w:tc>
          <w:tcPr>
            <w:tcW w:w="1417" w:type="dxa"/>
            <w:gridSpan w:val="2"/>
            <w:tcBorders>
              <w:top w:val="nil"/>
              <w:left w:val="nil"/>
              <w:bottom w:val="nil"/>
              <w:right w:val="nil"/>
            </w:tcBorders>
            <w:shd w:val="clear" w:color="auto" w:fill="auto"/>
            <w:noWrap/>
            <w:vAlign w:val="bottom"/>
            <w:hideMark/>
          </w:tcPr>
          <w:p w:rsidR="00CC39B8" w:rsidRPr="00883EC9" w:rsidRDefault="00CC39B8" w:rsidP="00A659F9">
            <w:pPr>
              <w:jc w:val="right"/>
              <w:rPr>
                <w:rFonts w:ascii="Times New Roman CE" w:hAnsi="Times New Roman CE" w:cs="Times New Roman CE"/>
                <w:i/>
                <w:iCs/>
                <w:sz w:val="23"/>
                <w:szCs w:val="23"/>
              </w:rPr>
            </w:pPr>
            <w:r w:rsidRPr="00883EC9">
              <w:rPr>
                <w:rFonts w:ascii="Times New Roman CE" w:hAnsi="Times New Roman CE" w:cs="Times New Roman CE"/>
                <w:i/>
                <w:iCs/>
                <w:sz w:val="23"/>
                <w:szCs w:val="23"/>
              </w:rPr>
              <w:t>2 013 967</w:t>
            </w:r>
          </w:p>
        </w:tc>
        <w:tc>
          <w:tcPr>
            <w:tcW w:w="1417" w:type="dxa"/>
            <w:gridSpan w:val="3"/>
            <w:tcBorders>
              <w:top w:val="nil"/>
              <w:left w:val="nil"/>
              <w:bottom w:val="nil"/>
              <w:right w:val="nil"/>
            </w:tcBorders>
            <w:shd w:val="clear" w:color="auto" w:fill="auto"/>
            <w:noWrap/>
            <w:vAlign w:val="bottom"/>
            <w:hideMark/>
          </w:tcPr>
          <w:p w:rsidR="00CC39B8" w:rsidRPr="00883EC9" w:rsidRDefault="00CC39B8" w:rsidP="00A659F9">
            <w:pPr>
              <w:jc w:val="right"/>
              <w:rPr>
                <w:rFonts w:ascii="Times New Roman CE" w:hAnsi="Times New Roman CE" w:cs="Times New Roman CE"/>
                <w:i/>
                <w:iCs/>
                <w:sz w:val="23"/>
                <w:szCs w:val="23"/>
              </w:rPr>
            </w:pPr>
            <w:r w:rsidRPr="00883EC9">
              <w:rPr>
                <w:rFonts w:ascii="Times New Roman CE" w:hAnsi="Times New Roman CE" w:cs="Times New Roman CE"/>
                <w:i/>
                <w:iCs/>
                <w:sz w:val="23"/>
                <w:szCs w:val="23"/>
              </w:rPr>
              <w:t>941 710</w:t>
            </w:r>
          </w:p>
        </w:tc>
        <w:tc>
          <w:tcPr>
            <w:tcW w:w="1169" w:type="dxa"/>
            <w:gridSpan w:val="3"/>
            <w:tcBorders>
              <w:top w:val="nil"/>
              <w:left w:val="nil"/>
              <w:bottom w:val="nil"/>
              <w:right w:val="nil"/>
            </w:tcBorders>
            <w:shd w:val="clear" w:color="auto" w:fill="auto"/>
            <w:noWrap/>
            <w:vAlign w:val="bottom"/>
            <w:hideMark/>
          </w:tcPr>
          <w:p w:rsidR="00CC39B8" w:rsidRPr="00883EC9" w:rsidRDefault="00CC39B8" w:rsidP="00A659F9">
            <w:pPr>
              <w:jc w:val="right"/>
              <w:rPr>
                <w:rFonts w:ascii="Times New Roman CE" w:hAnsi="Times New Roman CE" w:cs="Times New Roman CE"/>
                <w:i/>
                <w:iCs/>
                <w:sz w:val="23"/>
                <w:szCs w:val="23"/>
              </w:rPr>
            </w:pPr>
            <w:r w:rsidRPr="00883EC9">
              <w:rPr>
                <w:rFonts w:ascii="Times New Roman CE" w:hAnsi="Times New Roman CE" w:cs="Times New Roman CE"/>
                <w:i/>
                <w:iCs/>
                <w:sz w:val="23"/>
                <w:szCs w:val="23"/>
              </w:rPr>
              <w:t>107,5%</w:t>
            </w:r>
          </w:p>
        </w:tc>
        <w:tc>
          <w:tcPr>
            <w:tcW w:w="1044" w:type="dxa"/>
            <w:gridSpan w:val="3"/>
            <w:tcBorders>
              <w:top w:val="nil"/>
              <w:left w:val="nil"/>
              <w:bottom w:val="nil"/>
              <w:right w:val="nil"/>
            </w:tcBorders>
            <w:shd w:val="clear" w:color="auto" w:fill="auto"/>
            <w:noWrap/>
            <w:vAlign w:val="bottom"/>
            <w:hideMark/>
          </w:tcPr>
          <w:p w:rsidR="00CC39B8" w:rsidRPr="00883EC9" w:rsidRDefault="00CC39B8" w:rsidP="00A659F9">
            <w:pPr>
              <w:jc w:val="right"/>
              <w:rPr>
                <w:rFonts w:ascii="Times New Roman CE" w:hAnsi="Times New Roman CE" w:cs="Times New Roman CE"/>
                <w:i/>
                <w:iCs/>
                <w:sz w:val="23"/>
                <w:szCs w:val="23"/>
              </w:rPr>
            </w:pPr>
            <w:r w:rsidRPr="00883EC9">
              <w:rPr>
                <w:rFonts w:ascii="Times New Roman CE" w:hAnsi="Times New Roman CE" w:cs="Times New Roman CE"/>
                <w:i/>
                <w:iCs/>
                <w:sz w:val="23"/>
                <w:szCs w:val="23"/>
              </w:rPr>
              <w:t>46,8%</w:t>
            </w:r>
          </w:p>
        </w:tc>
      </w:tr>
      <w:tr w:rsidR="00CC39B8" w:rsidRPr="00675ABD" w:rsidTr="00675ABD">
        <w:trPr>
          <w:trHeight w:val="128"/>
        </w:trPr>
        <w:tc>
          <w:tcPr>
            <w:tcW w:w="3109" w:type="dxa"/>
            <w:tcBorders>
              <w:top w:val="nil"/>
              <w:left w:val="nil"/>
              <w:bottom w:val="nil"/>
              <w:right w:val="nil"/>
            </w:tcBorders>
            <w:shd w:val="clear" w:color="auto" w:fill="auto"/>
            <w:noWrap/>
            <w:vAlign w:val="bottom"/>
            <w:hideMark/>
          </w:tcPr>
          <w:p w:rsidR="00CC39B8" w:rsidRPr="00675ABD" w:rsidRDefault="00CC39B8" w:rsidP="00A659F9">
            <w:pPr>
              <w:jc w:val="right"/>
              <w:rPr>
                <w:rFonts w:ascii="Times New Roman CE" w:hAnsi="Times New Roman CE" w:cs="Times New Roman CE"/>
                <w:i/>
                <w:iCs/>
                <w:sz w:val="16"/>
                <w:szCs w:val="16"/>
              </w:rPr>
            </w:pPr>
          </w:p>
        </w:tc>
        <w:tc>
          <w:tcPr>
            <w:tcW w:w="1482" w:type="dxa"/>
            <w:gridSpan w:val="3"/>
            <w:tcBorders>
              <w:top w:val="nil"/>
              <w:left w:val="nil"/>
              <w:bottom w:val="nil"/>
              <w:right w:val="nil"/>
            </w:tcBorders>
            <w:shd w:val="clear" w:color="auto" w:fill="auto"/>
            <w:noWrap/>
            <w:vAlign w:val="bottom"/>
            <w:hideMark/>
          </w:tcPr>
          <w:p w:rsidR="00CC39B8" w:rsidRPr="00675ABD" w:rsidRDefault="00CC39B8" w:rsidP="00A659F9">
            <w:pPr>
              <w:rPr>
                <w:sz w:val="16"/>
                <w:szCs w:val="16"/>
              </w:rPr>
            </w:pPr>
          </w:p>
        </w:tc>
        <w:tc>
          <w:tcPr>
            <w:tcW w:w="1691" w:type="dxa"/>
            <w:gridSpan w:val="3"/>
            <w:tcBorders>
              <w:top w:val="nil"/>
              <w:left w:val="nil"/>
              <w:bottom w:val="nil"/>
              <w:right w:val="nil"/>
            </w:tcBorders>
            <w:shd w:val="clear" w:color="auto" w:fill="auto"/>
            <w:noWrap/>
            <w:vAlign w:val="bottom"/>
            <w:hideMark/>
          </w:tcPr>
          <w:p w:rsidR="00CC39B8" w:rsidRPr="00675ABD" w:rsidRDefault="00CC39B8" w:rsidP="00A659F9">
            <w:pPr>
              <w:rPr>
                <w:sz w:val="16"/>
                <w:szCs w:val="16"/>
              </w:rPr>
            </w:pPr>
          </w:p>
        </w:tc>
        <w:tc>
          <w:tcPr>
            <w:tcW w:w="1545" w:type="dxa"/>
            <w:gridSpan w:val="3"/>
            <w:tcBorders>
              <w:top w:val="nil"/>
              <w:left w:val="nil"/>
              <w:bottom w:val="nil"/>
              <w:right w:val="nil"/>
            </w:tcBorders>
            <w:shd w:val="clear" w:color="auto" w:fill="auto"/>
            <w:noWrap/>
            <w:vAlign w:val="bottom"/>
            <w:hideMark/>
          </w:tcPr>
          <w:p w:rsidR="00CC39B8" w:rsidRPr="00675ABD" w:rsidRDefault="00CC39B8" w:rsidP="00A659F9">
            <w:pPr>
              <w:rPr>
                <w:sz w:val="16"/>
                <w:szCs w:val="16"/>
              </w:rPr>
            </w:pPr>
          </w:p>
        </w:tc>
        <w:tc>
          <w:tcPr>
            <w:tcW w:w="1169" w:type="dxa"/>
            <w:gridSpan w:val="3"/>
            <w:tcBorders>
              <w:top w:val="nil"/>
              <w:left w:val="nil"/>
              <w:bottom w:val="nil"/>
              <w:right w:val="nil"/>
            </w:tcBorders>
            <w:shd w:val="clear" w:color="auto" w:fill="auto"/>
            <w:noWrap/>
            <w:vAlign w:val="bottom"/>
            <w:hideMark/>
          </w:tcPr>
          <w:p w:rsidR="00CC39B8" w:rsidRPr="00675ABD" w:rsidRDefault="00CC39B8" w:rsidP="00A659F9">
            <w:pPr>
              <w:rPr>
                <w:sz w:val="16"/>
                <w:szCs w:val="16"/>
              </w:rPr>
            </w:pPr>
          </w:p>
        </w:tc>
        <w:tc>
          <w:tcPr>
            <w:tcW w:w="1044" w:type="dxa"/>
            <w:gridSpan w:val="3"/>
            <w:tcBorders>
              <w:top w:val="nil"/>
              <w:left w:val="nil"/>
              <w:bottom w:val="nil"/>
              <w:right w:val="nil"/>
            </w:tcBorders>
            <w:shd w:val="clear" w:color="auto" w:fill="auto"/>
            <w:noWrap/>
            <w:vAlign w:val="bottom"/>
            <w:hideMark/>
          </w:tcPr>
          <w:p w:rsidR="00CC39B8" w:rsidRPr="00675ABD" w:rsidRDefault="00CC39B8" w:rsidP="00A659F9">
            <w:pPr>
              <w:rPr>
                <w:sz w:val="16"/>
                <w:szCs w:val="16"/>
              </w:rPr>
            </w:pPr>
          </w:p>
        </w:tc>
      </w:tr>
    </w:tbl>
    <w:p w:rsidR="00825F36" w:rsidRPr="00F3539B" w:rsidRDefault="00825F36" w:rsidP="00825F36">
      <w:pPr>
        <w:ind w:right="-426"/>
        <w:jc w:val="both"/>
        <w:rPr>
          <w:sz w:val="12"/>
          <w:szCs w:val="12"/>
        </w:rPr>
      </w:pPr>
    </w:p>
    <w:p w:rsidR="00825F36" w:rsidRDefault="00825F36" w:rsidP="00F3539B">
      <w:pPr>
        <w:ind w:right="141"/>
        <w:jc w:val="both"/>
      </w:pPr>
      <w:r>
        <w:rPr>
          <w:sz w:val="24"/>
          <w:szCs w:val="24"/>
        </w:rPr>
        <w:t xml:space="preserve">Az üzleti terv 2017. január 1-jétől 4 %-os, </w:t>
      </w:r>
      <w:r w:rsidRPr="002C38A5">
        <w:rPr>
          <w:sz w:val="24"/>
          <w:szCs w:val="24"/>
        </w:rPr>
        <w:t>július 1-</w:t>
      </w:r>
      <w:r>
        <w:rPr>
          <w:sz w:val="24"/>
          <w:szCs w:val="24"/>
        </w:rPr>
        <w:t>jé</w:t>
      </w:r>
      <w:r w:rsidRPr="002C38A5">
        <w:rPr>
          <w:sz w:val="24"/>
          <w:szCs w:val="24"/>
        </w:rPr>
        <w:t xml:space="preserve">től </w:t>
      </w:r>
      <w:r>
        <w:rPr>
          <w:sz w:val="24"/>
          <w:szCs w:val="24"/>
        </w:rPr>
        <w:t>újabb 6 %-os bértömeg növekedést tartalmaz.</w:t>
      </w:r>
    </w:p>
    <w:p w:rsidR="0024068B" w:rsidRDefault="00342B15" w:rsidP="00F3539B">
      <w:pPr>
        <w:pStyle w:val="Szvegtrzs"/>
        <w:ind w:right="141"/>
        <w:rPr>
          <w:color w:val="000000" w:themeColor="text1"/>
        </w:rPr>
      </w:pPr>
      <w:r w:rsidRPr="00883EC9">
        <w:t>201</w:t>
      </w:r>
      <w:r w:rsidR="001576C0" w:rsidRPr="00883EC9">
        <w:t>7</w:t>
      </w:r>
      <w:r w:rsidR="00E8097E" w:rsidRPr="00883EC9">
        <w:t xml:space="preserve">. I. félévben költségként elszámolt bér </w:t>
      </w:r>
      <w:r w:rsidR="001576C0" w:rsidRPr="00883EC9">
        <w:t>941 710</w:t>
      </w:r>
      <w:r w:rsidR="00E8097E" w:rsidRPr="00883EC9">
        <w:t xml:space="preserve"> </w:t>
      </w:r>
      <w:proofErr w:type="spellStart"/>
      <w:r w:rsidR="00E8097E" w:rsidRPr="00883EC9">
        <w:t>eFt</w:t>
      </w:r>
      <w:proofErr w:type="spellEnd"/>
      <w:r w:rsidR="00E8097E" w:rsidRPr="00883EC9">
        <w:t>, amely az éves tervszám 4</w:t>
      </w:r>
      <w:r w:rsidRPr="00883EC9">
        <w:t>6,</w:t>
      </w:r>
      <w:r w:rsidR="001576C0" w:rsidRPr="00883EC9">
        <w:t>8</w:t>
      </w:r>
      <w:r w:rsidR="00E8097E" w:rsidRPr="00883EC9">
        <w:t xml:space="preserve"> %-</w:t>
      </w:r>
      <w:proofErr w:type="gramStart"/>
      <w:r w:rsidR="00E8097E" w:rsidRPr="00883EC9">
        <w:t>a</w:t>
      </w:r>
      <w:proofErr w:type="gramEnd"/>
      <w:r w:rsidR="00E8097E" w:rsidRPr="00883EC9">
        <w:t xml:space="preserve">, az előző időszak bértömegénél </w:t>
      </w:r>
      <w:r w:rsidR="001576C0" w:rsidRPr="00883EC9">
        <w:t>7,5</w:t>
      </w:r>
      <w:r w:rsidR="00E8097E" w:rsidRPr="00883EC9">
        <w:t xml:space="preserve"> %-kal magasabb. </w:t>
      </w:r>
      <w:r w:rsidR="005F7DFA">
        <w:t xml:space="preserve">Az üzleti tervben meghatározott 4 %-os mértéket meghaladó költséget főként a </w:t>
      </w:r>
      <w:r w:rsidR="005F7DFA" w:rsidRPr="00883EC9">
        <w:rPr>
          <w:color w:val="000000" w:themeColor="text1"/>
        </w:rPr>
        <w:t>működtetési bértartalék</w:t>
      </w:r>
      <w:r w:rsidR="005F7DFA">
        <w:rPr>
          <w:color w:val="000000" w:themeColor="text1"/>
        </w:rPr>
        <w:t xml:space="preserve"> terhére</w:t>
      </w:r>
      <w:r w:rsidR="005F7DFA">
        <w:t xml:space="preserve"> az 583 fő részére </w:t>
      </w:r>
      <w:r w:rsidR="005F7DFA" w:rsidRPr="00883EC9">
        <w:rPr>
          <w:color w:val="000000" w:themeColor="text1"/>
        </w:rPr>
        <w:t xml:space="preserve">50 </w:t>
      </w:r>
      <w:proofErr w:type="spellStart"/>
      <w:r w:rsidR="005F7DFA" w:rsidRPr="00883EC9">
        <w:rPr>
          <w:color w:val="000000" w:themeColor="text1"/>
        </w:rPr>
        <w:t>eFt</w:t>
      </w:r>
      <w:proofErr w:type="spellEnd"/>
      <w:r w:rsidR="005F7DFA" w:rsidRPr="00883EC9">
        <w:rPr>
          <w:color w:val="000000" w:themeColor="text1"/>
        </w:rPr>
        <w:t>/fő</w:t>
      </w:r>
      <w:r w:rsidR="005F7DFA">
        <w:rPr>
          <w:color w:val="000000" w:themeColor="text1"/>
        </w:rPr>
        <w:t xml:space="preserve">, </w:t>
      </w:r>
      <w:r w:rsidR="005F7DFA" w:rsidRPr="00883EC9">
        <w:rPr>
          <w:color w:val="000000" w:themeColor="text1"/>
        </w:rPr>
        <w:t xml:space="preserve">összesen 29 150 </w:t>
      </w:r>
      <w:proofErr w:type="spellStart"/>
      <w:r w:rsidR="005F7DFA" w:rsidRPr="00883EC9">
        <w:rPr>
          <w:color w:val="000000" w:themeColor="text1"/>
        </w:rPr>
        <w:t>eFt</w:t>
      </w:r>
      <w:proofErr w:type="spellEnd"/>
      <w:r w:rsidR="005F7DFA" w:rsidRPr="00883EC9">
        <w:rPr>
          <w:color w:val="000000" w:themeColor="text1"/>
        </w:rPr>
        <w:t xml:space="preserve"> értékben</w:t>
      </w:r>
      <w:r w:rsidR="005F7DFA">
        <w:t xml:space="preserve"> 2017. júniusban elszámolt, júliusban kifizetett </w:t>
      </w:r>
      <w:r w:rsidR="005F7DFA" w:rsidRPr="00883EC9">
        <w:rPr>
          <w:color w:val="000000" w:themeColor="text1"/>
        </w:rPr>
        <w:t>„nyári jutalom</w:t>
      </w:r>
      <w:r w:rsidR="005F7DFA">
        <w:rPr>
          <w:color w:val="000000" w:themeColor="text1"/>
        </w:rPr>
        <w:t xml:space="preserve">” okozta. </w:t>
      </w:r>
    </w:p>
    <w:p w:rsidR="00F3539B" w:rsidRDefault="009152B1" w:rsidP="0024068B">
      <w:pPr>
        <w:pStyle w:val="Szvegtrzs"/>
        <w:ind w:right="-1"/>
      </w:pPr>
      <w:r w:rsidRPr="00883EC9">
        <w:t>A</w:t>
      </w:r>
      <w:r w:rsidR="00E8097E" w:rsidRPr="00883EC9">
        <w:t xml:space="preserve"> béren kívüli juttatási elemeket tar</w:t>
      </w:r>
      <w:r w:rsidRPr="00883EC9">
        <w:t xml:space="preserve">talmazó - </w:t>
      </w:r>
      <w:proofErr w:type="spellStart"/>
      <w:r w:rsidRPr="00883EC9">
        <w:t>cafeteria</w:t>
      </w:r>
      <w:proofErr w:type="spellEnd"/>
      <w:r w:rsidRPr="00883EC9">
        <w:t xml:space="preserve"> – rendszer </w:t>
      </w:r>
      <w:r w:rsidR="00422622">
        <w:t xml:space="preserve">2017. évben is </w:t>
      </w:r>
      <w:r w:rsidR="00E8097E" w:rsidRPr="00883EC9">
        <w:t>minden munkavállaló számára egyenlő feltételekkel biztosítja a különböző juttatások közti szabad választást.</w:t>
      </w:r>
    </w:p>
    <w:p w:rsidR="00F3539B" w:rsidRDefault="00F3539B">
      <w:pPr>
        <w:rPr>
          <w:sz w:val="24"/>
        </w:rPr>
      </w:pPr>
      <w:r>
        <w:br w:type="page"/>
      </w:r>
    </w:p>
    <w:p w:rsidR="00E8097E" w:rsidRPr="00F3539B" w:rsidRDefault="00E8097E" w:rsidP="0024068B">
      <w:pPr>
        <w:pStyle w:val="Szvegtrzs"/>
        <w:ind w:right="-1"/>
        <w:rPr>
          <w:sz w:val="8"/>
          <w:szCs w:val="8"/>
        </w:rPr>
      </w:pPr>
    </w:p>
    <w:p w:rsidR="00675ABD" w:rsidRDefault="00422622" w:rsidP="00F3539B">
      <w:pPr>
        <w:pStyle w:val="Szvegtrzs3"/>
        <w:tabs>
          <w:tab w:val="right" w:pos="8931"/>
        </w:tabs>
        <w:ind w:right="-142"/>
        <w:rPr>
          <w:color w:val="000000" w:themeColor="text1"/>
        </w:rPr>
      </w:pPr>
      <w:r>
        <w:t>A</w:t>
      </w:r>
      <w:r w:rsidR="00E8097E" w:rsidRPr="00883EC9">
        <w:t xml:space="preserve"> teljes munkaidőben foglalkoztatott munkavállalók részére biztosított juttatások bruttó </w:t>
      </w:r>
      <w:r w:rsidR="00E8097E" w:rsidRPr="00883EC9">
        <w:rPr>
          <w:color w:val="000000" w:themeColor="text1"/>
        </w:rPr>
        <w:t xml:space="preserve">(azaz adóval és járulékokkal növelt) összege 240 </w:t>
      </w:r>
      <w:proofErr w:type="spellStart"/>
      <w:r w:rsidR="00E8097E" w:rsidRPr="00883EC9">
        <w:rPr>
          <w:color w:val="000000" w:themeColor="text1"/>
        </w:rPr>
        <w:t>eFt</w:t>
      </w:r>
      <w:proofErr w:type="spellEnd"/>
      <w:r w:rsidR="00E8097E" w:rsidRPr="00883EC9">
        <w:rPr>
          <w:color w:val="000000" w:themeColor="text1"/>
        </w:rPr>
        <w:t xml:space="preserve">/fő/év, részmunkaidő esetében a juttatás a munkaidő arányában jár (minimum 60 </w:t>
      </w:r>
      <w:proofErr w:type="spellStart"/>
      <w:r w:rsidR="00E8097E" w:rsidRPr="00883EC9">
        <w:rPr>
          <w:color w:val="000000" w:themeColor="text1"/>
        </w:rPr>
        <w:t>eFt</w:t>
      </w:r>
      <w:proofErr w:type="spellEnd"/>
      <w:r w:rsidR="00E8097E" w:rsidRPr="00883EC9">
        <w:rPr>
          <w:color w:val="000000" w:themeColor="text1"/>
        </w:rPr>
        <w:t>/fő/év).</w:t>
      </w:r>
    </w:p>
    <w:p w:rsidR="00752563" w:rsidRPr="00883EC9" w:rsidRDefault="00E8097E" w:rsidP="00F3539B">
      <w:pPr>
        <w:pStyle w:val="Szvegtrzs3"/>
        <w:ind w:right="-142"/>
        <w:rPr>
          <w:color w:val="000000" w:themeColor="text1"/>
          <w:shd w:val="clear" w:color="auto" w:fill="FFFFFF"/>
        </w:rPr>
      </w:pPr>
      <w:r w:rsidRPr="00883EC9">
        <w:rPr>
          <w:color w:val="000000" w:themeColor="text1"/>
        </w:rPr>
        <w:t xml:space="preserve">A </w:t>
      </w:r>
      <w:proofErr w:type="spellStart"/>
      <w:r w:rsidRPr="00883EC9">
        <w:rPr>
          <w:color w:val="000000" w:themeColor="text1"/>
        </w:rPr>
        <w:t>cafeteria-keret</w:t>
      </w:r>
      <w:proofErr w:type="spellEnd"/>
      <w:r w:rsidRPr="00883EC9">
        <w:rPr>
          <w:color w:val="000000" w:themeColor="text1"/>
        </w:rPr>
        <w:t xml:space="preserve"> az év folyamán egyenletesen, havi bruttó 20 </w:t>
      </w:r>
      <w:proofErr w:type="spellStart"/>
      <w:r w:rsidRPr="00883EC9">
        <w:rPr>
          <w:color w:val="000000" w:themeColor="text1"/>
        </w:rPr>
        <w:t>eFt</w:t>
      </w:r>
      <w:proofErr w:type="spellEnd"/>
      <w:r w:rsidRPr="00883EC9">
        <w:rPr>
          <w:color w:val="000000" w:themeColor="text1"/>
        </w:rPr>
        <w:t>/fő értékben használható fel</w:t>
      </w:r>
      <w:r w:rsidR="00752563" w:rsidRPr="00883EC9">
        <w:rPr>
          <w:color w:val="000000" w:themeColor="text1"/>
        </w:rPr>
        <w:t xml:space="preserve">, </w:t>
      </w:r>
      <w:r w:rsidR="00752563" w:rsidRPr="00883EC9">
        <w:rPr>
          <w:color w:val="000000" w:themeColor="text1"/>
          <w:shd w:val="clear" w:color="auto" w:fill="FFFFFF"/>
        </w:rPr>
        <w:t xml:space="preserve">kivétel a lakáscélú hiteltörlesztés, amely elem esetében a juttatás 10 hónapra egyenletesen elosztva, </w:t>
      </w:r>
      <w:proofErr w:type="gramStart"/>
      <w:r w:rsidR="00752563" w:rsidRPr="00883EC9">
        <w:rPr>
          <w:color w:val="000000" w:themeColor="text1"/>
          <w:shd w:val="clear" w:color="auto" w:fill="FFFFFF"/>
        </w:rPr>
        <w:t xml:space="preserve">havi </w:t>
      </w:r>
      <w:r w:rsidR="00F3539B">
        <w:rPr>
          <w:color w:val="000000" w:themeColor="text1"/>
          <w:shd w:val="clear" w:color="auto" w:fill="FFFFFF"/>
        </w:rPr>
        <w:t xml:space="preserve">     </w:t>
      </w:r>
      <w:r w:rsidR="00752563" w:rsidRPr="00883EC9">
        <w:rPr>
          <w:color w:val="000000" w:themeColor="text1"/>
          <w:shd w:val="clear" w:color="auto" w:fill="FFFFFF"/>
        </w:rPr>
        <w:t>24</w:t>
      </w:r>
      <w:proofErr w:type="gramEnd"/>
      <w:r w:rsidR="00752563" w:rsidRPr="00883EC9">
        <w:rPr>
          <w:color w:val="000000" w:themeColor="text1"/>
          <w:shd w:val="clear" w:color="auto" w:fill="FFFFFF"/>
        </w:rPr>
        <w:t xml:space="preserve"> </w:t>
      </w:r>
      <w:proofErr w:type="spellStart"/>
      <w:r w:rsidR="00752563" w:rsidRPr="00883EC9">
        <w:rPr>
          <w:color w:val="000000" w:themeColor="text1"/>
          <w:shd w:val="clear" w:color="auto" w:fill="FFFFFF"/>
        </w:rPr>
        <w:t>eFt</w:t>
      </w:r>
      <w:proofErr w:type="spellEnd"/>
      <w:r w:rsidR="00752563" w:rsidRPr="00883EC9">
        <w:rPr>
          <w:color w:val="000000" w:themeColor="text1"/>
          <w:shd w:val="clear" w:color="auto" w:fill="FFFFFF"/>
        </w:rPr>
        <w:t xml:space="preserve"> értékben vehető igénybe.</w:t>
      </w:r>
    </w:p>
    <w:p w:rsidR="006F059A" w:rsidRPr="00883EC9" w:rsidRDefault="006F059A" w:rsidP="00F3539B">
      <w:pPr>
        <w:pStyle w:val="Szvegtrzs3"/>
        <w:ind w:right="-142"/>
        <w:rPr>
          <w:color w:val="000000" w:themeColor="text1"/>
          <w:shd w:val="clear" w:color="auto" w:fill="FFFFFF"/>
        </w:rPr>
      </w:pPr>
      <w:r w:rsidRPr="00883EC9">
        <w:rPr>
          <w:color w:val="000000" w:themeColor="text1"/>
          <w:shd w:val="clear" w:color="auto" w:fill="FFFFFF"/>
        </w:rPr>
        <w:t xml:space="preserve">A 2017. évi törvényi változások miatt a </w:t>
      </w:r>
      <w:proofErr w:type="spellStart"/>
      <w:r w:rsidRPr="00883EC9">
        <w:rPr>
          <w:color w:val="000000" w:themeColor="text1"/>
          <w:shd w:val="clear" w:color="auto" w:fill="FFFFFF"/>
        </w:rPr>
        <w:t>cafeteria</w:t>
      </w:r>
      <w:proofErr w:type="spellEnd"/>
      <w:r w:rsidRPr="00883EC9">
        <w:rPr>
          <w:color w:val="000000" w:themeColor="text1"/>
          <w:shd w:val="clear" w:color="auto" w:fill="FFFFFF"/>
        </w:rPr>
        <w:t xml:space="preserve"> rendszer elemei megváltoztak.</w:t>
      </w:r>
    </w:p>
    <w:p w:rsidR="006F059A" w:rsidRPr="00883EC9" w:rsidRDefault="006F059A" w:rsidP="00F3539B">
      <w:pPr>
        <w:pStyle w:val="Szvegtrzs3"/>
        <w:ind w:right="-142"/>
        <w:rPr>
          <w:shd w:val="clear" w:color="auto" w:fill="FFFFFF"/>
        </w:rPr>
      </w:pPr>
      <w:r w:rsidRPr="00883EC9">
        <w:rPr>
          <w:color w:val="000000" w:themeColor="text1"/>
          <w:shd w:val="clear" w:color="auto" w:fill="FFFFFF"/>
        </w:rPr>
        <w:t xml:space="preserve">Adómentes juttatásként választható a Kultúra Erzsébet-utalvány 50 </w:t>
      </w:r>
      <w:proofErr w:type="spellStart"/>
      <w:r w:rsidRPr="00883EC9">
        <w:rPr>
          <w:color w:val="000000" w:themeColor="text1"/>
          <w:shd w:val="clear" w:color="auto" w:fill="FFFFFF"/>
        </w:rPr>
        <w:t>eFt</w:t>
      </w:r>
      <w:proofErr w:type="spellEnd"/>
      <w:r w:rsidRPr="00883EC9">
        <w:rPr>
          <w:color w:val="000000" w:themeColor="text1"/>
          <w:shd w:val="clear" w:color="auto" w:fill="FFFFFF"/>
        </w:rPr>
        <w:t xml:space="preserve">/fő/év, a Sport Erzsébet-utalvány korlátlan összegben, illetve a </w:t>
      </w:r>
      <w:proofErr w:type="spellStart"/>
      <w:r w:rsidRPr="00883EC9">
        <w:rPr>
          <w:color w:val="000000" w:themeColor="text1"/>
          <w:shd w:val="clear" w:color="auto" w:fill="FFFFFF"/>
        </w:rPr>
        <w:t>cafeteria</w:t>
      </w:r>
      <w:proofErr w:type="spellEnd"/>
      <w:r w:rsidRPr="00883EC9">
        <w:rPr>
          <w:color w:val="000000" w:themeColor="text1"/>
          <w:shd w:val="clear" w:color="auto" w:fill="FFFFFF"/>
        </w:rPr>
        <w:t xml:space="preserve"> keretösszeg maximumáig a lakáscélú hiteltörlesztéshez </w:t>
      </w:r>
      <w:r w:rsidRPr="00883EC9">
        <w:rPr>
          <w:shd w:val="clear" w:color="auto" w:fill="FFFFFF"/>
        </w:rPr>
        <w:t xml:space="preserve">nyújtott munkáltatói támogatás, valamint 2017. évtől a mobilitás célú lakhatási támogatás. A Széchenyi-pihenőkártyát és a 2017-ben új elemként bevezetett 100 </w:t>
      </w:r>
      <w:proofErr w:type="spellStart"/>
      <w:r w:rsidRPr="00883EC9">
        <w:rPr>
          <w:shd w:val="clear" w:color="auto" w:fill="FFFFFF"/>
        </w:rPr>
        <w:t>eFt</w:t>
      </w:r>
      <w:proofErr w:type="spellEnd"/>
      <w:r w:rsidRPr="00883EC9">
        <w:rPr>
          <w:shd w:val="clear" w:color="auto" w:fill="FFFFFF"/>
        </w:rPr>
        <w:t xml:space="preserve"> készpénz juttatást 34,5 %-os adó terheli. Az önkéntes kölcsönös nyugdíj- illetve egészségpénztári befizetés, valamint az Étkezési Erzsébet-utalvány után 43,66 % adó fizetendő.</w:t>
      </w:r>
    </w:p>
    <w:p w:rsidR="00752563" w:rsidRPr="00F3539B" w:rsidRDefault="00752563" w:rsidP="00F3539B">
      <w:pPr>
        <w:pStyle w:val="Szvegtrzs3"/>
        <w:ind w:right="-142"/>
        <w:rPr>
          <w:color w:val="000000" w:themeColor="text1"/>
          <w:sz w:val="12"/>
          <w:szCs w:val="12"/>
        </w:rPr>
      </w:pPr>
    </w:p>
    <w:p w:rsidR="00E8097E" w:rsidRPr="00883EC9" w:rsidRDefault="00E8097E" w:rsidP="00F3539B">
      <w:pPr>
        <w:pStyle w:val="Szvegtrzs"/>
        <w:tabs>
          <w:tab w:val="left" w:pos="567"/>
          <w:tab w:val="left" w:pos="1134"/>
          <w:tab w:val="right" w:pos="3686"/>
          <w:tab w:val="right" w:pos="5103"/>
          <w:tab w:val="right" w:pos="6946"/>
        </w:tabs>
        <w:ind w:right="-142"/>
        <w:rPr>
          <w:color w:val="000000" w:themeColor="text1"/>
        </w:rPr>
      </w:pPr>
      <w:r w:rsidRPr="00883EC9">
        <w:rPr>
          <w:color w:val="000000" w:themeColor="text1"/>
        </w:rPr>
        <w:t xml:space="preserve">Az I. félév során a működtetési bértartalékból </w:t>
      </w:r>
      <w:r w:rsidR="000F2454" w:rsidRPr="00883EC9">
        <w:rPr>
          <w:color w:val="000000" w:themeColor="text1"/>
        </w:rPr>
        <w:t>35 386</w:t>
      </w:r>
      <w:r w:rsidRPr="00883EC9">
        <w:rPr>
          <w:color w:val="000000" w:themeColor="text1"/>
        </w:rPr>
        <w:t xml:space="preserve"> </w:t>
      </w:r>
      <w:proofErr w:type="spellStart"/>
      <w:r w:rsidRPr="00883EC9">
        <w:rPr>
          <w:color w:val="000000" w:themeColor="text1"/>
        </w:rPr>
        <w:t>eFt</w:t>
      </w:r>
      <w:proofErr w:type="spellEnd"/>
      <w:r w:rsidRPr="00883EC9">
        <w:rPr>
          <w:color w:val="000000" w:themeColor="text1"/>
        </w:rPr>
        <w:t xml:space="preserve"> került felhasználásra: </w:t>
      </w:r>
      <w:r w:rsidR="000F2454" w:rsidRPr="00883EC9">
        <w:rPr>
          <w:color w:val="000000" w:themeColor="text1"/>
        </w:rPr>
        <w:t>1</w:t>
      </w:r>
      <w:r w:rsidRPr="00883EC9">
        <w:rPr>
          <w:color w:val="000000" w:themeColor="text1"/>
        </w:rPr>
        <w:t xml:space="preserve"> munkavállaló VASIVÍZ Emlékérmet kapott, </w:t>
      </w:r>
      <w:r w:rsidR="000F2454" w:rsidRPr="00883EC9">
        <w:rPr>
          <w:color w:val="000000" w:themeColor="text1"/>
        </w:rPr>
        <w:t>9</w:t>
      </w:r>
      <w:r w:rsidRPr="00883EC9">
        <w:rPr>
          <w:color w:val="000000" w:themeColor="text1"/>
        </w:rPr>
        <w:t xml:space="preserve"> munkavállaló Oklevélben részesült</w:t>
      </w:r>
      <w:r w:rsidR="00920BB3" w:rsidRPr="00883EC9">
        <w:rPr>
          <w:color w:val="000000" w:themeColor="text1"/>
        </w:rPr>
        <w:t xml:space="preserve">, a jutalom összege 1 650 </w:t>
      </w:r>
      <w:proofErr w:type="spellStart"/>
      <w:r w:rsidR="00920BB3" w:rsidRPr="00883EC9">
        <w:rPr>
          <w:color w:val="000000" w:themeColor="text1"/>
        </w:rPr>
        <w:t>eFt</w:t>
      </w:r>
      <w:proofErr w:type="spellEnd"/>
      <w:r w:rsidR="00920BB3" w:rsidRPr="00883EC9">
        <w:rPr>
          <w:color w:val="000000" w:themeColor="text1"/>
        </w:rPr>
        <w:t>.</w:t>
      </w:r>
      <w:r w:rsidR="000F2454" w:rsidRPr="00883EC9">
        <w:rPr>
          <w:color w:val="000000" w:themeColor="text1"/>
        </w:rPr>
        <w:t xml:space="preserve"> </w:t>
      </w:r>
      <w:r w:rsidR="00920BB3" w:rsidRPr="00883EC9">
        <w:rPr>
          <w:color w:val="000000" w:themeColor="text1"/>
        </w:rPr>
        <w:t xml:space="preserve">A Haladás Stadion építési munkáival kapcsolatban 35 fő részesült </w:t>
      </w:r>
      <w:r w:rsidR="000F2454" w:rsidRPr="00883EC9">
        <w:rPr>
          <w:color w:val="000000" w:themeColor="text1"/>
        </w:rPr>
        <w:t>2</w:t>
      </w:r>
      <w:r w:rsidR="00920BB3" w:rsidRPr="00883EC9">
        <w:rPr>
          <w:color w:val="000000" w:themeColor="text1"/>
        </w:rPr>
        <w:t xml:space="preserve"> </w:t>
      </w:r>
      <w:r w:rsidR="000F2454" w:rsidRPr="00883EC9">
        <w:rPr>
          <w:color w:val="000000" w:themeColor="text1"/>
        </w:rPr>
        <w:t xml:space="preserve">643 </w:t>
      </w:r>
      <w:proofErr w:type="spellStart"/>
      <w:r w:rsidR="000F2454" w:rsidRPr="00883EC9">
        <w:rPr>
          <w:color w:val="000000" w:themeColor="text1"/>
        </w:rPr>
        <w:t>eFt</w:t>
      </w:r>
      <w:proofErr w:type="spellEnd"/>
      <w:r w:rsidR="000F2454" w:rsidRPr="00883EC9">
        <w:rPr>
          <w:color w:val="000000" w:themeColor="text1"/>
        </w:rPr>
        <w:t xml:space="preserve"> jutalom</w:t>
      </w:r>
      <w:r w:rsidR="00920BB3" w:rsidRPr="00883EC9">
        <w:rPr>
          <w:color w:val="000000" w:themeColor="text1"/>
        </w:rPr>
        <w:t>ban,</w:t>
      </w:r>
      <w:r w:rsidR="000F2454" w:rsidRPr="00883EC9">
        <w:rPr>
          <w:color w:val="000000" w:themeColor="text1"/>
        </w:rPr>
        <w:t xml:space="preserve"> </w:t>
      </w:r>
      <w:r w:rsidR="00920BB3" w:rsidRPr="00883EC9">
        <w:rPr>
          <w:color w:val="000000" w:themeColor="text1"/>
        </w:rPr>
        <w:t xml:space="preserve">a Berzsenyi tér rekonstrukciós munkáiért </w:t>
      </w:r>
      <w:r w:rsidR="000F2454" w:rsidRPr="00883EC9">
        <w:rPr>
          <w:color w:val="000000" w:themeColor="text1"/>
        </w:rPr>
        <w:t xml:space="preserve">1943 </w:t>
      </w:r>
      <w:proofErr w:type="spellStart"/>
      <w:r w:rsidR="000F2454" w:rsidRPr="00883EC9">
        <w:rPr>
          <w:color w:val="000000" w:themeColor="text1"/>
        </w:rPr>
        <w:t>eFt</w:t>
      </w:r>
      <w:proofErr w:type="spellEnd"/>
      <w:r w:rsidR="00920BB3" w:rsidRPr="00883EC9">
        <w:rPr>
          <w:color w:val="000000" w:themeColor="text1"/>
        </w:rPr>
        <w:t xml:space="preserve"> összegű jutalmat kapott</w:t>
      </w:r>
      <w:r w:rsidR="000F2454" w:rsidRPr="00883EC9">
        <w:rPr>
          <w:color w:val="000000" w:themeColor="text1"/>
        </w:rPr>
        <w:t xml:space="preserve"> 23 fő</w:t>
      </w:r>
      <w:r w:rsidR="00920BB3" w:rsidRPr="00883EC9">
        <w:rPr>
          <w:color w:val="000000" w:themeColor="text1"/>
        </w:rPr>
        <w:t xml:space="preserve">. </w:t>
      </w:r>
      <w:r w:rsidR="00E2056B" w:rsidRPr="00883EC9">
        <w:rPr>
          <w:color w:val="000000" w:themeColor="text1"/>
        </w:rPr>
        <w:t>5</w:t>
      </w:r>
      <w:r w:rsidR="00920BB3" w:rsidRPr="00883EC9">
        <w:rPr>
          <w:color w:val="000000" w:themeColor="text1"/>
        </w:rPr>
        <w:t xml:space="preserve">83 fő </w:t>
      </w:r>
      <w:r w:rsidR="00E2056B" w:rsidRPr="00883EC9">
        <w:rPr>
          <w:color w:val="000000" w:themeColor="text1"/>
        </w:rPr>
        <w:t xml:space="preserve">részesült 50 </w:t>
      </w:r>
      <w:proofErr w:type="spellStart"/>
      <w:r w:rsidR="00E2056B" w:rsidRPr="00883EC9">
        <w:rPr>
          <w:color w:val="000000" w:themeColor="text1"/>
        </w:rPr>
        <w:t>eFt</w:t>
      </w:r>
      <w:proofErr w:type="spellEnd"/>
      <w:r w:rsidR="00E2056B" w:rsidRPr="00883EC9">
        <w:rPr>
          <w:color w:val="000000" w:themeColor="text1"/>
        </w:rPr>
        <w:t xml:space="preserve">/fő összegben „nyári jutalomban” összesen </w:t>
      </w:r>
      <w:r w:rsidR="000F2454" w:rsidRPr="00883EC9">
        <w:rPr>
          <w:color w:val="000000" w:themeColor="text1"/>
        </w:rPr>
        <w:t>29</w:t>
      </w:r>
      <w:r w:rsidR="00E2056B" w:rsidRPr="00883EC9">
        <w:rPr>
          <w:color w:val="000000" w:themeColor="text1"/>
        </w:rPr>
        <w:t xml:space="preserve"> </w:t>
      </w:r>
      <w:r w:rsidR="000F2454" w:rsidRPr="00883EC9">
        <w:rPr>
          <w:color w:val="000000" w:themeColor="text1"/>
        </w:rPr>
        <w:t xml:space="preserve">150 </w:t>
      </w:r>
      <w:proofErr w:type="spellStart"/>
      <w:r w:rsidR="000F2454" w:rsidRPr="00883EC9">
        <w:rPr>
          <w:color w:val="000000" w:themeColor="text1"/>
        </w:rPr>
        <w:t>eFt</w:t>
      </w:r>
      <w:proofErr w:type="spellEnd"/>
      <w:r w:rsidR="000F2454" w:rsidRPr="00883EC9">
        <w:rPr>
          <w:color w:val="000000" w:themeColor="text1"/>
        </w:rPr>
        <w:t xml:space="preserve"> </w:t>
      </w:r>
      <w:r w:rsidR="00E2056B" w:rsidRPr="00883EC9">
        <w:rPr>
          <w:color w:val="000000" w:themeColor="text1"/>
        </w:rPr>
        <w:t>értékben</w:t>
      </w:r>
      <w:r w:rsidRPr="00883EC9">
        <w:rPr>
          <w:color w:val="000000" w:themeColor="text1"/>
        </w:rPr>
        <w:t xml:space="preserve">. A szervezeti egységek bérmaradványából jutalom nem került kifizetésre, a Kollektív Szerződés alapján </w:t>
      </w:r>
      <w:r w:rsidR="000F2454" w:rsidRPr="00883EC9">
        <w:rPr>
          <w:color w:val="000000" w:themeColor="text1"/>
        </w:rPr>
        <w:t>21</w:t>
      </w:r>
      <w:r w:rsidRPr="00883EC9">
        <w:rPr>
          <w:color w:val="000000" w:themeColor="text1"/>
        </w:rPr>
        <w:t xml:space="preserve"> főnek összesen </w:t>
      </w:r>
      <w:r w:rsidR="000F2454" w:rsidRPr="00883EC9">
        <w:rPr>
          <w:color w:val="000000" w:themeColor="text1"/>
        </w:rPr>
        <w:t>5 221</w:t>
      </w:r>
      <w:r w:rsidRPr="00883EC9">
        <w:rPr>
          <w:color w:val="000000" w:themeColor="text1"/>
        </w:rPr>
        <w:t xml:space="preserve"> </w:t>
      </w:r>
      <w:proofErr w:type="spellStart"/>
      <w:r w:rsidRPr="00883EC9">
        <w:rPr>
          <w:color w:val="000000" w:themeColor="text1"/>
        </w:rPr>
        <w:t>eFt</w:t>
      </w:r>
      <w:proofErr w:type="spellEnd"/>
      <w:r w:rsidRPr="00883EC9">
        <w:rPr>
          <w:color w:val="000000" w:themeColor="text1"/>
        </w:rPr>
        <w:t xml:space="preserve"> jubileumi jutalom kifizetése történt, amely nem része a bérköltségnek.  </w:t>
      </w:r>
    </w:p>
    <w:p w:rsidR="00EC0229" w:rsidRPr="00F3539B" w:rsidRDefault="00EC0229" w:rsidP="00F3539B">
      <w:pPr>
        <w:pStyle w:val="Szvegtrzs"/>
        <w:tabs>
          <w:tab w:val="left" w:pos="567"/>
          <w:tab w:val="left" w:pos="1134"/>
          <w:tab w:val="right" w:pos="3686"/>
          <w:tab w:val="right" w:pos="5103"/>
          <w:tab w:val="right" w:pos="6946"/>
        </w:tabs>
        <w:ind w:right="-142"/>
        <w:rPr>
          <w:color w:val="000000" w:themeColor="text1"/>
          <w:sz w:val="12"/>
          <w:szCs w:val="12"/>
        </w:rPr>
      </w:pPr>
    </w:p>
    <w:p w:rsidR="00B34AF8" w:rsidRPr="00883EC9" w:rsidRDefault="00E8097E" w:rsidP="00F3539B">
      <w:pPr>
        <w:pStyle w:val="Szvegtrzsbehzssal"/>
        <w:ind w:right="-142"/>
      </w:pPr>
      <w:r w:rsidRPr="00883EC9">
        <w:rPr>
          <w:color w:val="000000" w:themeColor="text1"/>
        </w:rPr>
        <w:t>201</w:t>
      </w:r>
      <w:r w:rsidR="006F059A" w:rsidRPr="00883EC9">
        <w:rPr>
          <w:color w:val="000000" w:themeColor="text1"/>
        </w:rPr>
        <w:t>7</w:t>
      </w:r>
      <w:r w:rsidRPr="00883EC9">
        <w:rPr>
          <w:color w:val="000000" w:themeColor="text1"/>
        </w:rPr>
        <w:t>. I. félév teljes munkaidős átlagkeresete 2</w:t>
      </w:r>
      <w:r w:rsidR="00D36928" w:rsidRPr="00883EC9">
        <w:rPr>
          <w:color w:val="000000" w:themeColor="text1"/>
        </w:rPr>
        <w:t>54 232</w:t>
      </w:r>
      <w:r w:rsidR="009624D2" w:rsidRPr="00883EC9">
        <w:rPr>
          <w:color w:val="000000" w:themeColor="text1"/>
        </w:rPr>
        <w:t xml:space="preserve"> </w:t>
      </w:r>
      <w:r w:rsidRPr="00883EC9">
        <w:rPr>
          <w:color w:val="000000" w:themeColor="text1"/>
        </w:rPr>
        <w:t xml:space="preserve">Ft/fő/hó, a bázis időszak </w:t>
      </w:r>
      <w:r w:rsidR="006F059A" w:rsidRPr="00883EC9">
        <w:rPr>
          <w:color w:val="000000" w:themeColor="text1"/>
        </w:rPr>
        <w:t xml:space="preserve">231 450 </w:t>
      </w:r>
      <w:r w:rsidRPr="00883EC9">
        <w:rPr>
          <w:color w:val="000000" w:themeColor="text1"/>
        </w:rPr>
        <w:t>Ft/fő/hó át</w:t>
      </w:r>
      <w:r w:rsidRPr="00883EC9">
        <w:t xml:space="preserve">lagkereseténél </w:t>
      </w:r>
      <w:r w:rsidR="00D36928" w:rsidRPr="00883EC9">
        <w:t>9,8</w:t>
      </w:r>
      <w:r w:rsidRPr="00883EC9">
        <w:t xml:space="preserve"> %-kal magasabb.</w:t>
      </w:r>
      <w:r w:rsidR="0024068B">
        <w:t xml:space="preserve"> Ez egyrészt a bértömeg növekedéséből, másrészt a létszám </w:t>
      </w:r>
      <w:r w:rsidR="00F3539B">
        <w:t>csökkenéséből adódik.</w:t>
      </w:r>
    </w:p>
    <w:p w:rsidR="00E80DC1" w:rsidRPr="00F3539B" w:rsidRDefault="00E80DC1" w:rsidP="0024068B">
      <w:pPr>
        <w:pStyle w:val="Szvegtrzsbehzssal"/>
        <w:ind w:right="-1"/>
        <w:rPr>
          <w:sz w:val="16"/>
          <w:szCs w:val="16"/>
        </w:rPr>
      </w:pPr>
    </w:p>
    <w:p w:rsidR="00675ABD" w:rsidRPr="00F3539B" w:rsidRDefault="00675ABD" w:rsidP="0024068B">
      <w:pPr>
        <w:pStyle w:val="Szvegtrzsbehzssal"/>
        <w:ind w:right="-1"/>
        <w:rPr>
          <w:sz w:val="16"/>
          <w:szCs w:val="16"/>
        </w:rPr>
      </w:pPr>
    </w:p>
    <w:p w:rsidR="00E8097E" w:rsidRPr="00883EC9" w:rsidRDefault="00E8097E" w:rsidP="0024068B">
      <w:pPr>
        <w:pStyle w:val="Cmsor1"/>
        <w:ind w:left="0" w:right="-1"/>
        <w:rPr>
          <w:b/>
          <w:bCs/>
          <w:i/>
          <w:iCs/>
          <w:sz w:val="28"/>
        </w:rPr>
      </w:pPr>
      <w:bookmarkStart w:id="64" w:name="_Toc330999136"/>
      <w:bookmarkStart w:id="65" w:name="_Toc331589998"/>
      <w:bookmarkStart w:id="66" w:name="_Toc489278871"/>
      <w:r w:rsidRPr="00883EC9">
        <w:rPr>
          <w:b/>
          <w:bCs/>
          <w:i/>
          <w:iCs/>
          <w:sz w:val="28"/>
        </w:rPr>
        <w:t>Pénzügyi helyzet</w:t>
      </w:r>
      <w:bookmarkEnd w:id="64"/>
      <w:bookmarkEnd w:id="65"/>
      <w:bookmarkEnd w:id="66"/>
    </w:p>
    <w:p w:rsidR="00E8097E" w:rsidRPr="00F3539B" w:rsidRDefault="00E8097E" w:rsidP="0024068B">
      <w:pPr>
        <w:ind w:right="-1"/>
        <w:jc w:val="both"/>
        <w:rPr>
          <w:b/>
          <w:i/>
          <w:sz w:val="12"/>
          <w:szCs w:val="12"/>
        </w:rPr>
      </w:pPr>
    </w:p>
    <w:p w:rsidR="00E8097E" w:rsidRPr="00883EC9" w:rsidRDefault="00E8097E" w:rsidP="0024068B">
      <w:pPr>
        <w:pStyle w:val="Szvegtrzs2"/>
        <w:ind w:right="-1"/>
      </w:pPr>
      <w:r w:rsidRPr="00883EC9">
        <w:t>A Társaság likviditását döntő mértékben a víz- és csatornaszolgáltatásból származó bevétel határozza meg, amely 201</w:t>
      </w:r>
      <w:r w:rsidR="00A659F9" w:rsidRPr="00883EC9">
        <w:t>7</w:t>
      </w:r>
      <w:r w:rsidRPr="00883EC9">
        <w:t xml:space="preserve">. I. félévben az összes bevétel </w:t>
      </w:r>
      <w:r w:rsidR="00DD2BEA" w:rsidRPr="00883EC9">
        <w:t>8</w:t>
      </w:r>
      <w:r w:rsidR="00A659F9" w:rsidRPr="00883EC9">
        <w:t>5,8</w:t>
      </w:r>
      <w:r w:rsidRPr="00883EC9">
        <w:t xml:space="preserve"> %-át tette ki. Az elsődleges tevékenységekről </w:t>
      </w:r>
      <w:r w:rsidR="00A659F9" w:rsidRPr="00883EC9">
        <w:t>381 705</w:t>
      </w:r>
      <w:r w:rsidRPr="00883EC9">
        <w:t xml:space="preserve"> db számla készült. </w:t>
      </w:r>
    </w:p>
    <w:p w:rsidR="00645B0E" w:rsidRPr="00F3539B" w:rsidRDefault="00645B0E">
      <w:pPr>
        <w:pStyle w:val="Szvegtrzs2"/>
        <w:ind w:right="142"/>
        <w:rPr>
          <w:sz w:val="12"/>
          <w:szCs w:val="12"/>
        </w:rPr>
      </w:pPr>
    </w:p>
    <w:p w:rsidR="00A659F9" w:rsidRPr="00883EC9" w:rsidRDefault="00A659F9" w:rsidP="00A659F9">
      <w:pPr>
        <w:jc w:val="both"/>
        <w:rPr>
          <w:i/>
          <w:sz w:val="24"/>
        </w:rPr>
      </w:pPr>
      <w:r w:rsidRPr="00883EC9">
        <w:rPr>
          <w:i/>
          <w:sz w:val="24"/>
        </w:rPr>
        <w:t xml:space="preserve">Az üzleti terv teljesítési időpontjában a 30 napon túli lejárt követelések </w:t>
      </w:r>
    </w:p>
    <w:p w:rsidR="00A659F9" w:rsidRPr="00883EC9" w:rsidRDefault="00A659F9" w:rsidP="00A659F9">
      <w:pPr>
        <w:jc w:val="both"/>
        <w:rPr>
          <w:i/>
          <w:sz w:val="24"/>
        </w:rPr>
      </w:pPr>
      <w:proofErr w:type="gramStart"/>
      <w:r w:rsidRPr="00883EC9">
        <w:rPr>
          <w:i/>
          <w:sz w:val="24"/>
        </w:rPr>
        <w:t>és</w:t>
      </w:r>
      <w:proofErr w:type="gramEnd"/>
      <w:r w:rsidRPr="00883EC9">
        <w:rPr>
          <w:i/>
          <w:sz w:val="24"/>
        </w:rPr>
        <w:t xml:space="preserve"> megoszlásuk a lejárat ideje szerint </w:t>
      </w:r>
    </w:p>
    <w:tbl>
      <w:tblPr>
        <w:tblW w:w="10612" w:type="dxa"/>
        <w:tblCellMar>
          <w:left w:w="70" w:type="dxa"/>
          <w:right w:w="70" w:type="dxa"/>
        </w:tblCellMar>
        <w:tblLook w:val="04A0" w:firstRow="1" w:lastRow="0" w:firstColumn="1" w:lastColumn="0" w:noHBand="0" w:noVBand="1"/>
      </w:tblPr>
      <w:tblGrid>
        <w:gridCol w:w="1436"/>
        <w:gridCol w:w="974"/>
        <w:gridCol w:w="164"/>
        <w:gridCol w:w="490"/>
        <w:gridCol w:w="351"/>
        <w:gridCol w:w="845"/>
        <w:gridCol w:w="410"/>
        <w:gridCol w:w="244"/>
        <w:gridCol w:w="331"/>
        <w:gridCol w:w="256"/>
        <w:gridCol w:w="609"/>
        <w:gridCol w:w="654"/>
        <w:gridCol w:w="816"/>
        <w:gridCol w:w="660"/>
        <w:gridCol w:w="816"/>
        <w:gridCol w:w="583"/>
        <w:gridCol w:w="973"/>
      </w:tblGrid>
      <w:tr w:rsidR="00A659F9" w:rsidRPr="00F3539B" w:rsidTr="00F3539B">
        <w:trPr>
          <w:gridAfter w:val="1"/>
          <w:wAfter w:w="973" w:type="dxa"/>
          <w:trHeight w:val="80"/>
        </w:trPr>
        <w:tc>
          <w:tcPr>
            <w:tcW w:w="1436" w:type="dxa"/>
            <w:tcBorders>
              <w:top w:val="nil"/>
              <w:left w:val="nil"/>
              <w:bottom w:val="single" w:sz="4" w:space="0" w:color="auto"/>
              <w:right w:val="nil"/>
            </w:tcBorders>
            <w:shd w:val="clear" w:color="auto" w:fill="auto"/>
            <w:noWrap/>
            <w:vAlign w:val="bottom"/>
            <w:hideMark/>
          </w:tcPr>
          <w:p w:rsidR="00A659F9" w:rsidRPr="00F3539B" w:rsidRDefault="00A659F9" w:rsidP="00A659F9">
            <w:pPr>
              <w:rPr>
                <w:rFonts w:ascii="Times New Roman CE" w:hAnsi="Times New Roman CE" w:cs="Times New Roman CE"/>
              </w:rPr>
            </w:pPr>
            <w:r w:rsidRPr="00F3539B">
              <w:rPr>
                <w:rFonts w:ascii="Times New Roman CE" w:hAnsi="Times New Roman CE" w:cs="Times New Roman CE"/>
              </w:rPr>
              <w:t> </w:t>
            </w:r>
          </w:p>
        </w:tc>
        <w:tc>
          <w:tcPr>
            <w:tcW w:w="974" w:type="dxa"/>
            <w:tcBorders>
              <w:top w:val="nil"/>
              <w:left w:val="nil"/>
              <w:bottom w:val="single" w:sz="4" w:space="0" w:color="auto"/>
              <w:right w:val="nil"/>
            </w:tcBorders>
            <w:shd w:val="clear" w:color="auto" w:fill="auto"/>
            <w:noWrap/>
            <w:vAlign w:val="bottom"/>
            <w:hideMark/>
          </w:tcPr>
          <w:p w:rsidR="00A659F9" w:rsidRPr="00F3539B" w:rsidRDefault="00A659F9" w:rsidP="00A659F9">
            <w:pPr>
              <w:rPr>
                <w:rFonts w:ascii="Times New Roman CE" w:hAnsi="Times New Roman CE" w:cs="Times New Roman CE"/>
              </w:rPr>
            </w:pPr>
            <w:r w:rsidRPr="00F3539B">
              <w:rPr>
                <w:rFonts w:ascii="Times New Roman CE" w:hAnsi="Times New Roman CE" w:cs="Times New Roman CE"/>
              </w:rPr>
              <w:t> </w:t>
            </w:r>
          </w:p>
        </w:tc>
        <w:tc>
          <w:tcPr>
            <w:tcW w:w="654" w:type="dxa"/>
            <w:gridSpan w:val="2"/>
            <w:tcBorders>
              <w:top w:val="nil"/>
              <w:left w:val="nil"/>
              <w:bottom w:val="single" w:sz="4" w:space="0" w:color="auto"/>
              <w:right w:val="nil"/>
            </w:tcBorders>
            <w:shd w:val="clear" w:color="auto" w:fill="auto"/>
            <w:noWrap/>
            <w:vAlign w:val="bottom"/>
            <w:hideMark/>
          </w:tcPr>
          <w:p w:rsidR="00A659F9" w:rsidRPr="00F3539B" w:rsidRDefault="00A659F9" w:rsidP="00A659F9">
            <w:pPr>
              <w:rPr>
                <w:rFonts w:ascii="Times New Roman CE" w:hAnsi="Times New Roman CE" w:cs="Times New Roman CE"/>
              </w:rPr>
            </w:pPr>
            <w:r w:rsidRPr="00F3539B">
              <w:rPr>
                <w:rFonts w:ascii="Times New Roman CE" w:hAnsi="Times New Roman CE" w:cs="Times New Roman CE"/>
              </w:rPr>
              <w:t> </w:t>
            </w:r>
          </w:p>
        </w:tc>
        <w:tc>
          <w:tcPr>
            <w:tcW w:w="1196" w:type="dxa"/>
            <w:gridSpan w:val="2"/>
            <w:tcBorders>
              <w:top w:val="nil"/>
              <w:left w:val="nil"/>
              <w:bottom w:val="single" w:sz="4" w:space="0" w:color="auto"/>
              <w:right w:val="nil"/>
            </w:tcBorders>
            <w:shd w:val="clear" w:color="auto" w:fill="auto"/>
            <w:noWrap/>
            <w:vAlign w:val="bottom"/>
            <w:hideMark/>
          </w:tcPr>
          <w:p w:rsidR="00A659F9" w:rsidRPr="00F3539B" w:rsidRDefault="00A659F9" w:rsidP="00A659F9">
            <w:pPr>
              <w:rPr>
                <w:rFonts w:ascii="Times New Roman CE" w:hAnsi="Times New Roman CE" w:cs="Times New Roman CE"/>
              </w:rPr>
            </w:pPr>
            <w:r w:rsidRPr="00F3539B">
              <w:rPr>
                <w:rFonts w:ascii="Times New Roman CE" w:hAnsi="Times New Roman CE" w:cs="Times New Roman CE"/>
              </w:rPr>
              <w:t> </w:t>
            </w:r>
          </w:p>
        </w:tc>
        <w:tc>
          <w:tcPr>
            <w:tcW w:w="654" w:type="dxa"/>
            <w:gridSpan w:val="2"/>
            <w:tcBorders>
              <w:top w:val="nil"/>
              <w:left w:val="nil"/>
              <w:bottom w:val="single" w:sz="4" w:space="0" w:color="auto"/>
              <w:right w:val="nil"/>
            </w:tcBorders>
            <w:shd w:val="clear" w:color="auto" w:fill="auto"/>
            <w:noWrap/>
            <w:vAlign w:val="bottom"/>
            <w:hideMark/>
          </w:tcPr>
          <w:p w:rsidR="00A659F9" w:rsidRPr="00F3539B" w:rsidRDefault="00A659F9" w:rsidP="00A659F9">
            <w:pPr>
              <w:rPr>
                <w:rFonts w:ascii="Times New Roman CE" w:hAnsi="Times New Roman CE" w:cs="Times New Roman CE"/>
              </w:rPr>
            </w:pPr>
            <w:r w:rsidRPr="00F3539B">
              <w:rPr>
                <w:rFonts w:ascii="Times New Roman CE" w:hAnsi="Times New Roman CE" w:cs="Times New Roman CE"/>
              </w:rPr>
              <w:t> </w:t>
            </w:r>
          </w:p>
        </w:tc>
        <w:tc>
          <w:tcPr>
            <w:tcW w:w="1196" w:type="dxa"/>
            <w:gridSpan w:val="3"/>
            <w:tcBorders>
              <w:top w:val="nil"/>
              <w:left w:val="nil"/>
              <w:bottom w:val="single" w:sz="4" w:space="0" w:color="auto"/>
              <w:right w:val="nil"/>
            </w:tcBorders>
            <w:shd w:val="clear" w:color="auto" w:fill="auto"/>
            <w:noWrap/>
            <w:vAlign w:val="bottom"/>
            <w:hideMark/>
          </w:tcPr>
          <w:p w:rsidR="00A659F9" w:rsidRPr="00F3539B" w:rsidRDefault="00A659F9" w:rsidP="00A659F9">
            <w:pPr>
              <w:jc w:val="right"/>
              <w:rPr>
                <w:rFonts w:ascii="Times New Roman CE" w:hAnsi="Times New Roman CE" w:cs="Times New Roman CE"/>
              </w:rPr>
            </w:pPr>
            <w:r w:rsidRPr="00F3539B">
              <w:rPr>
                <w:rFonts w:ascii="Times New Roman CE" w:hAnsi="Times New Roman CE" w:cs="Times New Roman CE"/>
              </w:rPr>
              <w:t> </w:t>
            </w:r>
          </w:p>
        </w:tc>
        <w:tc>
          <w:tcPr>
            <w:tcW w:w="654" w:type="dxa"/>
            <w:tcBorders>
              <w:top w:val="nil"/>
              <w:left w:val="nil"/>
              <w:bottom w:val="nil"/>
              <w:right w:val="nil"/>
            </w:tcBorders>
            <w:shd w:val="clear" w:color="auto" w:fill="auto"/>
            <w:noWrap/>
            <w:vAlign w:val="bottom"/>
            <w:hideMark/>
          </w:tcPr>
          <w:p w:rsidR="00A659F9" w:rsidRPr="00F3539B" w:rsidRDefault="00A659F9" w:rsidP="00A659F9">
            <w:pPr>
              <w:jc w:val="right"/>
              <w:rPr>
                <w:rFonts w:ascii="Times New Roman CE" w:hAnsi="Times New Roman CE" w:cs="Times New Roman CE"/>
              </w:rPr>
            </w:pPr>
          </w:p>
        </w:tc>
        <w:tc>
          <w:tcPr>
            <w:tcW w:w="1476" w:type="dxa"/>
            <w:gridSpan w:val="2"/>
            <w:tcBorders>
              <w:top w:val="nil"/>
              <w:left w:val="nil"/>
              <w:bottom w:val="nil"/>
              <w:right w:val="nil"/>
            </w:tcBorders>
            <w:shd w:val="clear" w:color="auto" w:fill="auto"/>
            <w:noWrap/>
            <w:vAlign w:val="bottom"/>
            <w:hideMark/>
          </w:tcPr>
          <w:p w:rsidR="00A659F9" w:rsidRPr="00F3539B" w:rsidRDefault="00A659F9" w:rsidP="00A659F9"/>
        </w:tc>
        <w:tc>
          <w:tcPr>
            <w:tcW w:w="1399" w:type="dxa"/>
            <w:gridSpan w:val="2"/>
            <w:tcBorders>
              <w:top w:val="nil"/>
              <w:left w:val="nil"/>
              <w:bottom w:val="single" w:sz="4" w:space="0" w:color="auto"/>
              <w:right w:val="nil"/>
            </w:tcBorders>
            <w:shd w:val="clear" w:color="auto" w:fill="auto"/>
            <w:noWrap/>
            <w:vAlign w:val="bottom"/>
            <w:hideMark/>
          </w:tcPr>
          <w:p w:rsidR="00A659F9" w:rsidRPr="00F3539B" w:rsidRDefault="00A659F9" w:rsidP="00A659F9">
            <w:pPr>
              <w:jc w:val="right"/>
              <w:rPr>
                <w:rFonts w:ascii="Times New Roman CE" w:hAnsi="Times New Roman CE" w:cs="Times New Roman CE"/>
                <w:i/>
                <w:iCs/>
              </w:rPr>
            </w:pPr>
            <w:proofErr w:type="spellStart"/>
            <w:r w:rsidRPr="00F3539B">
              <w:rPr>
                <w:rFonts w:ascii="Times New Roman CE" w:hAnsi="Times New Roman CE" w:cs="Times New Roman CE"/>
                <w:i/>
                <w:iCs/>
              </w:rPr>
              <w:t>eFt</w:t>
            </w:r>
            <w:proofErr w:type="spellEnd"/>
          </w:p>
        </w:tc>
      </w:tr>
      <w:tr w:rsidR="00A659F9" w:rsidRPr="00F3539B" w:rsidTr="00F3539B">
        <w:trPr>
          <w:gridAfter w:val="1"/>
          <w:wAfter w:w="973" w:type="dxa"/>
          <w:trHeight w:val="349"/>
        </w:trPr>
        <w:tc>
          <w:tcPr>
            <w:tcW w:w="1436" w:type="dxa"/>
            <w:tcBorders>
              <w:top w:val="nil"/>
              <w:left w:val="nil"/>
              <w:bottom w:val="single" w:sz="4" w:space="0" w:color="auto"/>
              <w:right w:val="nil"/>
            </w:tcBorders>
            <w:shd w:val="clear" w:color="auto" w:fill="auto"/>
            <w:noWrap/>
            <w:vAlign w:val="center"/>
            <w:hideMark/>
          </w:tcPr>
          <w:p w:rsidR="00A659F9" w:rsidRPr="00F3539B" w:rsidRDefault="00A659F9" w:rsidP="00A659F9">
            <w:pPr>
              <w:rPr>
                <w:rFonts w:ascii="Times New Roman CE" w:hAnsi="Times New Roman CE" w:cs="Times New Roman CE"/>
                <w:i/>
                <w:iCs/>
              </w:rPr>
            </w:pPr>
            <w:r w:rsidRPr="00F3539B">
              <w:rPr>
                <w:rFonts w:ascii="Times New Roman CE" w:hAnsi="Times New Roman CE" w:cs="Times New Roman CE"/>
                <w:i/>
                <w:iCs/>
              </w:rPr>
              <w:t>Lejárat ideje</w:t>
            </w:r>
          </w:p>
        </w:tc>
        <w:tc>
          <w:tcPr>
            <w:tcW w:w="1628" w:type="dxa"/>
            <w:gridSpan w:val="3"/>
            <w:tcBorders>
              <w:top w:val="single" w:sz="4" w:space="0" w:color="auto"/>
              <w:left w:val="nil"/>
              <w:bottom w:val="single" w:sz="4" w:space="0" w:color="auto"/>
              <w:right w:val="nil"/>
            </w:tcBorders>
            <w:shd w:val="clear" w:color="auto" w:fill="auto"/>
            <w:noWrap/>
            <w:vAlign w:val="center"/>
            <w:hideMark/>
          </w:tcPr>
          <w:p w:rsidR="00A659F9" w:rsidRPr="00F3539B" w:rsidRDefault="00A659F9" w:rsidP="00A659F9">
            <w:pPr>
              <w:jc w:val="center"/>
              <w:rPr>
                <w:rFonts w:ascii="Times New Roman CE" w:hAnsi="Times New Roman CE" w:cs="Times New Roman CE"/>
                <w:i/>
                <w:iCs/>
              </w:rPr>
            </w:pPr>
            <w:r w:rsidRPr="00F3539B">
              <w:rPr>
                <w:rFonts w:ascii="Times New Roman CE" w:hAnsi="Times New Roman CE" w:cs="Times New Roman CE"/>
                <w:i/>
                <w:iCs/>
              </w:rPr>
              <w:t>2016. jún. 30.</w:t>
            </w:r>
          </w:p>
        </w:tc>
        <w:tc>
          <w:tcPr>
            <w:tcW w:w="2181" w:type="dxa"/>
            <w:gridSpan w:val="5"/>
            <w:tcBorders>
              <w:top w:val="single" w:sz="4" w:space="0" w:color="auto"/>
              <w:left w:val="nil"/>
              <w:bottom w:val="single" w:sz="4" w:space="0" w:color="auto"/>
              <w:right w:val="nil"/>
            </w:tcBorders>
            <w:shd w:val="clear" w:color="auto" w:fill="auto"/>
            <w:noWrap/>
            <w:vAlign w:val="center"/>
            <w:hideMark/>
          </w:tcPr>
          <w:p w:rsidR="00A659F9" w:rsidRPr="00F3539B" w:rsidRDefault="00A659F9" w:rsidP="00A659F9">
            <w:pPr>
              <w:jc w:val="center"/>
              <w:rPr>
                <w:rFonts w:ascii="Times New Roman CE" w:hAnsi="Times New Roman CE" w:cs="Times New Roman CE"/>
                <w:i/>
                <w:iCs/>
              </w:rPr>
            </w:pPr>
            <w:r w:rsidRPr="00F3539B">
              <w:rPr>
                <w:rFonts w:ascii="Times New Roman CE" w:hAnsi="Times New Roman CE" w:cs="Times New Roman CE"/>
                <w:i/>
                <w:iCs/>
              </w:rPr>
              <w:t>2016. dec. 31.</w:t>
            </w:r>
          </w:p>
        </w:tc>
        <w:tc>
          <w:tcPr>
            <w:tcW w:w="1519" w:type="dxa"/>
            <w:gridSpan w:val="3"/>
            <w:tcBorders>
              <w:top w:val="single" w:sz="4" w:space="0" w:color="auto"/>
              <w:left w:val="nil"/>
              <w:bottom w:val="single" w:sz="4" w:space="0" w:color="auto"/>
              <w:right w:val="nil"/>
            </w:tcBorders>
            <w:shd w:val="clear" w:color="auto" w:fill="auto"/>
            <w:noWrap/>
            <w:vAlign w:val="center"/>
            <w:hideMark/>
          </w:tcPr>
          <w:p w:rsidR="00A659F9" w:rsidRPr="00F3539B" w:rsidRDefault="00A659F9" w:rsidP="00A659F9">
            <w:pPr>
              <w:jc w:val="center"/>
              <w:rPr>
                <w:rFonts w:ascii="Times New Roman CE" w:hAnsi="Times New Roman CE" w:cs="Times New Roman CE"/>
                <w:i/>
                <w:iCs/>
              </w:rPr>
            </w:pPr>
            <w:r w:rsidRPr="00F3539B">
              <w:rPr>
                <w:rFonts w:ascii="Times New Roman CE" w:hAnsi="Times New Roman CE" w:cs="Times New Roman CE"/>
                <w:i/>
                <w:iCs/>
              </w:rPr>
              <w:t>2017. jún. 30.</w:t>
            </w:r>
          </w:p>
        </w:tc>
        <w:tc>
          <w:tcPr>
            <w:tcW w:w="1476" w:type="dxa"/>
            <w:gridSpan w:val="2"/>
            <w:tcBorders>
              <w:top w:val="single" w:sz="4" w:space="0" w:color="auto"/>
              <w:left w:val="nil"/>
              <w:bottom w:val="single" w:sz="4" w:space="0" w:color="auto"/>
              <w:right w:val="nil"/>
            </w:tcBorders>
            <w:shd w:val="clear" w:color="auto" w:fill="auto"/>
            <w:vAlign w:val="bottom"/>
            <w:hideMark/>
          </w:tcPr>
          <w:p w:rsidR="00A659F9" w:rsidRPr="00F3539B" w:rsidRDefault="00A659F9" w:rsidP="00A659F9">
            <w:pPr>
              <w:jc w:val="center"/>
              <w:rPr>
                <w:rFonts w:ascii="Times New Roman CE" w:hAnsi="Times New Roman CE" w:cs="Times New Roman CE"/>
                <w:i/>
                <w:iCs/>
              </w:rPr>
            </w:pPr>
            <w:r w:rsidRPr="00F3539B">
              <w:rPr>
                <w:rFonts w:ascii="Times New Roman CE" w:hAnsi="Times New Roman CE" w:cs="Times New Roman CE"/>
                <w:i/>
                <w:iCs/>
              </w:rPr>
              <w:t>2017. jún.30/</w:t>
            </w:r>
            <w:r w:rsidRPr="00F3539B">
              <w:rPr>
                <w:rFonts w:ascii="Times New Roman CE" w:hAnsi="Times New Roman CE" w:cs="Times New Roman CE"/>
                <w:i/>
                <w:iCs/>
              </w:rPr>
              <w:br/>
              <w:t>2016. jún.30.</w:t>
            </w:r>
          </w:p>
        </w:tc>
        <w:tc>
          <w:tcPr>
            <w:tcW w:w="1399" w:type="dxa"/>
            <w:gridSpan w:val="2"/>
            <w:tcBorders>
              <w:top w:val="nil"/>
              <w:left w:val="nil"/>
              <w:bottom w:val="single" w:sz="4" w:space="0" w:color="auto"/>
              <w:right w:val="nil"/>
            </w:tcBorders>
            <w:shd w:val="clear" w:color="auto" w:fill="auto"/>
            <w:vAlign w:val="bottom"/>
            <w:hideMark/>
          </w:tcPr>
          <w:p w:rsidR="00A659F9" w:rsidRPr="00F3539B" w:rsidRDefault="00A659F9" w:rsidP="00A659F9">
            <w:pPr>
              <w:jc w:val="center"/>
              <w:rPr>
                <w:rFonts w:ascii="Times New Roman CE" w:hAnsi="Times New Roman CE" w:cs="Times New Roman CE"/>
                <w:i/>
                <w:iCs/>
              </w:rPr>
            </w:pPr>
            <w:r w:rsidRPr="00F3539B">
              <w:rPr>
                <w:rFonts w:ascii="Times New Roman CE" w:hAnsi="Times New Roman CE" w:cs="Times New Roman CE"/>
                <w:i/>
                <w:iCs/>
              </w:rPr>
              <w:t>2017. jún.30/</w:t>
            </w:r>
            <w:r w:rsidRPr="00F3539B">
              <w:rPr>
                <w:rFonts w:ascii="Times New Roman CE" w:hAnsi="Times New Roman CE" w:cs="Times New Roman CE"/>
                <w:i/>
                <w:iCs/>
              </w:rPr>
              <w:br/>
              <w:t>2016. dec. 31.</w:t>
            </w:r>
          </w:p>
        </w:tc>
      </w:tr>
      <w:tr w:rsidR="00A659F9" w:rsidRPr="00883EC9" w:rsidTr="00675ABD">
        <w:trPr>
          <w:gridAfter w:val="1"/>
          <w:wAfter w:w="973" w:type="dxa"/>
          <w:trHeight w:val="208"/>
        </w:trPr>
        <w:tc>
          <w:tcPr>
            <w:tcW w:w="1436" w:type="dxa"/>
            <w:tcBorders>
              <w:top w:val="nil"/>
              <w:left w:val="nil"/>
              <w:bottom w:val="nil"/>
              <w:right w:val="nil"/>
            </w:tcBorders>
            <w:shd w:val="clear" w:color="auto" w:fill="auto"/>
            <w:noWrap/>
            <w:vAlign w:val="bottom"/>
            <w:hideMark/>
          </w:tcPr>
          <w:p w:rsidR="00A659F9" w:rsidRPr="00883EC9" w:rsidRDefault="00A659F9" w:rsidP="00A659F9">
            <w:pPr>
              <w:rPr>
                <w:rFonts w:ascii="Times New Roman CE" w:hAnsi="Times New Roman CE" w:cs="Times New Roman CE"/>
                <w:sz w:val="21"/>
                <w:szCs w:val="21"/>
              </w:rPr>
            </w:pPr>
            <w:r w:rsidRPr="00883EC9">
              <w:rPr>
                <w:rFonts w:ascii="Times New Roman CE" w:hAnsi="Times New Roman CE" w:cs="Times New Roman CE"/>
                <w:sz w:val="21"/>
                <w:szCs w:val="21"/>
              </w:rPr>
              <w:t>31-90 nap</w:t>
            </w:r>
          </w:p>
        </w:tc>
        <w:tc>
          <w:tcPr>
            <w:tcW w:w="974" w:type="dxa"/>
            <w:tcBorders>
              <w:top w:val="nil"/>
              <w:left w:val="nil"/>
              <w:bottom w:val="nil"/>
              <w:right w:val="nil"/>
            </w:tcBorders>
            <w:shd w:val="clear" w:color="auto" w:fill="auto"/>
            <w:noWrap/>
            <w:vAlign w:val="bottom"/>
            <w:hideMark/>
          </w:tcPr>
          <w:p w:rsidR="00A659F9" w:rsidRPr="00883EC9" w:rsidRDefault="00A659F9" w:rsidP="00A659F9">
            <w:pPr>
              <w:jc w:val="right"/>
              <w:rPr>
                <w:rFonts w:ascii="Times New Roman CE" w:hAnsi="Times New Roman CE" w:cs="Times New Roman CE"/>
                <w:sz w:val="21"/>
                <w:szCs w:val="21"/>
              </w:rPr>
            </w:pPr>
            <w:r w:rsidRPr="00883EC9">
              <w:rPr>
                <w:rFonts w:ascii="Times New Roman CE" w:hAnsi="Times New Roman CE" w:cs="Times New Roman CE"/>
                <w:sz w:val="21"/>
                <w:szCs w:val="21"/>
              </w:rPr>
              <w:t>30 643</w:t>
            </w:r>
          </w:p>
        </w:tc>
        <w:tc>
          <w:tcPr>
            <w:tcW w:w="654" w:type="dxa"/>
            <w:gridSpan w:val="2"/>
            <w:tcBorders>
              <w:top w:val="nil"/>
              <w:left w:val="nil"/>
              <w:bottom w:val="nil"/>
              <w:right w:val="nil"/>
            </w:tcBorders>
            <w:shd w:val="clear" w:color="auto" w:fill="auto"/>
            <w:noWrap/>
            <w:vAlign w:val="bottom"/>
            <w:hideMark/>
          </w:tcPr>
          <w:p w:rsidR="00A659F9" w:rsidRPr="00883EC9" w:rsidRDefault="00A659F9" w:rsidP="00A659F9">
            <w:pPr>
              <w:jc w:val="right"/>
              <w:rPr>
                <w:rFonts w:ascii="Times New Roman CE" w:hAnsi="Times New Roman CE" w:cs="Times New Roman CE"/>
                <w:sz w:val="21"/>
                <w:szCs w:val="21"/>
              </w:rPr>
            </w:pPr>
            <w:r w:rsidRPr="00883EC9">
              <w:rPr>
                <w:rFonts w:ascii="Times New Roman CE" w:hAnsi="Times New Roman CE" w:cs="Times New Roman CE"/>
                <w:sz w:val="21"/>
                <w:szCs w:val="21"/>
              </w:rPr>
              <w:t>8%</w:t>
            </w:r>
          </w:p>
        </w:tc>
        <w:tc>
          <w:tcPr>
            <w:tcW w:w="1196" w:type="dxa"/>
            <w:gridSpan w:val="2"/>
            <w:tcBorders>
              <w:top w:val="nil"/>
              <w:left w:val="nil"/>
              <w:bottom w:val="nil"/>
              <w:right w:val="nil"/>
            </w:tcBorders>
            <w:shd w:val="clear" w:color="auto" w:fill="auto"/>
            <w:noWrap/>
            <w:vAlign w:val="bottom"/>
            <w:hideMark/>
          </w:tcPr>
          <w:p w:rsidR="00A659F9" w:rsidRPr="00883EC9" w:rsidRDefault="00A659F9" w:rsidP="00A659F9">
            <w:pPr>
              <w:jc w:val="right"/>
              <w:rPr>
                <w:sz w:val="21"/>
                <w:szCs w:val="21"/>
              </w:rPr>
            </w:pPr>
            <w:r w:rsidRPr="00883EC9">
              <w:rPr>
                <w:sz w:val="21"/>
                <w:szCs w:val="21"/>
              </w:rPr>
              <w:t>42 130</w:t>
            </w:r>
          </w:p>
        </w:tc>
        <w:tc>
          <w:tcPr>
            <w:tcW w:w="654" w:type="dxa"/>
            <w:gridSpan w:val="2"/>
            <w:tcBorders>
              <w:top w:val="nil"/>
              <w:left w:val="nil"/>
              <w:bottom w:val="nil"/>
              <w:right w:val="nil"/>
            </w:tcBorders>
            <w:shd w:val="clear" w:color="auto" w:fill="auto"/>
            <w:noWrap/>
            <w:vAlign w:val="bottom"/>
            <w:hideMark/>
          </w:tcPr>
          <w:p w:rsidR="00A659F9" w:rsidRPr="00883EC9" w:rsidRDefault="00A659F9" w:rsidP="00A659F9">
            <w:pPr>
              <w:jc w:val="right"/>
              <w:rPr>
                <w:rFonts w:ascii="Times New Roman CE" w:hAnsi="Times New Roman CE" w:cs="Times New Roman CE"/>
                <w:sz w:val="21"/>
                <w:szCs w:val="21"/>
              </w:rPr>
            </w:pPr>
            <w:r w:rsidRPr="00883EC9">
              <w:rPr>
                <w:rFonts w:ascii="Times New Roman CE" w:hAnsi="Times New Roman CE" w:cs="Times New Roman CE"/>
                <w:sz w:val="21"/>
                <w:szCs w:val="21"/>
              </w:rPr>
              <w:t>13%</w:t>
            </w:r>
          </w:p>
        </w:tc>
        <w:tc>
          <w:tcPr>
            <w:tcW w:w="1196" w:type="dxa"/>
            <w:gridSpan w:val="3"/>
            <w:tcBorders>
              <w:top w:val="nil"/>
              <w:left w:val="nil"/>
              <w:bottom w:val="nil"/>
              <w:right w:val="nil"/>
            </w:tcBorders>
            <w:shd w:val="clear" w:color="auto" w:fill="auto"/>
            <w:noWrap/>
            <w:vAlign w:val="bottom"/>
            <w:hideMark/>
          </w:tcPr>
          <w:p w:rsidR="00A659F9" w:rsidRPr="00883EC9" w:rsidRDefault="00A659F9" w:rsidP="00A659F9">
            <w:pPr>
              <w:jc w:val="right"/>
              <w:rPr>
                <w:sz w:val="21"/>
                <w:szCs w:val="21"/>
              </w:rPr>
            </w:pPr>
            <w:r w:rsidRPr="00883EC9">
              <w:rPr>
                <w:sz w:val="21"/>
                <w:szCs w:val="21"/>
              </w:rPr>
              <w:t>32 004</w:t>
            </w:r>
          </w:p>
        </w:tc>
        <w:tc>
          <w:tcPr>
            <w:tcW w:w="654" w:type="dxa"/>
            <w:tcBorders>
              <w:top w:val="nil"/>
              <w:left w:val="nil"/>
              <w:bottom w:val="nil"/>
              <w:right w:val="nil"/>
            </w:tcBorders>
            <w:shd w:val="clear" w:color="auto" w:fill="auto"/>
            <w:noWrap/>
            <w:vAlign w:val="bottom"/>
            <w:hideMark/>
          </w:tcPr>
          <w:p w:rsidR="00A659F9" w:rsidRPr="00883EC9" w:rsidRDefault="00A659F9" w:rsidP="00A659F9">
            <w:pPr>
              <w:jc w:val="right"/>
              <w:rPr>
                <w:rFonts w:ascii="Times New Roman CE" w:hAnsi="Times New Roman CE" w:cs="Times New Roman CE"/>
                <w:sz w:val="21"/>
                <w:szCs w:val="21"/>
              </w:rPr>
            </w:pPr>
            <w:r w:rsidRPr="00883EC9">
              <w:rPr>
                <w:rFonts w:ascii="Times New Roman CE" w:hAnsi="Times New Roman CE" w:cs="Times New Roman CE"/>
                <w:sz w:val="21"/>
                <w:szCs w:val="21"/>
              </w:rPr>
              <w:t>9%</w:t>
            </w:r>
          </w:p>
        </w:tc>
        <w:tc>
          <w:tcPr>
            <w:tcW w:w="1476" w:type="dxa"/>
            <w:gridSpan w:val="2"/>
            <w:tcBorders>
              <w:top w:val="nil"/>
              <w:left w:val="nil"/>
              <w:bottom w:val="nil"/>
              <w:right w:val="nil"/>
            </w:tcBorders>
            <w:shd w:val="clear" w:color="auto" w:fill="auto"/>
            <w:noWrap/>
            <w:vAlign w:val="bottom"/>
            <w:hideMark/>
          </w:tcPr>
          <w:p w:rsidR="00A659F9" w:rsidRPr="00883EC9" w:rsidRDefault="00A659F9" w:rsidP="00A659F9">
            <w:pPr>
              <w:jc w:val="center"/>
              <w:rPr>
                <w:rFonts w:ascii="Times New Roman CE" w:hAnsi="Times New Roman CE" w:cs="Times New Roman CE"/>
                <w:sz w:val="21"/>
                <w:szCs w:val="21"/>
              </w:rPr>
            </w:pPr>
            <w:r w:rsidRPr="00883EC9">
              <w:rPr>
                <w:rFonts w:ascii="Times New Roman CE" w:hAnsi="Times New Roman CE" w:cs="Times New Roman CE"/>
                <w:sz w:val="21"/>
                <w:szCs w:val="21"/>
              </w:rPr>
              <w:t>104,4%</w:t>
            </w:r>
          </w:p>
        </w:tc>
        <w:tc>
          <w:tcPr>
            <w:tcW w:w="1399" w:type="dxa"/>
            <w:gridSpan w:val="2"/>
            <w:tcBorders>
              <w:top w:val="nil"/>
              <w:left w:val="nil"/>
              <w:bottom w:val="nil"/>
              <w:right w:val="nil"/>
            </w:tcBorders>
            <w:shd w:val="clear" w:color="auto" w:fill="auto"/>
            <w:noWrap/>
            <w:vAlign w:val="bottom"/>
            <w:hideMark/>
          </w:tcPr>
          <w:p w:rsidR="00A659F9" w:rsidRPr="00883EC9" w:rsidRDefault="00A659F9" w:rsidP="00A659F9">
            <w:pPr>
              <w:jc w:val="center"/>
              <w:rPr>
                <w:rFonts w:ascii="Times New Roman CE" w:hAnsi="Times New Roman CE" w:cs="Times New Roman CE"/>
                <w:sz w:val="21"/>
                <w:szCs w:val="21"/>
              </w:rPr>
            </w:pPr>
            <w:r w:rsidRPr="00883EC9">
              <w:rPr>
                <w:rFonts w:ascii="Times New Roman CE" w:hAnsi="Times New Roman CE" w:cs="Times New Roman CE"/>
                <w:sz w:val="21"/>
                <w:szCs w:val="21"/>
              </w:rPr>
              <w:t>76,0%</w:t>
            </w:r>
          </w:p>
        </w:tc>
      </w:tr>
      <w:tr w:rsidR="00A659F9" w:rsidRPr="00883EC9" w:rsidTr="00675ABD">
        <w:trPr>
          <w:gridAfter w:val="1"/>
          <w:wAfter w:w="973" w:type="dxa"/>
          <w:trHeight w:val="107"/>
        </w:trPr>
        <w:tc>
          <w:tcPr>
            <w:tcW w:w="1436" w:type="dxa"/>
            <w:tcBorders>
              <w:top w:val="nil"/>
              <w:left w:val="nil"/>
              <w:bottom w:val="nil"/>
              <w:right w:val="nil"/>
            </w:tcBorders>
            <w:shd w:val="clear" w:color="auto" w:fill="auto"/>
            <w:noWrap/>
            <w:vAlign w:val="bottom"/>
            <w:hideMark/>
          </w:tcPr>
          <w:p w:rsidR="00A659F9" w:rsidRPr="00883EC9" w:rsidRDefault="00A659F9" w:rsidP="00A659F9">
            <w:pPr>
              <w:rPr>
                <w:rFonts w:ascii="Times New Roman CE" w:hAnsi="Times New Roman CE" w:cs="Times New Roman CE"/>
                <w:sz w:val="21"/>
                <w:szCs w:val="21"/>
              </w:rPr>
            </w:pPr>
            <w:r w:rsidRPr="00883EC9">
              <w:rPr>
                <w:rFonts w:ascii="Times New Roman CE" w:hAnsi="Times New Roman CE" w:cs="Times New Roman CE"/>
                <w:sz w:val="21"/>
                <w:szCs w:val="21"/>
              </w:rPr>
              <w:t>91-180 nap</w:t>
            </w:r>
          </w:p>
        </w:tc>
        <w:tc>
          <w:tcPr>
            <w:tcW w:w="974" w:type="dxa"/>
            <w:tcBorders>
              <w:top w:val="nil"/>
              <w:left w:val="nil"/>
              <w:bottom w:val="nil"/>
              <w:right w:val="nil"/>
            </w:tcBorders>
            <w:shd w:val="clear" w:color="auto" w:fill="auto"/>
            <w:noWrap/>
            <w:vAlign w:val="bottom"/>
            <w:hideMark/>
          </w:tcPr>
          <w:p w:rsidR="00A659F9" w:rsidRPr="00883EC9" w:rsidRDefault="00A659F9" w:rsidP="00A659F9">
            <w:pPr>
              <w:jc w:val="right"/>
              <w:rPr>
                <w:rFonts w:ascii="Times New Roman CE" w:hAnsi="Times New Roman CE" w:cs="Times New Roman CE"/>
                <w:sz w:val="21"/>
                <w:szCs w:val="21"/>
              </w:rPr>
            </w:pPr>
            <w:r w:rsidRPr="00883EC9">
              <w:rPr>
                <w:rFonts w:ascii="Times New Roman CE" w:hAnsi="Times New Roman CE" w:cs="Times New Roman CE"/>
                <w:sz w:val="21"/>
                <w:szCs w:val="21"/>
              </w:rPr>
              <w:t>48 568</w:t>
            </w:r>
          </w:p>
        </w:tc>
        <w:tc>
          <w:tcPr>
            <w:tcW w:w="654" w:type="dxa"/>
            <w:gridSpan w:val="2"/>
            <w:tcBorders>
              <w:top w:val="nil"/>
              <w:left w:val="nil"/>
              <w:bottom w:val="nil"/>
              <w:right w:val="nil"/>
            </w:tcBorders>
            <w:shd w:val="clear" w:color="auto" w:fill="auto"/>
            <w:noWrap/>
            <w:vAlign w:val="bottom"/>
            <w:hideMark/>
          </w:tcPr>
          <w:p w:rsidR="00A659F9" w:rsidRPr="00883EC9" w:rsidRDefault="00A659F9" w:rsidP="00A659F9">
            <w:pPr>
              <w:jc w:val="right"/>
              <w:rPr>
                <w:rFonts w:ascii="Times New Roman CE" w:hAnsi="Times New Roman CE" w:cs="Times New Roman CE"/>
                <w:sz w:val="21"/>
                <w:szCs w:val="21"/>
              </w:rPr>
            </w:pPr>
            <w:r w:rsidRPr="00883EC9">
              <w:rPr>
                <w:rFonts w:ascii="Times New Roman CE" w:hAnsi="Times New Roman CE" w:cs="Times New Roman CE"/>
                <w:sz w:val="21"/>
                <w:szCs w:val="21"/>
              </w:rPr>
              <w:t>13%</w:t>
            </w:r>
          </w:p>
        </w:tc>
        <w:tc>
          <w:tcPr>
            <w:tcW w:w="1196" w:type="dxa"/>
            <w:gridSpan w:val="2"/>
            <w:tcBorders>
              <w:top w:val="nil"/>
              <w:left w:val="nil"/>
              <w:bottom w:val="nil"/>
              <w:right w:val="nil"/>
            </w:tcBorders>
            <w:shd w:val="clear" w:color="auto" w:fill="auto"/>
            <w:noWrap/>
            <w:vAlign w:val="bottom"/>
            <w:hideMark/>
          </w:tcPr>
          <w:p w:rsidR="00A659F9" w:rsidRPr="00883EC9" w:rsidRDefault="00A659F9" w:rsidP="00A659F9">
            <w:pPr>
              <w:jc w:val="right"/>
              <w:rPr>
                <w:sz w:val="21"/>
                <w:szCs w:val="21"/>
              </w:rPr>
            </w:pPr>
            <w:r w:rsidRPr="00883EC9">
              <w:rPr>
                <w:sz w:val="21"/>
                <w:szCs w:val="21"/>
              </w:rPr>
              <w:t>36 108</w:t>
            </w:r>
          </w:p>
        </w:tc>
        <w:tc>
          <w:tcPr>
            <w:tcW w:w="654" w:type="dxa"/>
            <w:gridSpan w:val="2"/>
            <w:tcBorders>
              <w:top w:val="nil"/>
              <w:left w:val="nil"/>
              <w:bottom w:val="nil"/>
              <w:right w:val="nil"/>
            </w:tcBorders>
            <w:shd w:val="clear" w:color="auto" w:fill="auto"/>
            <w:noWrap/>
            <w:vAlign w:val="bottom"/>
            <w:hideMark/>
          </w:tcPr>
          <w:p w:rsidR="00A659F9" w:rsidRPr="00883EC9" w:rsidRDefault="00A659F9" w:rsidP="00A659F9">
            <w:pPr>
              <w:jc w:val="right"/>
              <w:rPr>
                <w:rFonts w:ascii="Times New Roman CE" w:hAnsi="Times New Roman CE" w:cs="Times New Roman CE"/>
                <w:sz w:val="21"/>
                <w:szCs w:val="21"/>
              </w:rPr>
            </w:pPr>
            <w:r w:rsidRPr="00883EC9">
              <w:rPr>
                <w:rFonts w:ascii="Times New Roman CE" w:hAnsi="Times New Roman CE" w:cs="Times New Roman CE"/>
                <w:sz w:val="21"/>
                <w:szCs w:val="21"/>
              </w:rPr>
              <w:t>11%</w:t>
            </w:r>
          </w:p>
        </w:tc>
        <w:tc>
          <w:tcPr>
            <w:tcW w:w="1196" w:type="dxa"/>
            <w:gridSpan w:val="3"/>
            <w:tcBorders>
              <w:top w:val="nil"/>
              <w:left w:val="nil"/>
              <w:bottom w:val="nil"/>
              <w:right w:val="nil"/>
            </w:tcBorders>
            <w:shd w:val="clear" w:color="auto" w:fill="auto"/>
            <w:noWrap/>
            <w:vAlign w:val="bottom"/>
            <w:hideMark/>
          </w:tcPr>
          <w:p w:rsidR="00A659F9" w:rsidRPr="00883EC9" w:rsidRDefault="00A659F9" w:rsidP="00A659F9">
            <w:pPr>
              <w:jc w:val="right"/>
              <w:rPr>
                <w:sz w:val="21"/>
                <w:szCs w:val="21"/>
              </w:rPr>
            </w:pPr>
            <w:r w:rsidRPr="00883EC9">
              <w:rPr>
                <w:sz w:val="21"/>
                <w:szCs w:val="21"/>
              </w:rPr>
              <w:t>60 178</w:t>
            </w:r>
          </w:p>
        </w:tc>
        <w:tc>
          <w:tcPr>
            <w:tcW w:w="654" w:type="dxa"/>
            <w:tcBorders>
              <w:top w:val="nil"/>
              <w:left w:val="nil"/>
              <w:bottom w:val="nil"/>
              <w:right w:val="nil"/>
            </w:tcBorders>
            <w:shd w:val="clear" w:color="auto" w:fill="auto"/>
            <w:noWrap/>
            <w:vAlign w:val="bottom"/>
            <w:hideMark/>
          </w:tcPr>
          <w:p w:rsidR="00A659F9" w:rsidRPr="00883EC9" w:rsidRDefault="00A659F9" w:rsidP="00A659F9">
            <w:pPr>
              <w:jc w:val="right"/>
              <w:rPr>
                <w:rFonts w:ascii="Times New Roman CE" w:hAnsi="Times New Roman CE" w:cs="Times New Roman CE"/>
                <w:sz w:val="21"/>
                <w:szCs w:val="21"/>
              </w:rPr>
            </w:pPr>
            <w:r w:rsidRPr="00883EC9">
              <w:rPr>
                <w:rFonts w:ascii="Times New Roman CE" w:hAnsi="Times New Roman CE" w:cs="Times New Roman CE"/>
                <w:sz w:val="21"/>
                <w:szCs w:val="21"/>
              </w:rPr>
              <w:t>17%</w:t>
            </w:r>
          </w:p>
        </w:tc>
        <w:tc>
          <w:tcPr>
            <w:tcW w:w="1476" w:type="dxa"/>
            <w:gridSpan w:val="2"/>
            <w:tcBorders>
              <w:top w:val="nil"/>
              <w:left w:val="nil"/>
              <w:bottom w:val="nil"/>
              <w:right w:val="nil"/>
            </w:tcBorders>
            <w:shd w:val="clear" w:color="auto" w:fill="auto"/>
            <w:noWrap/>
            <w:vAlign w:val="bottom"/>
            <w:hideMark/>
          </w:tcPr>
          <w:p w:rsidR="00A659F9" w:rsidRPr="00883EC9" w:rsidRDefault="00A659F9" w:rsidP="00A659F9">
            <w:pPr>
              <w:jc w:val="center"/>
              <w:rPr>
                <w:rFonts w:ascii="Times New Roman CE" w:hAnsi="Times New Roman CE" w:cs="Times New Roman CE"/>
                <w:sz w:val="21"/>
                <w:szCs w:val="21"/>
              </w:rPr>
            </w:pPr>
            <w:r w:rsidRPr="00883EC9">
              <w:rPr>
                <w:rFonts w:ascii="Times New Roman CE" w:hAnsi="Times New Roman CE" w:cs="Times New Roman CE"/>
                <w:sz w:val="21"/>
                <w:szCs w:val="21"/>
              </w:rPr>
              <w:t>123,9%</w:t>
            </w:r>
          </w:p>
        </w:tc>
        <w:tc>
          <w:tcPr>
            <w:tcW w:w="1399" w:type="dxa"/>
            <w:gridSpan w:val="2"/>
            <w:tcBorders>
              <w:top w:val="nil"/>
              <w:left w:val="nil"/>
              <w:bottom w:val="nil"/>
              <w:right w:val="nil"/>
            </w:tcBorders>
            <w:shd w:val="clear" w:color="auto" w:fill="auto"/>
            <w:noWrap/>
            <w:vAlign w:val="bottom"/>
            <w:hideMark/>
          </w:tcPr>
          <w:p w:rsidR="00A659F9" w:rsidRPr="00883EC9" w:rsidRDefault="00A659F9" w:rsidP="00A659F9">
            <w:pPr>
              <w:jc w:val="center"/>
              <w:rPr>
                <w:rFonts w:ascii="Times New Roman CE" w:hAnsi="Times New Roman CE" w:cs="Times New Roman CE"/>
                <w:sz w:val="21"/>
                <w:szCs w:val="21"/>
              </w:rPr>
            </w:pPr>
            <w:r w:rsidRPr="00883EC9">
              <w:rPr>
                <w:rFonts w:ascii="Times New Roman CE" w:hAnsi="Times New Roman CE" w:cs="Times New Roman CE"/>
                <w:sz w:val="21"/>
                <w:szCs w:val="21"/>
              </w:rPr>
              <w:t>166,7%</w:t>
            </w:r>
          </w:p>
        </w:tc>
      </w:tr>
      <w:tr w:rsidR="00A659F9" w:rsidRPr="00883EC9" w:rsidTr="00675ABD">
        <w:trPr>
          <w:gridAfter w:val="1"/>
          <w:wAfter w:w="973" w:type="dxa"/>
          <w:trHeight w:val="140"/>
        </w:trPr>
        <w:tc>
          <w:tcPr>
            <w:tcW w:w="1436" w:type="dxa"/>
            <w:tcBorders>
              <w:top w:val="nil"/>
              <w:left w:val="nil"/>
              <w:bottom w:val="nil"/>
              <w:right w:val="nil"/>
            </w:tcBorders>
            <w:shd w:val="clear" w:color="auto" w:fill="auto"/>
            <w:noWrap/>
            <w:vAlign w:val="bottom"/>
            <w:hideMark/>
          </w:tcPr>
          <w:p w:rsidR="00A659F9" w:rsidRPr="00883EC9" w:rsidRDefault="00A659F9" w:rsidP="00A659F9">
            <w:pPr>
              <w:rPr>
                <w:rFonts w:ascii="Times New Roman CE" w:hAnsi="Times New Roman CE" w:cs="Times New Roman CE"/>
                <w:sz w:val="21"/>
                <w:szCs w:val="21"/>
              </w:rPr>
            </w:pPr>
            <w:r w:rsidRPr="00883EC9">
              <w:rPr>
                <w:rFonts w:ascii="Times New Roman CE" w:hAnsi="Times New Roman CE" w:cs="Times New Roman CE"/>
                <w:sz w:val="21"/>
                <w:szCs w:val="21"/>
              </w:rPr>
              <w:t>181-365 nap</w:t>
            </w:r>
          </w:p>
        </w:tc>
        <w:tc>
          <w:tcPr>
            <w:tcW w:w="974" w:type="dxa"/>
            <w:tcBorders>
              <w:top w:val="nil"/>
              <w:left w:val="nil"/>
              <w:bottom w:val="nil"/>
              <w:right w:val="nil"/>
            </w:tcBorders>
            <w:shd w:val="clear" w:color="auto" w:fill="auto"/>
            <w:noWrap/>
            <w:vAlign w:val="bottom"/>
            <w:hideMark/>
          </w:tcPr>
          <w:p w:rsidR="00A659F9" w:rsidRPr="00883EC9" w:rsidRDefault="00A659F9" w:rsidP="00A659F9">
            <w:pPr>
              <w:jc w:val="right"/>
              <w:rPr>
                <w:rFonts w:ascii="Times New Roman CE" w:hAnsi="Times New Roman CE" w:cs="Times New Roman CE"/>
                <w:sz w:val="21"/>
                <w:szCs w:val="21"/>
              </w:rPr>
            </w:pPr>
            <w:r w:rsidRPr="00883EC9">
              <w:rPr>
                <w:rFonts w:ascii="Times New Roman CE" w:hAnsi="Times New Roman CE" w:cs="Times New Roman CE"/>
                <w:sz w:val="21"/>
                <w:szCs w:val="21"/>
              </w:rPr>
              <w:t>78 800</w:t>
            </w:r>
          </w:p>
        </w:tc>
        <w:tc>
          <w:tcPr>
            <w:tcW w:w="654" w:type="dxa"/>
            <w:gridSpan w:val="2"/>
            <w:tcBorders>
              <w:top w:val="nil"/>
              <w:left w:val="nil"/>
              <w:bottom w:val="nil"/>
              <w:right w:val="nil"/>
            </w:tcBorders>
            <w:shd w:val="clear" w:color="auto" w:fill="auto"/>
            <w:noWrap/>
            <w:vAlign w:val="bottom"/>
            <w:hideMark/>
          </w:tcPr>
          <w:p w:rsidR="00A659F9" w:rsidRPr="00883EC9" w:rsidRDefault="00A659F9" w:rsidP="00A659F9">
            <w:pPr>
              <w:jc w:val="right"/>
              <w:rPr>
                <w:rFonts w:ascii="Times New Roman CE" w:hAnsi="Times New Roman CE" w:cs="Times New Roman CE"/>
                <w:sz w:val="21"/>
                <w:szCs w:val="21"/>
              </w:rPr>
            </w:pPr>
            <w:r w:rsidRPr="00883EC9">
              <w:rPr>
                <w:rFonts w:ascii="Times New Roman CE" w:hAnsi="Times New Roman CE" w:cs="Times New Roman CE"/>
                <w:sz w:val="21"/>
                <w:szCs w:val="21"/>
              </w:rPr>
              <w:t>21%</w:t>
            </w:r>
          </w:p>
        </w:tc>
        <w:tc>
          <w:tcPr>
            <w:tcW w:w="1196" w:type="dxa"/>
            <w:gridSpan w:val="2"/>
            <w:tcBorders>
              <w:top w:val="nil"/>
              <w:left w:val="nil"/>
              <w:bottom w:val="nil"/>
              <w:right w:val="nil"/>
            </w:tcBorders>
            <w:shd w:val="clear" w:color="auto" w:fill="auto"/>
            <w:noWrap/>
            <w:vAlign w:val="bottom"/>
            <w:hideMark/>
          </w:tcPr>
          <w:p w:rsidR="00A659F9" w:rsidRPr="00883EC9" w:rsidRDefault="00A659F9" w:rsidP="00A659F9">
            <w:pPr>
              <w:jc w:val="right"/>
              <w:rPr>
                <w:sz w:val="21"/>
                <w:szCs w:val="21"/>
              </w:rPr>
            </w:pPr>
            <w:r w:rsidRPr="00883EC9">
              <w:rPr>
                <w:sz w:val="21"/>
                <w:szCs w:val="21"/>
              </w:rPr>
              <w:t>28 475</w:t>
            </w:r>
          </w:p>
        </w:tc>
        <w:tc>
          <w:tcPr>
            <w:tcW w:w="654" w:type="dxa"/>
            <w:gridSpan w:val="2"/>
            <w:tcBorders>
              <w:top w:val="nil"/>
              <w:left w:val="nil"/>
              <w:bottom w:val="nil"/>
              <w:right w:val="nil"/>
            </w:tcBorders>
            <w:shd w:val="clear" w:color="auto" w:fill="auto"/>
            <w:noWrap/>
            <w:vAlign w:val="bottom"/>
            <w:hideMark/>
          </w:tcPr>
          <w:p w:rsidR="00A659F9" w:rsidRPr="00883EC9" w:rsidRDefault="00A659F9" w:rsidP="00A659F9">
            <w:pPr>
              <w:jc w:val="right"/>
              <w:rPr>
                <w:rFonts w:ascii="Times New Roman CE" w:hAnsi="Times New Roman CE" w:cs="Times New Roman CE"/>
                <w:sz w:val="21"/>
                <w:szCs w:val="21"/>
              </w:rPr>
            </w:pPr>
            <w:r w:rsidRPr="00883EC9">
              <w:rPr>
                <w:rFonts w:ascii="Times New Roman CE" w:hAnsi="Times New Roman CE" w:cs="Times New Roman CE"/>
                <w:sz w:val="21"/>
                <w:szCs w:val="21"/>
              </w:rPr>
              <w:t>9%</w:t>
            </w:r>
          </w:p>
        </w:tc>
        <w:tc>
          <w:tcPr>
            <w:tcW w:w="1196" w:type="dxa"/>
            <w:gridSpan w:val="3"/>
            <w:tcBorders>
              <w:top w:val="nil"/>
              <w:left w:val="nil"/>
              <w:bottom w:val="nil"/>
              <w:right w:val="nil"/>
            </w:tcBorders>
            <w:shd w:val="clear" w:color="auto" w:fill="auto"/>
            <w:noWrap/>
            <w:vAlign w:val="bottom"/>
            <w:hideMark/>
          </w:tcPr>
          <w:p w:rsidR="00A659F9" w:rsidRPr="00883EC9" w:rsidRDefault="00A659F9" w:rsidP="00A659F9">
            <w:pPr>
              <w:jc w:val="right"/>
              <w:rPr>
                <w:sz w:val="21"/>
                <w:szCs w:val="21"/>
              </w:rPr>
            </w:pPr>
            <w:r w:rsidRPr="00883EC9">
              <w:rPr>
                <w:sz w:val="21"/>
                <w:szCs w:val="21"/>
              </w:rPr>
              <w:t>53 745</w:t>
            </w:r>
          </w:p>
        </w:tc>
        <w:tc>
          <w:tcPr>
            <w:tcW w:w="654" w:type="dxa"/>
            <w:tcBorders>
              <w:top w:val="nil"/>
              <w:left w:val="nil"/>
              <w:bottom w:val="nil"/>
              <w:right w:val="nil"/>
            </w:tcBorders>
            <w:shd w:val="clear" w:color="auto" w:fill="auto"/>
            <w:noWrap/>
            <w:vAlign w:val="bottom"/>
            <w:hideMark/>
          </w:tcPr>
          <w:p w:rsidR="00A659F9" w:rsidRPr="00883EC9" w:rsidRDefault="00A659F9" w:rsidP="00A659F9">
            <w:pPr>
              <w:jc w:val="right"/>
              <w:rPr>
                <w:rFonts w:ascii="Times New Roman CE" w:hAnsi="Times New Roman CE" w:cs="Times New Roman CE"/>
                <w:sz w:val="21"/>
                <w:szCs w:val="21"/>
              </w:rPr>
            </w:pPr>
            <w:r w:rsidRPr="00883EC9">
              <w:rPr>
                <w:rFonts w:ascii="Times New Roman CE" w:hAnsi="Times New Roman CE" w:cs="Times New Roman CE"/>
                <w:sz w:val="21"/>
                <w:szCs w:val="21"/>
              </w:rPr>
              <w:t>15%</w:t>
            </w:r>
          </w:p>
        </w:tc>
        <w:tc>
          <w:tcPr>
            <w:tcW w:w="1476" w:type="dxa"/>
            <w:gridSpan w:val="2"/>
            <w:tcBorders>
              <w:top w:val="nil"/>
              <w:left w:val="nil"/>
              <w:bottom w:val="nil"/>
              <w:right w:val="nil"/>
            </w:tcBorders>
            <w:shd w:val="clear" w:color="auto" w:fill="auto"/>
            <w:noWrap/>
            <w:vAlign w:val="bottom"/>
            <w:hideMark/>
          </w:tcPr>
          <w:p w:rsidR="00A659F9" w:rsidRPr="00883EC9" w:rsidRDefault="00A659F9" w:rsidP="00A659F9">
            <w:pPr>
              <w:jc w:val="center"/>
              <w:rPr>
                <w:rFonts w:ascii="Times New Roman CE" w:hAnsi="Times New Roman CE" w:cs="Times New Roman CE"/>
                <w:sz w:val="21"/>
                <w:szCs w:val="21"/>
              </w:rPr>
            </w:pPr>
            <w:r w:rsidRPr="00883EC9">
              <w:rPr>
                <w:rFonts w:ascii="Times New Roman CE" w:hAnsi="Times New Roman CE" w:cs="Times New Roman CE"/>
                <w:sz w:val="21"/>
                <w:szCs w:val="21"/>
              </w:rPr>
              <w:t>68,2%</w:t>
            </w:r>
          </w:p>
        </w:tc>
        <w:tc>
          <w:tcPr>
            <w:tcW w:w="1399" w:type="dxa"/>
            <w:gridSpan w:val="2"/>
            <w:tcBorders>
              <w:top w:val="nil"/>
              <w:left w:val="nil"/>
              <w:bottom w:val="nil"/>
              <w:right w:val="nil"/>
            </w:tcBorders>
            <w:shd w:val="clear" w:color="auto" w:fill="auto"/>
            <w:noWrap/>
            <w:vAlign w:val="bottom"/>
            <w:hideMark/>
          </w:tcPr>
          <w:p w:rsidR="00A659F9" w:rsidRPr="00883EC9" w:rsidRDefault="00A659F9" w:rsidP="00A659F9">
            <w:pPr>
              <w:jc w:val="center"/>
              <w:rPr>
                <w:rFonts w:ascii="Times New Roman CE" w:hAnsi="Times New Roman CE" w:cs="Times New Roman CE"/>
                <w:sz w:val="21"/>
                <w:szCs w:val="21"/>
              </w:rPr>
            </w:pPr>
            <w:r w:rsidRPr="00883EC9">
              <w:rPr>
                <w:rFonts w:ascii="Times New Roman CE" w:hAnsi="Times New Roman CE" w:cs="Times New Roman CE"/>
                <w:sz w:val="21"/>
                <w:szCs w:val="21"/>
              </w:rPr>
              <w:t>188,7%</w:t>
            </w:r>
          </w:p>
        </w:tc>
      </w:tr>
      <w:tr w:rsidR="00A659F9" w:rsidRPr="00883EC9" w:rsidTr="00675ABD">
        <w:trPr>
          <w:gridAfter w:val="1"/>
          <w:wAfter w:w="973" w:type="dxa"/>
          <w:trHeight w:val="80"/>
        </w:trPr>
        <w:tc>
          <w:tcPr>
            <w:tcW w:w="1436" w:type="dxa"/>
            <w:tcBorders>
              <w:top w:val="nil"/>
              <w:left w:val="nil"/>
              <w:bottom w:val="single" w:sz="4" w:space="0" w:color="auto"/>
              <w:right w:val="nil"/>
            </w:tcBorders>
            <w:shd w:val="clear" w:color="auto" w:fill="auto"/>
            <w:noWrap/>
            <w:vAlign w:val="bottom"/>
            <w:hideMark/>
          </w:tcPr>
          <w:p w:rsidR="00A659F9" w:rsidRPr="00883EC9" w:rsidRDefault="00A659F9" w:rsidP="00A659F9">
            <w:pPr>
              <w:rPr>
                <w:rFonts w:ascii="Times New Roman CE" w:hAnsi="Times New Roman CE" w:cs="Times New Roman CE"/>
                <w:sz w:val="21"/>
                <w:szCs w:val="21"/>
              </w:rPr>
            </w:pPr>
            <w:r w:rsidRPr="00883EC9">
              <w:rPr>
                <w:rFonts w:ascii="Times New Roman CE" w:hAnsi="Times New Roman CE" w:cs="Times New Roman CE"/>
                <w:sz w:val="21"/>
                <w:szCs w:val="21"/>
              </w:rPr>
              <w:t>365 napon túl</w:t>
            </w:r>
          </w:p>
        </w:tc>
        <w:tc>
          <w:tcPr>
            <w:tcW w:w="974" w:type="dxa"/>
            <w:tcBorders>
              <w:top w:val="nil"/>
              <w:left w:val="nil"/>
              <w:bottom w:val="single" w:sz="4" w:space="0" w:color="auto"/>
              <w:right w:val="nil"/>
            </w:tcBorders>
            <w:shd w:val="clear" w:color="auto" w:fill="auto"/>
            <w:noWrap/>
            <w:vAlign w:val="bottom"/>
            <w:hideMark/>
          </w:tcPr>
          <w:p w:rsidR="00A659F9" w:rsidRPr="00883EC9" w:rsidRDefault="00A659F9" w:rsidP="00A659F9">
            <w:pPr>
              <w:jc w:val="right"/>
              <w:rPr>
                <w:rFonts w:ascii="Times New Roman CE" w:hAnsi="Times New Roman CE" w:cs="Times New Roman CE"/>
                <w:sz w:val="21"/>
                <w:szCs w:val="21"/>
              </w:rPr>
            </w:pPr>
            <w:r w:rsidRPr="00883EC9">
              <w:rPr>
                <w:rFonts w:ascii="Times New Roman CE" w:hAnsi="Times New Roman CE" w:cs="Times New Roman CE"/>
                <w:sz w:val="21"/>
                <w:szCs w:val="21"/>
              </w:rPr>
              <w:t>219 618</w:t>
            </w:r>
          </w:p>
        </w:tc>
        <w:tc>
          <w:tcPr>
            <w:tcW w:w="654" w:type="dxa"/>
            <w:gridSpan w:val="2"/>
            <w:tcBorders>
              <w:top w:val="nil"/>
              <w:left w:val="nil"/>
              <w:bottom w:val="single" w:sz="4" w:space="0" w:color="auto"/>
              <w:right w:val="nil"/>
            </w:tcBorders>
            <w:shd w:val="clear" w:color="auto" w:fill="auto"/>
            <w:noWrap/>
            <w:vAlign w:val="bottom"/>
            <w:hideMark/>
          </w:tcPr>
          <w:p w:rsidR="00A659F9" w:rsidRPr="00883EC9" w:rsidRDefault="00A659F9" w:rsidP="00A659F9">
            <w:pPr>
              <w:jc w:val="right"/>
              <w:rPr>
                <w:rFonts w:ascii="Times New Roman CE" w:hAnsi="Times New Roman CE" w:cs="Times New Roman CE"/>
                <w:sz w:val="21"/>
                <w:szCs w:val="21"/>
              </w:rPr>
            </w:pPr>
            <w:r w:rsidRPr="00883EC9">
              <w:rPr>
                <w:rFonts w:ascii="Times New Roman CE" w:hAnsi="Times New Roman CE" w:cs="Times New Roman CE"/>
                <w:sz w:val="21"/>
                <w:szCs w:val="21"/>
              </w:rPr>
              <w:t>58%</w:t>
            </w:r>
          </w:p>
        </w:tc>
        <w:tc>
          <w:tcPr>
            <w:tcW w:w="1196" w:type="dxa"/>
            <w:gridSpan w:val="2"/>
            <w:tcBorders>
              <w:top w:val="nil"/>
              <w:left w:val="nil"/>
              <w:bottom w:val="single" w:sz="4" w:space="0" w:color="auto"/>
              <w:right w:val="nil"/>
            </w:tcBorders>
            <w:shd w:val="clear" w:color="auto" w:fill="auto"/>
            <w:noWrap/>
            <w:vAlign w:val="bottom"/>
            <w:hideMark/>
          </w:tcPr>
          <w:p w:rsidR="00A659F9" w:rsidRPr="00883EC9" w:rsidRDefault="00A659F9" w:rsidP="00A659F9">
            <w:pPr>
              <w:jc w:val="right"/>
              <w:rPr>
                <w:sz w:val="21"/>
                <w:szCs w:val="21"/>
              </w:rPr>
            </w:pPr>
            <w:r w:rsidRPr="00883EC9">
              <w:rPr>
                <w:sz w:val="21"/>
                <w:szCs w:val="21"/>
              </w:rPr>
              <w:t>228 133</w:t>
            </w:r>
          </w:p>
        </w:tc>
        <w:tc>
          <w:tcPr>
            <w:tcW w:w="654" w:type="dxa"/>
            <w:gridSpan w:val="2"/>
            <w:tcBorders>
              <w:top w:val="nil"/>
              <w:left w:val="nil"/>
              <w:bottom w:val="single" w:sz="4" w:space="0" w:color="auto"/>
              <w:right w:val="nil"/>
            </w:tcBorders>
            <w:shd w:val="clear" w:color="auto" w:fill="auto"/>
            <w:noWrap/>
            <w:vAlign w:val="bottom"/>
            <w:hideMark/>
          </w:tcPr>
          <w:p w:rsidR="00A659F9" w:rsidRPr="00883EC9" w:rsidRDefault="00A659F9" w:rsidP="00A659F9">
            <w:pPr>
              <w:jc w:val="right"/>
              <w:rPr>
                <w:rFonts w:ascii="Times New Roman CE" w:hAnsi="Times New Roman CE" w:cs="Times New Roman CE"/>
                <w:sz w:val="21"/>
                <w:szCs w:val="21"/>
              </w:rPr>
            </w:pPr>
            <w:r w:rsidRPr="00883EC9">
              <w:rPr>
                <w:rFonts w:ascii="Times New Roman CE" w:hAnsi="Times New Roman CE" w:cs="Times New Roman CE"/>
                <w:sz w:val="21"/>
                <w:szCs w:val="21"/>
              </w:rPr>
              <w:t>68%</w:t>
            </w:r>
          </w:p>
        </w:tc>
        <w:tc>
          <w:tcPr>
            <w:tcW w:w="1196" w:type="dxa"/>
            <w:gridSpan w:val="3"/>
            <w:tcBorders>
              <w:top w:val="nil"/>
              <w:left w:val="nil"/>
              <w:bottom w:val="single" w:sz="4" w:space="0" w:color="auto"/>
              <w:right w:val="nil"/>
            </w:tcBorders>
            <w:shd w:val="clear" w:color="auto" w:fill="auto"/>
            <w:noWrap/>
            <w:vAlign w:val="bottom"/>
            <w:hideMark/>
          </w:tcPr>
          <w:p w:rsidR="00A659F9" w:rsidRPr="00883EC9" w:rsidRDefault="00A659F9" w:rsidP="00A659F9">
            <w:pPr>
              <w:jc w:val="right"/>
              <w:rPr>
                <w:sz w:val="21"/>
                <w:szCs w:val="21"/>
              </w:rPr>
            </w:pPr>
            <w:r w:rsidRPr="00883EC9">
              <w:rPr>
                <w:sz w:val="21"/>
                <w:szCs w:val="21"/>
              </w:rPr>
              <w:t>218 152</w:t>
            </w:r>
          </w:p>
        </w:tc>
        <w:tc>
          <w:tcPr>
            <w:tcW w:w="654" w:type="dxa"/>
            <w:tcBorders>
              <w:top w:val="nil"/>
              <w:left w:val="nil"/>
              <w:bottom w:val="single" w:sz="4" w:space="0" w:color="auto"/>
              <w:right w:val="nil"/>
            </w:tcBorders>
            <w:shd w:val="clear" w:color="auto" w:fill="auto"/>
            <w:noWrap/>
            <w:vAlign w:val="bottom"/>
            <w:hideMark/>
          </w:tcPr>
          <w:p w:rsidR="00A659F9" w:rsidRPr="00883EC9" w:rsidRDefault="00A659F9" w:rsidP="00A659F9">
            <w:pPr>
              <w:jc w:val="right"/>
              <w:rPr>
                <w:rFonts w:ascii="Times New Roman CE" w:hAnsi="Times New Roman CE" w:cs="Times New Roman CE"/>
                <w:sz w:val="21"/>
                <w:szCs w:val="21"/>
              </w:rPr>
            </w:pPr>
            <w:r w:rsidRPr="00883EC9">
              <w:rPr>
                <w:rFonts w:ascii="Times New Roman CE" w:hAnsi="Times New Roman CE" w:cs="Times New Roman CE"/>
                <w:sz w:val="21"/>
                <w:szCs w:val="21"/>
              </w:rPr>
              <w:t>60%</w:t>
            </w:r>
          </w:p>
        </w:tc>
        <w:tc>
          <w:tcPr>
            <w:tcW w:w="1476" w:type="dxa"/>
            <w:gridSpan w:val="2"/>
            <w:tcBorders>
              <w:top w:val="nil"/>
              <w:left w:val="nil"/>
              <w:bottom w:val="single" w:sz="4" w:space="0" w:color="auto"/>
              <w:right w:val="nil"/>
            </w:tcBorders>
            <w:shd w:val="clear" w:color="auto" w:fill="auto"/>
            <w:noWrap/>
            <w:vAlign w:val="bottom"/>
            <w:hideMark/>
          </w:tcPr>
          <w:p w:rsidR="00A659F9" w:rsidRPr="00883EC9" w:rsidRDefault="00A659F9" w:rsidP="00A659F9">
            <w:pPr>
              <w:jc w:val="center"/>
              <w:rPr>
                <w:rFonts w:ascii="Times New Roman CE" w:hAnsi="Times New Roman CE" w:cs="Times New Roman CE"/>
                <w:sz w:val="21"/>
                <w:szCs w:val="21"/>
              </w:rPr>
            </w:pPr>
            <w:r w:rsidRPr="00883EC9">
              <w:rPr>
                <w:rFonts w:ascii="Times New Roman CE" w:hAnsi="Times New Roman CE" w:cs="Times New Roman CE"/>
                <w:sz w:val="21"/>
                <w:szCs w:val="21"/>
              </w:rPr>
              <w:t>99,3%</w:t>
            </w:r>
          </w:p>
        </w:tc>
        <w:tc>
          <w:tcPr>
            <w:tcW w:w="1399" w:type="dxa"/>
            <w:gridSpan w:val="2"/>
            <w:tcBorders>
              <w:top w:val="nil"/>
              <w:left w:val="nil"/>
              <w:bottom w:val="single" w:sz="4" w:space="0" w:color="auto"/>
              <w:right w:val="nil"/>
            </w:tcBorders>
            <w:shd w:val="clear" w:color="auto" w:fill="auto"/>
            <w:noWrap/>
            <w:vAlign w:val="bottom"/>
            <w:hideMark/>
          </w:tcPr>
          <w:p w:rsidR="00A659F9" w:rsidRPr="00883EC9" w:rsidRDefault="00A659F9" w:rsidP="00A659F9">
            <w:pPr>
              <w:jc w:val="center"/>
              <w:rPr>
                <w:rFonts w:ascii="Times New Roman CE" w:hAnsi="Times New Roman CE" w:cs="Times New Roman CE"/>
                <w:sz w:val="21"/>
                <w:szCs w:val="21"/>
              </w:rPr>
            </w:pPr>
            <w:r w:rsidRPr="00883EC9">
              <w:rPr>
                <w:rFonts w:ascii="Times New Roman CE" w:hAnsi="Times New Roman CE" w:cs="Times New Roman CE"/>
                <w:sz w:val="21"/>
                <w:szCs w:val="21"/>
              </w:rPr>
              <w:t>95,6%</w:t>
            </w:r>
          </w:p>
        </w:tc>
      </w:tr>
      <w:tr w:rsidR="00A659F9" w:rsidRPr="00883EC9" w:rsidTr="00A659F9">
        <w:trPr>
          <w:gridAfter w:val="1"/>
          <w:wAfter w:w="973" w:type="dxa"/>
          <w:trHeight w:val="300"/>
        </w:trPr>
        <w:tc>
          <w:tcPr>
            <w:tcW w:w="1436" w:type="dxa"/>
            <w:tcBorders>
              <w:top w:val="nil"/>
              <w:left w:val="nil"/>
              <w:bottom w:val="nil"/>
              <w:right w:val="nil"/>
            </w:tcBorders>
            <w:shd w:val="clear" w:color="auto" w:fill="auto"/>
            <w:noWrap/>
            <w:vAlign w:val="bottom"/>
            <w:hideMark/>
          </w:tcPr>
          <w:p w:rsidR="00A659F9" w:rsidRPr="00883EC9" w:rsidRDefault="00A659F9" w:rsidP="00A659F9">
            <w:pPr>
              <w:rPr>
                <w:rFonts w:ascii="Times New Roman CE" w:hAnsi="Times New Roman CE" w:cs="Times New Roman CE"/>
                <w:i/>
                <w:iCs/>
                <w:sz w:val="21"/>
                <w:szCs w:val="21"/>
              </w:rPr>
            </w:pPr>
            <w:r w:rsidRPr="00883EC9">
              <w:rPr>
                <w:rFonts w:ascii="Times New Roman CE" w:hAnsi="Times New Roman CE" w:cs="Times New Roman CE"/>
                <w:i/>
                <w:iCs/>
                <w:sz w:val="21"/>
                <w:szCs w:val="21"/>
              </w:rPr>
              <w:t>Összesen</w:t>
            </w:r>
          </w:p>
        </w:tc>
        <w:tc>
          <w:tcPr>
            <w:tcW w:w="974" w:type="dxa"/>
            <w:tcBorders>
              <w:top w:val="nil"/>
              <w:left w:val="nil"/>
              <w:bottom w:val="nil"/>
              <w:right w:val="nil"/>
            </w:tcBorders>
            <w:shd w:val="clear" w:color="auto" w:fill="auto"/>
            <w:noWrap/>
            <w:vAlign w:val="bottom"/>
            <w:hideMark/>
          </w:tcPr>
          <w:p w:rsidR="00A659F9" w:rsidRPr="00883EC9" w:rsidRDefault="00A659F9" w:rsidP="00A659F9">
            <w:pPr>
              <w:jc w:val="right"/>
              <w:rPr>
                <w:rFonts w:ascii="Times New Roman CE" w:hAnsi="Times New Roman CE" w:cs="Times New Roman CE"/>
                <w:i/>
                <w:iCs/>
                <w:sz w:val="21"/>
                <w:szCs w:val="21"/>
              </w:rPr>
            </w:pPr>
            <w:r w:rsidRPr="00883EC9">
              <w:rPr>
                <w:rFonts w:ascii="Times New Roman CE" w:hAnsi="Times New Roman CE" w:cs="Times New Roman CE"/>
                <w:i/>
                <w:iCs/>
                <w:sz w:val="21"/>
                <w:szCs w:val="21"/>
              </w:rPr>
              <w:t>377 629</w:t>
            </w:r>
          </w:p>
        </w:tc>
        <w:tc>
          <w:tcPr>
            <w:tcW w:w="654" w:type="dxa"/>
            <w:gridSpan w:val="2"/>
            <w:tcBorders>
              <w:top w:val="nil"/>
              <w:left w:val="nil"/>
              <w:bottom w:val="nil"/>
              <w:right w:val="nil"/>
            </w:tcBorders>
            <w:shd w:val="clear" w:color="auto" w:fill="auto"/>
            <w:noWrap/>
            <w:vAlign w:val="bottom"/>
            <w:hideMark/>
          </w:tcPr>
          <w:p w:rsidR="00A659F9" w:rsidRPr="00883EC9" w:rsidRDefault="00A659F9" w:rsidP="00A659F9">
            <w:pPr>
              <w:jc w:val="right"/>
              <w:rPr>
                <w:rFonts w:ascii="Times New Roman CE" w:hAnsi="Times New Roman CE" w:cs="Times New Roman CE"/>
                <w:sz w:val="21"/>
                <w:szCs w:val="21"/>
              </w:rPr>
            </w:pPr>
            <w:r w:rsidRPr="00883EC9">
              <w:rPr>
                <w:rFonts w:ascii="Times New Roman CE" w:hAnsi="Times New Roman CE" w:cs="Times New Roman CE"/>
                <w:sz w:val="21"/>
                <w:szCs w:val="21"/>
              </w:rPr>
              <w:t>100%</w:t>
            </w:r>
          </w:p>
        </w:tc>
        <w:tc>
          <w:tcPr>
            <w:tcW w:w="1196" w:type="dxa"/>
            <w:gridSpan w:val="2"/>
            <w:tcBorders>
              <w:top w:val="nil"/>
              <w:left w:val="nil"/>
              <w:bottom w:val="nil"/>
              <w:right w:val="nil"/>
            </w:tcBorders>
            <w:shd w:val="clear" w:color="auto" w:fill="auto"/>
            <w:noWrap/>
            <w:vAlign w:val="bottom"/>
            <w:hideMark/>
          </w:tcPr>
          <w:p w:rsidR="00A659F9" w:rsidRPr="00883EC9" w:rsidRDefault="00A659F9" w:rsidP="00A659F9">
            <w:pPr>
              <w:jc w:val="right"/>
              <w:rPr>
                <w:rFonts w:ascii="Times New Roman CE" w:hAnsi="Times New Roman CE" w:cs="Times New Roman CE"/>
                <w:i/>
                <w:iCs/>
                <w:sz w:val="21"/>
                <w:szCs w:val="21"/>
              </w:rPr>
            </w:pPr>
            <w:r w:rsidRPr="00883EC9">
              <w:rPr>
                <w:rFonts w:ascii="Times New Roman CE" w:hAnsi="Times New Roman CE" w:cs="Times New Roman CE"/>
                <w:i/>
                <w:iCs/>
                <w:sz w:val="21"/>
                <w:szCs w:val="21"/>
              </w:rPr>
              <w:t>334 846</w:t>
            </w:r>
          </w:p>
        </w:tc>
        <w:tc>
          <w:tcPr>
            <w:tcW w:w="654" w:type="dxa"/>
            <w:gridSpan w:val="2"/>
            <w:tcBorders>
              <w:top w:val="nil"/>
              <w:left w:val="nil"/>
              <w:bottom w:val="nil"/>
              <w:right w:val="nil"/>
            </w:tcBorders>
            <w:shd w:val="clear" w:color="auto" w:fill="auto"/>
            <w:noWrap/>
            <w:vAlign w:val="bottom"/>
            <w:hideMark/>
          </w:tcPr>
          <w:p w:rsidR="00A659F9" w:rsidRPr="00883EC9" w:rsidRDefault="00A659F9" w:rsidP="00A659F9">
            <w:pPr>
              <w:jc w:val="right"/>
              <w:rPr>
                <w:rFonts w:ascii="Times New Roman CE" w:hAnsi="Times New Roman CE" w:cs="Times New Roman CE"/>
                <w:sz w:val="21"/>
                <w:szCs w:val="21"/>
              </w:rPr>
            </w:pPr>
            <w:r w:rsidRPr="00883EC9">
              <w:rPr>
                <w:rFonts w:ascii="Times New Roman CE" w:hAnsi="Times New Roman CE" w:cs="Times New Roman CE"/>
                <w:sz w:val="21"/>
                <w:szCs w:val="21"/>
              </w:rPr>
              <w:t>100%</w:t>
            </w:r>
          </w:p>
        </w:tc>
        <w:tc>
          <w:tcPr>
            <w:tcW w:w="1196" w:type="dxa"/>
            <w:gridSpan w:val="3"/>
            <w:tcBorders>
              <w:top w:val="nil"/>
              <w:left w:val="nil"/>
              <w:bottom w:val="nil"/>
              <w:right w:val="nil"/>
            </w:tcBorders>
            <w:shd w:val="clear" w:color="auto" w:fill="auto"/>
            <w:noWrap/>
            <w:vAlign w:val="bottom"/>
            <w:hideMark/>
          </w:tcPr>
          <w:p w:rsidR="00A659F9" w:rsidRPr="00883EC9" w:rsidRDefault="00A659F9" w:rsidP="00A659F9">
            <w:pPr>
              <w:jc w:val="right"/>
              <w:rPr>
                <w:rFonts w:ascii="Times New Roman CE" w:hAnsi="Times New Roman CE" w:cs="Times New Roman CE"/>
                <w:i/>
                <w:iCs/>
                <w:sz w:val="21"/>
                <w:szCs w:val="21"/>
              </w:rPr>
            </w:pPr>
            <w:r w:rsidRPr="00883EC9">
              <w:rPr>
                <w:rFonts w:ascii="Times New Roman CE" w:hAnsi="Times New Roman CE" w:cs="Times New Roman CE"/>
                <w:i/>
                <w:iCs/>
                <w:sz w:val="21"/>
                <w:szCs w:val="21"/>
              </w:rPr>
              <w:t>364 079</w:t>
            </w:r>
          </w:p>
        </w:tc>
        <w:tc>
          <w:tcPr>
            <w:tcW w:w="654" w:type="dxa"/>
            <w:tcBorders>
              <w:top w:val="nil"/>
              <w:left w:val="nil"/>
              <w:bottom w:val="nil"/>
              <w:right w:val="nil"/>
            </w:tcBorders>
            <w:shd w:val="clear" w:color="auto" w:fill="auto"/>
            <w:noWrap/>
            <w:vAlign w:val="bottom"/>
            <w:hideMark/>
          </w:tcPr>
          <w:p w:rsidR="00A659F9" w:rsidRPr="00883EC9" w:rsidRDefault="00A659F9" w:rsidP="00A659F9">
            <w:pPr>
              <w:jc w:val="right"/>
              <w:rPr>
                <w:rFonts w:ascii="Times New Roman CE" w:hAnsi="Times New Roman CE" w:cs="Times New Roman CE"/>
                <w:sz w:val="21"/>
                <w:szCs w:val="21"/>
              </w:rPr>
            </w:pPr>
            <w:r w:rsidRPr="00883EC9">
              <w:rPr>
                <w:rFonts w:ascii="Times New Roman CE" w:hAnsi="Times New Roman CE" w:cs="Times New Roman CE"/>
                <w:sz w:val="21"/>
                <w:szCs w:val="21"/>
              </w:rPr>
              <w:t>100%</w:t>
            </w:r>
          </w:p>
        </w:tc>
        <w:tc>
          <w:tcPr>
            <w:tcW w:w="1476" w:type="dxa"/>
            <w:gridSpan w:val="2"/>
            <w:tcBorders>
              <w:top w:val="nil"/>
              <w:left w:val="nil"/>
              <w:bottom w:val="nil"/>
              <w:right w:val="nil"/>
            </w:tcBorders>
            <w:shd w:val="clear" w:color="auto" w:fill="auto"/>
            <w:noWrap/>
            <w:vAlign w:val="bottom"/>
            <w:hideMark/>
          </w:tcPr>
          <w:p w:rsidR="00A659F9" w:rsidRPr="00883EC9" w:rsidRDefault="00A659F9" w:rsidP="00A659F9">
            <w:pPr>
              <w:jc w:val="center"/>
              <w:rPr>
                <w:rFonts w:ascii="Times New Roman CE" w:hAnsi="Times New Roman CE" w:cs="Times New Roman CE"/>
                <w:sz w:val="21"/>
                <w:szCs w:val="21"/>
              </w:rPr>
            </w:pPr>
            <w:r w:rsidRPr="00883EC9">
              <w:rPr>
                <w:rFonts w:ascii="Times New Roman CE" w:hAnsi="Times New Roman CE" w:cs="Times New Roman CE"/>
                <w:sz w:val="21"/>
                <w:szCs w:val="21"/>
              </w:rPr>
              <w:t>96,4%</w:t>
            </w:r>
          </w:p>
        </w:tc>
        <w:tc>
          <w:tcPr>
            <w:tcW w:w="1399" w:type="dxa"/>
            <w:gridSpan w:val="2"/>
            <w:tcBorders>
              <w:top w:val="nil"/>
              <w:left w:val="nil"/>
              <w:bottom w:val="nil"/>
              <w:right w:val="nil"/>
            </w:tcBorders>
            <w:shd w:val="clear" w:color="auto" w:fill="auto"/>
            <w:noWrap/>
            <w:vAlign w:val="bottom"/>
            <w:hideMark/>
          </w:tcPr>
          <w:p w:rsidR="00A659F9" w:rsidRPr="00883EC9" w:rsidRDefault="00A659F9" w:rsidP="00A659F9">
            <w:pPr>
              <w:jc w:val="center"/>
              <w:rPr>
                <w:rFonts w:ascii="Times New Roman CE" w:hAnsi="Times New Roman CE" w:cs="Times New Roman CE"/>
                <w:sz w:val="21"/>
                <w:szCs w:val="21"/>
              </w:rPr>
            </w:pPr>
            <w:r w:rsidRPr="00883EC9">
              <w:rPr>
                <w:rFonts w:ascii="Times New Roman CE" w:hAnsi="Times New Roman CE" w:cs="Times New Roman CE"/>
                <w:sz w:val="21"/>
                <w:szCs w:val="21"/>
              </w:rPr>
              <w:t>108,7%</w:t>
            </w:r>
          </w:p>
        </w:tc>
      </w:tr>
      <w:tr w:rsidR="00A659F9" w:rsidRPr="00883EC9" w:rsidTr="00F3539B">
        <w:trPr>
          <w:trHeight w:val="212"/>
        </w:trPr>
        <w:tc>
          <w:tcPr>
            <w:tcW w:w="1436" w:type="dxa"/>
            <w:tcBorders>
              <w:top w:val="nil"/>
              <w:left w:val="nil"/>
              <w:bottom w:val="nil"/>
              <w:right w:val="nil"/>
            </w:tcBorders>
            <w:shd w:val="clear" w:color="auto" w:fill="auto"/>
            <w:noWrap/>
            <w:vAlign w:val="bottom"/>
            <w:hideMark/>
          </w:tcPr>
          <w:p w:rsidR="00A659F9" w:rsidRPr="00F3539B" w:rsidRDefault="00A659F9" w:rsidP="00A659F9">
            <w:pPr>
              <w:jc w:val="center"/>
              <w:rPr>
                <w:rFonts w:ascii="Times New Roman CE" w:hAnsi="Times New Roman CE" w:cs="Times New Roman CE"/>
                <w:sz w:val="12"/>
                <w:szCs w:val="12"/>
              </w:rPr>
            </w:pPr>
          </w:p>
        </w:tc>
        <w:tc>
          <w:tcPr>
            <w:tcW w:w="1138" w:type="dxa"/>
            <w:gridSpan w:val="2"/>
            <w:tcBorders>
              <w:top w:val="nil"/>
              <w:left w:val="nil"/>
              <w:bottom w:val="nil"/>
              <w:right w:val="nil"/>
            </w:tcBorders>
            <w:shd w:val="clear" w:color="auto" w:fill="auto"/>
            <w:noWrap/>
            <w:vAlign w:val="bottom"/>
            <w:hideMark/>
          </w:tcPr>
          <w:p w:rsidR="00A659F9" w:rsidRPr="00F3539B" w:rsidRDefault="00A659F9" w:rsidP="00A659F9">
            <w:pPr>
              <w:rPr>
                <w:sz w:val="12"/>
                <w:szCs w:val="12"/>
              </w:rPr>
            </w:pPr>
          </w:p>
        </w:tc>
        <w:tc>
          <w:tcPr>
            <w:tcW w:w="841" w:type="dxa"/>
            <w:gridSpan w:val="2"/>
            <w:tcBorders>
              <w:top w:val="nil"/>
              <w:left w:val="nil"/>
              <w:bottom w:val="nil"/>
              <w:right w:val="nil"/>
            </w:tcBorders>
            <w:shd w:val="clear" w:color="auto" w:fill="auto"/>
            <w:noWrap/>
            <w:vAlign w:val="bottom"/>
            <w:hideMark/>
          </w:tcPr>
          <w:p w:rsidR="00A659F9" w:rsidRPr="00883EC9" w:rsidRDefault="00A659F9" w:rsidP="00A659F9"/>
        </w:tc>
        <w:tc>
          <w:tcPr>
            <w:tcW w:w="1255" w:type="dxa"/>
            <w:gridSpan w:val="2"/>
            <w:tcBorders>
              <w:top w:val="nil"/>
              <w:left w:val="nil"/>
              <w:bottom w:val="nil"/>
              <w:right w:val="nil"/>
            </w:tcBorders>
            <w:shd w:val="clear" w:color="auto" w:fill="auto"/>
            <w:noWrap/>
            <w:vAlign w:val="bottom"/>
            <w:hideMark/>
          </w:tcPr>
          <w:p w:rsidR="00A659F9" w:rsidRPr="00883EC9" w:rsidRDefault="00A659F9" w:rsidP="00A659F9"/>
        </w:tc>
        <w:tc>
          <w:tcPr>
            <w:tcW w:w="831" w:type="dxa"/>
            <w:gridSpan w:val="3"/>
            <w:tcBorders>
              <w:top w:val="nil"/>
              <w:left w:val="nil"/>
              <w:bottom w:val="nil"/>
              <w:right w:val="nil"/>
            </w:tcBorders>
            <w:shd w:val="clear" w:color="auto" w:fill="auto"/>
            <w:noWrap/>
            <w:vAlign w:val="bottom"/>
            <w:hideMark/>
          </w:tcPr>
          <w:p w:rsidR="00A659F9" w:rsidRPr="00883EC9" w:rsidRDefault="00A659F9" w:rsidP="00A659F9"/>
        </w:tc>
        <w:tc>
          <w:tcPr>
            <w:tcW w:w="1263" w:type="dxa"/>
            <w:gridSpan w:val="2"/>
            <w:tcBorders>
              <w:top w:val="nil"/>
              <w:left w:val="nil"/>
              <w:bottom w:val="nil"/>
              <w:right w:val="nil"/>
            </w:tcBorders>
            <w:shd w:val="clear" w:color="auto" w:fill="auto"/>
            <w:noWrap/>
            <w:vAlign w:val="bottom"/>
            <w:hideMark/>
          </w:tcPr>
          <w:p w:rsidR="00A659F9" w:rsidRPr="00883EC9" w:rsidRDefault="00A659F9" w:rsidP="00A659F9"/>
        </w:tc>
        <w:tc>
          <w:tcPr>
            <w:tcW w:w="816" w:type="dxa"/>
            <w:tcBorders>
              <w:top w:val="nil"/>
              <w:left w:val="nil"/>
              <w:bottom w:val="nil"/>
              <w:right w:val="nil"/>
            </w:tcBorders>
            <w:shd w:val="clear" w:color="auto" w:fill="auto"/>
            <w:noWrap/>
            <w:vAlign w:val="bottom"/>
            <w:hideMark/>
          </w:tcPr>
          <w:p w:rsidR="00A659F9" w:rsidRPr="00883EC9" w:rsidRDefault="00A659F9" w:rsidP="00A659F9"/>
        </w:tc>
        <w:tc>
          <w:tcPr>
            <w:tcW w:w="1476" w:type="dxa"/>
            <w:gridSpan w:val="2"/>
            <w:tcBorders>
              <w:top w:val="nil"/>
              <w:left w:val="nil"/>
              <w:bottom w:val="nil"/>
              <w:right w:val="nil"/>
            </w:tcBorders>
            <w:shd w:val="clear" w:color="auto" w:fill="auto"/>
            <w:noWrap/>
            <w:vAlign w:val="bottom"/>
            <w:hideMark/>
          </w:tcPr>
          <w:p w:rsidR="00A659F9" w:rsidRPr="00883EC9" w:rsidRDefault="00A659F9" w:rsidP="00A659F9"/>
        </w:tc>
        <w:tc>
          <w:tcPr>
            <w:tcW w:w="1556" w:type="dxa"/>
            <w:gridSpan w:val="2"/>
            <w:tcBorders>
              <w:top w:val="nil"/>
              <w:left w:val="nil"/>
              <w:bottom w:val="nil"/>
              <w:right w:val="nil"/>
            </w:tcBorders>
            <w:shd w:val="clear" w:color="auto" w:fill="auto"/>
            <w:noWrap/>
            <w:vAlign w:val="bottom"/>
            <w:hideMark/>
          </w:tcPr>
          <w:p w:rsidR="00A659F9" w:rsidRPr="00883EC9" w:rsidRDefault="00A659F9" w:rsidP="00A659F9"/>
        </w:tc>
      </w:tr>
    </w:tbl>
    <w:p w:rsidR="00A659F9" w:rsidRPr="00883EC9" w:rsidRDefault="00A659F9" w:rsidP="000D698B">
      <w:pPr>
        <w:rPr>
          <w:rFonts w:ascii="Times New Roman CE" w:hAnsi="Times New Roman CE" w:cs="Times New Roman CE"/>
          <w:i/>
          <w:sz w:val="23"/>
          <w:szCs w:val="23"/>
        </w:rPr>
      </w:pPr>
      <w:r w:rsidRPr="00883EC9">
        <w:rPr>
          <w:i/>
          <w:sz w:val="24"/>
        </w:rPr>
        <w:t xml:space="preserve">Az üzleti terv teljesítési időpontjában </w:t>
      </w:r>
      <w:r w:rsidR="000D698B" w:rsidRPr="00883EC9">
        <w:rPr>
          <w:i/>
          <w:sz w:val="24"/>
        </w:rPr>
        <w:t>a 30 napon túli l</w:t>
      </w:r>
      <w:r w:rsidR="000D698B" w:rsidRPr="00883EC9">
        <w:rPr>
          <w:rFonts w:ascii="Times New Roman CE" w:hAnsi="Times New Roman CE" w:cs="Times New Roman CE"/>
          <w:i/>
          <w:sz w:val="23"/>
          <w:szCs w:val="23"/>
        </w:rPr>
        <w:t>ejárt követelések és megoszlásuk a lejárat ideje szerint a víziközmű-használati díjból megvalósult önkormányzati építési munkák lejárt fizetési határidejű számlaértékével csökkentve</w:t>
      </w:r>
    </w:p>
    <w:p w:rsidR="000B7DA5" w:rsidRPr="00883EC9" w:rsidRDefault="000B7DA5" w:rsidP="000B7DA5">
      <w:pPr>
        <w:ind w:right="-1"/>
        <w:jc w:val="right"/>
      </w:pPr>
      <w:proofErr w:type="spellStart"/>
      <w:r w:rsidRPr="00883EC9">
        <w:t>eFt</w:t>
      </w:r>
      <w:proofErr w:type="spellEnd"/>
    </w:p>
    <w:tbl>
      <w:tblPr>
        <w:tblW w:w="9639" w:type="dxa"/>
        <w:tblCellMar>
          <w:left w:w="70" w:type="dxa"/>
          <w:right w:w="70" w:type="dxa"/>
        </w:tblCellMar>
        <w:tblLook w:val="04A0" w:firstRow="1" w:lastRow="0" w:firstColumn="1" w:lastColumn="0" w:noHBand="0" w:noVBand="1"/>
      </w:tblPr>
      <w:tblGrid>
        <w:gridCol w:w="1436"/>
        <w:gridCol w:w="974"/>
        <w:gridCol w:w="567"/>
        <w:gridCol w:w="87"/>
        <w:gridCol w:w="1109"/>
        <w:gridCol w:w="647"/>
        <w:gridCol w:w="425"/>
        <w:gridCol w:w="771"/>
        <w:gridCol w:w="647"/>
        <w:gridCol w:w="101"/>
        <w:gridCol w:w="1174"/>
        <w:gridCol w:w="302"/>
        <w:gridCol w:w="974"/>
        <w:gridCol w:w="425"/>
      </w:tblGrid>
      <w:tr w:rsidR="000B7DA5" w:rsidRPr="00F3539B" w:rsidTr="00F3539B">
        <w:trPr>
          <w:trHeight w:val="321"/>
        </w:trPr>
        <w:tc>
          <w:tcPr>
            <w:tcW w:w="1436" w:type="dxa"/>
            <w:tcBorders>
              <w:top w:val="single" w:sz="4" w:space="0" w:color="auto"/>
              <w:left w:val="nil"/>
              <w:bottom w:val="single" w:sz="4" w:space="0" w:color="auto"/>
              <w:right w:val="nil"/>
            </w:tcBorders>
            <w:shd w:val="clear" w:color="auto" w:fill="auto"/>
            <w:noWrap/>
            <w:vAlign w:val="center"/>
            <w:hideMark/>
          </w:tcPr>
          <w:p w:rsidR="000B7DA5" w:rsidRPr="00F3539B" w:rsidRDefault="000B7DA5" w:rsidP="00DD00F3">
            <w:pPr>
              <w:rPr>
                <w:rFonts w:ascii="Times New Roman CE" w:hAnsi="Times New Roman CE" w:cs="Times New Roman CE"/>
                <w:i/>
                <w:iCs/>
              </w:rPr>
            </w:pPr>
          </w:p>
          <w:p w:rsidR="005D1186" w:rsidRPr="00F3539B" w:rsidRDefault="005D1186" w:rsidP="00DD00F3">
            <w:pPr>
              <w:rPr>
                <w:rFonts w:ascii="Times New Roman CE" w:hAnsi="Times New Roman CE" w:cs="Times New Roman CE"/>
                <w:i/>
                <w:iCs/>
              </w:rPr>
            </w:pPr>
          </w:p>
        </w:tc>
        <w:tc>
          <w:tcPr>
            <w:tcW w:w="1628" w:type="dxa"/>
            <w:gridSpan w:val="3"/>
            <w:tcBorders>
              <w:top w:val="single" w:sz="4" w:space="0" w:color="auto"/>
              <w:left w:val="nil"/>
              <w:bottom w:val="single" w:sz="4" w:space="0" w:color="auto"/>
              <w:right w:val="nil"/>
            </w:tcBorders>
            <w:shd w:val="clear" w:color="auto" w:fill="auto"/>
            <w:noWrap/>
            <w:vAlign w:val="center"/>
            <w:hideMark/>
          </w:tcPr>
          <w:p w:rsidR="000B7DA5" w:rsidRPr="00F3539B" w:rsidRDefault="000B7DA5" w:rsidP="00DD00F3">
            <w:pPr>
              <w:jc w:val="center"/>
              <w:rPr>
                <w:rFonts w:ascii="Times New Roman CE" w:hAnsi="Times New Roman CE" w:cs="Times New Roman CE"/>
                <w:i/>
                <w:iCs/>
              </w:rPr>
            </w:pPr>
            <w:r w:rsidRPr="00F3539B">
              <w:rPr>
                <w:rFonts w:ascii="Times New Roman CE" w:hAnsi="Times New Roman CE" w:cs="Times New Roman CE"/>
                <w:i/>
                <w:iCs/>
              </w:rPr>
              <w:t>2016. jún. 30.</w:t>
            </w:r>
          </w:p>
        </w:tc>
        <w:tc>
          <w:tcPr>
            <w:tcW w:w="2181" w:type="dxa"/>
            <w:gridSpan w:val="3"/>
            <w:tcBorders>
              <w:top w:val="single" w:sz="4" w:space="0" w:color="auto"/>
              <w:left w:val="nil"/>
              <w:bottom w:val="single" w:sz="4" w:space="0" w:color="auto"/>
              <w:right w:val="nil"/>
            </w:tcBorders>
            <w:shd w:val="clear" w:color="auto" w:fill="auto"/>
            <w:noWrap/>
            <w:vAlign w:val="center"/>
            <w:hideMark/>
          </w:tcPr>
          <w:p w:rsidR="000B7DA5" w:rsidRPr="00F3539B" w:rsidRDefault="000B7DA5" w:rsidP="00DD00F3">
            <w:pPr>
              <w:jc w:val="center"/>
              <w:rPr>
                <w:rFonts w:ascii="Times New Roman CE" w:hAnsi="Times New Roman CE" w:cs="Times New Roman CE"/>
                <w:i/>
                <w:iCs/>
              </w:rPr>
            </w:pPr>
            <w:r w:rsidRPr="00F3539B">
              <w:rPr>
                <w:rFonts w:ascii="Times New Roman CE" w:hAnsi="Times New Roman CE" w:cs="Times New Roman CE"/>
                <w:i/>
                <w:iCs/>
              </w:rPr>
              <w:t>2016. dec. 31.</w:t>
            </w:r>
          </w:p>
        </w:tc>
        <w:tc>
          <w:tcPr>
            <w:tcW w:w="1519" w:type="dxa"/>
            <w:gridSpan w:val="3"/>
            <w:tcBorders>
              <w:top w:val="single" w:sz="4" w:space="0" w:color="auto"/>
              <w:left w:val="nil"/>
              <w:bottom w:val="single" w:sz="4" w:space="0" w:color="auto"/>
              <w:right w:val="nil"/>
            </w:tcBorders>
            <w:shd w:val="clear" w:color="auto" w:fill="auto"/>
            <w:noWrap/>
            <w:vAlign w:val="center"/>
            <w:hideMark/>
          </w:tcPr>
          <w:p w:rsidR="000B7DA5" w:rsidRPr="00F3539B" w:rsidRDefault="000B7DA5" w:rsidP="00DD00F3">
            <w:pPr>
              <w:jc w:val="center"/>
              <w:rPr>
                <w:rFonts w:ascii="Times New Roman CE" w:hAnsi="Times New Roman CE" w:cs="Times New Roman CE"/>
                <w:i/>
                <w:iCs/>
              </w:rPr>
            </w:pPr>
            <w:r w:rsidRPr="00F3539B">
              <w:rPr>
                <w:rFonts w:ascii="Times New Roman CE" w:hAnsi="Times New Roman CE" w:cs="Times New Roman CE"/>
                <w:i/>
                <w:iCs/>
              </w:rPr>
              <w:t>2017. jún. 30.</w:t>
            </w:r>
          </w:p>
        </w:tc>
        <w:tc>
          <w:tcPr>
            <w:tcW w:w="1476" w:type="dxa"/>
            <w:gridSpan w:val="2"/>
            <w:tcBorders>
              <w:top w:val="single" w:sz="4" w:space="0" w:color="auto"/>
              <w:left w:val="nil"/>
              <w:bottom w:val="single" w:sz="4" w:space="0" w:color="auto"/>
              <w:right w:val="nil"/>
            </w:tcBorders>
            <w:shd w:val="clear" w:color="auto" w:fill="auto"/>
            <w:vAlign w:val="bottom"/>
            <w:hideMark/>
          </w:tcPr>
          <w:p w:rsidR="000B7DA5" w:rsidRPr="00F3539B" w:rsidRDefault="000B7DA5" w:rsidP="00DD00F3">
            <w:pPr>
              <w:jc w:val="center"/>
              <w:rPr>
                <w:rFonts w:ascii="Times New Roman CE" w:hAnsi="Times New Roman CE" w:cs="Times New Roman CE"/>
                <w:i/>
                <w:iCs/>
              </w:rPr>
            </w:pPr>
            <w:r w:rsidRPr="00F3539B">
              <w:rPr>
                <w:rFonts w:ascii="Times New Roman CE" w:hAnsi="Times New Roman CE" w:cs="Times New Roman CE"/>
                <w:i/>
                <w:iCs/>
              </w:rPr>
              <w:t>2017. jún.30/</w:t>
            </w:r>
            <w:r w:rsidRPr="00F3539B">
              <w:rPr>
                <w:rFonts w:ascii="Times New Roman CE" w:hAnsi="Times New Roman CE" w:cs="Times New Roman CE"/>
                <w:i/>
                <w:iCs/>
              </w:rPr>
              <w:br/>
              <w:t>2016. jún.30.</w:t>
            </w:r>
          </w:p>
        </w:tc>
        <w:tc>
          <w:tcPr>
            <w:tcW w:w="1399" w:type="dxa"/>
            <w:gridSpan w:val="2"/>
            <w:tcBorders>
              <w:top w:val="single" w:sz="4" w:space="0" w:color="auto"/>
              <w:left w:val="nil"/>
              <w:bottom w:val="single" w:sz="4" w:space="0" w:color="auto"/>
              <w:right w:val="nil"/>
            </w:tcBorders>
            <w:shd w:val="clear" w:color="auto" w:fill="auto"/>
            <w:vAlign w:val="bottom"/>
            <w:hideMark/>
          </w:tcPr>
          <w:p w:rsidR="000B7DA5" w:rsidRPr="00F3539B" w:rsidRDefault="000B7DA5" w:rsidP="00DD00F3">
            <w:pPr>
              <w:jc w:val="center"/>
              <w:rPr>
                <w:rFonts w:ascii="Times New Roman CE" w:hAnsi="Times New Roman CE" w:cs="Times New Roman CE"/>
                <w:i/>
                <w:iCs/>
              </w:rPr>
            </w:pPr>
            <w:r w:rsidRPr="00F3539B">
              <w:rPr>
                <w:rFonts w:ascii="Times New Roman CE" w:hAnsi="Times New Roman CE" w:cs="Times New Roman CE"/>
                <w:i/>
                <w:iCs/>
              </w:rPr>
              <w:t>2017. jún.30/</w:t>
            </w:r>
            <w:r w:rsidRPr="00F3539B">
              <w:rPr>
                <w:rFonts w:ascii="Times New Roman CE" w:hAnsi="Times New Roman CE" w:cs="Times New Roman CE"/>
                <w:i/>
                <w:iCs/>
              </w:rPr>
              <w:br/>
              <w:t>2016. dec. 31.</w:t>
            </w:r>
          </w:p>
        </w:tc>
      </w:tr>
      <w:tr w:rsidR="000B7DA5" w:rsidRPr="00883EC9" w:rsidTr="00675ABD">
        <w:trPr>
          <w:gridAfter w:val="1"/>
          <w:wAfter w:w="425" w:type="dxa"/>
          <w:trHeight w:val="198"/>
        </w:trPr>
        <w:tc>
          <w:tcPr>
            <w:tcW w:w="1436" w:type="dxa"/>
            <w:tcBorders>
              <w:top w:val="nil"/>
              <w:left w:val="nil"/>
              <w:bottom w:val="nil"/>
              <w:right w:val="nil"/>
            </w:tcBorders>
            <w:shd w:val="clear" w:color="auto" w:fill="auto"/>
            <w:noWrap/>
            <w:vAlign w:val="bottom"/>
            <w:hideMark/>
          </w:tcPr>
          <w:p w:rsidR="000B7DA5" w:rsidRPr="00883EC9" w:rsidRDefault="000B7DA5" w:rsidP="000B7DA5">
            <w:pPr>
              <w:rPr>
                <w:rFonts w:ascii="Times New Roman CE" w:hAnsi="Times New Roman CE" w:cs="Times New Roman CE"/>
                <w:sz w:val="21"/>
                <w:szCs w:val="21"/>
              </w:rPr>
            </w:pPr>
            <w:r w:rsidRPr="00883EC9">
              <w:rPr>
                <w:rFonts w:ascii="Times New Roman CE" w:hAnsi="Times New Roman CE" w:cs="Times New Roman CE"/>
                <w:sz w:val="21"/>
                <w:szCs w:val="21"/>
              </w:rPr>
              <w:t>31-90 nap</w:t>
            </w:r>
          </w:p>
        </w:tc>
        <w:tc>
          <w:tcPr>
            <w:tcW w:w="974" w:type="dxa"/>
            <w:tcBorders>
              <w:top w:val="nil"/>
              <w:left w:val="nil"/>
              <w:bottom w:val="nil"/>
              <w:right w:val="nil"/>
            </w:tcBorders>
            <w:shd w:val="clear" w:color="auto" w:fill="auto"/>
            <w:noWrap/>
            <w:vAlign w:val="bottom"/>
            <w:hideMark/>
          </w:tcPr>
          <w:p w:rsidR="000B7DA5" w:rsidRPr="00883EC9" w:rsidRDefault="000B7DA5" w:rsidP="000B7DA5">
            <w:pPr>
              <w:jc w:val="right"/>
              <w:rPr>
                <w:sz w:val="21"/>
                <w:szCs w:val="21"/>
              </w:rPr>
            </w:pPr>
            <w:r w:rsidRPr="00883EC9">
              <w:rPr>
                <w:sz w:val="21"/>
                <w:szCs w:val="21"/>
              </w:rPr>
              <w:t>27 559</w:t>
            </w:r>
          </w:p>
        </w:tc>
        <w:tc>
          <w:tcPr>
            <w:tcW w:w="567" w:type="dxa"/>
            <w:tcBorders>
              <w:top w:val="nil"/>
              <w:left w:val="nil"/>
              <w:bottom w:val="nil"/>
              <w:right w:val="nil"/>
            </w:tcBorders>
            <w:shd w:val="clear" w:color="auto" w:fill="auto"/>
            <w:noWrap/>
            <w:vAlign w:val="bottom"/>
            <w:hideMark/>
          </w:tcPr>
          <w:p w:rsidR="000B7DA5" w:rsidRPr="00883EC9" w:rsidRDefault="000B7DA5" w:rsidP="000B7DA5">
            <w:pPr>
              <w:jc w:val="right"/>
              <w:rPr>
                <w:rFonts w:ascii="Times New Roman CE" w:hAnsi="Times New Roman CE" w:cs="Times New Roman CE"/>
                <w:sz w:val="21"/>
                <w:szCs w:val="21"/>
              </w:rPr>
            </w:pPr>
            <w:r w:rsidRPr="00883EC9">
              <w:rPr>
                <w:rFonts w:ascii="Times New Roman CE" w:hAnsi="Times New Roman CE" w:cs="Times New Roman CE"/>
                <w:sz w:val="21"/>
                <w:szCs w:val="21"/>
              </w:rPr>
              <w:t>7%</w:t>
            </w:r>
          </w:p>
        </w:tc>
        <w:tc>
          <w:tcPr>
            <w:tcW w:w="1196" w:type="dxa"/>
            <w:gridSpan w:val="2"/>
            <w:tcBorders>
              <w:top w:val="nil"/>
              <w:left w:val="nil"/>
              <w:bottom w:val="nil"/>
              <w:right w:val="nil"/>
            </w:tcBorders>
            <w:shd w:val="clear" w:color="auto" w:fill="auto"/>
            <w:noWrap/>
            <w:vAlign w:val="bottom"/>
            <w:hideMark/>
          </w:tcPr>
          <w:p w:rsidR="000B7DA5" w:rsidRPr="00883EC9" w:rsidRDefault="000B7DA5" w:rsidP="000B7DA5">
            <w:pPr>
              <w:jc w:val="right"/>
              <w:rPr>
                <w:sz w:val="21"/>
                <w:szCs w:val="21"/>
              </w:rPr>
            </w:pPr>
            <w:r w:rsidRPr="00883EC9">
              <w:rPr>
                <w:sz w:val="21"/>
                <w:szCs w:val="21"/>
              </w:rPr>
              <w:t>26 189</w:t>
            </w:r>
          </w:p>
        </w:tc>
        <w:tc>
          <w:tcPr>
            <w:tcW w:w="647" w:type="dxa"/>
            <w:tcBorders>
              <w:top w:val="nil"/>
              <w:left w:val="nil"/>
              <w:bottom w:val="nil"/>
              <w:right w:val="nil"/>
            </w:tcBorders>
            <w:shd w:val="clear" w:color="auto" w:fill="auto"/>
            <w:noWrap/>
            <w:vAlign w:val="bottom"/>
            <w:hideMark/>
          </w:tcPr>
          <w:p w:rsidR="000B7DA5" w:rsidRPr="00883EC9" w:rsidRDefault="000B7DA5" w:rsidP="000B7DA5">
            <w:pPr>
              <w:jc w:val="right"/>
              <w:rPr>
                <w:rFonts w:ascii="Times New Roman CE" w:hAnsi="Times New Roman CE" w:cs="Times New Roman CE"/>
                <w:sz w:val="21"/>
                <w:szCs w:val="21"/>
              </w:rPr>
            </w:pPr>
            <w:r w:rsidRPr="00883EC9">
              <w:rPr>
                <w:rFonts w:ascii="Times New Roman CE" w:hAnsi="Times New Roman CE" w:cs="Times New Roman CE"/>
                <w:sz w:val="21"/>
                <w:szCs w:val="21"/>
              </w:rPr>
              <w:t>8%</w:t>
            </w:r>
          </w:p>
        </w:tc>
        <w:tc>
          <w:tcPr>
            <w:tcW w:w="1196" w:type="dxa"/>
            <w:gridSpan w:val="2"/>
            <w:tcBorders>
              <w:top w:val="nil"/>
              <w:left w:val="nil"/>
              <w:bottom w:val="nil"/>
              <w:right w:val="nil"/>
            </w:tcBorders>
            <w:shd w:val="clear" w:color="auto" w:fill="auto"/>
            <w:noWrap/>
            <w:vAlign w:val="bottom"/>
            <w:hideMark/>
          </w:tcPr>
          <w:p w:rsidR="000B7DA5" w:rsidRPr="00883EC9" w:rsidRDefault="000B7DA5" w:rsidP="000B7DA5">
            <w:pPr>
              <w:jc w:val="right"/>
              <w:rPr>
                <w:sz w:val="21"/>
                <w:szCs w:val="21"/>
              </w:rPr>
            </w:pPr>
            <w:r w:rsidRPr="00883EC9">
              <w:rPr>
                <w:sz w:val="21"/>
                <w:szCs w:val="21"/>
              </w:rPr>
              <w:t>24 857</w:t>
            </w:r>
          </w:p>
        </w:tc>
        <w:tc>
          <w:tcPr>
            <w:tcW w:w="647" w:type="dxa"/>
            <w:tcBorders>
              <w:top w:val="nil"/>
              <w:left w:val="nil"/>
              <w:bottom w:val="nil"/>
              <w:right w:val="nil"/>
            </w:tcBorders>
            <w:shd w:val="clear" w:color="auto" w:fill="auto"/>
            <w:noWrap/>
            <w:vAlign w:val="bottom"/>
            <w:hideMark/>
          </w:tcPr>
          <w:p w:rsidR="000B7DA5" w:rsidRPr="00883EC9" w:rsidRDefault="000B7DA5" w:rsidP="000B7DA5">
            <w:pPr>
              <w:jc w:val="right"/>
              <w:rPr>
                <w:rFonts w:ascii="Times New Roman CE" w:hAnsi="Times New Roman CE" w:cs="Times New Roman CE"/>
                <w:sz w:val="21"/>
                <w:szCs w:val="21"/>
              </w:rPr>
            </w:pPr>
            <w:r w:rsidRPr="00883EC9">
              <w:rPr>
                <w:rFonts w:ascii="Times New Roman CE" w:hAnsi="Times New Roman CE" w:cs="Times New Roman CE"/>
                <w:sz w:val="21"/>
                <w:szCs w:val="21"/>
              </w:rPr>
              <w:t>7%</w:t>
            </w:r>
          </w:p>
        </w:tc>
        <w:tc>
          <w:tcPr>
            <w:tcW w:w="1275" w:type="dxa"/>
            <w:gridSpan w:val="2"/>
            <w:tcBorders>
              <w:top w:val="nil"/>
              <w:left w:val="nil"/>
              <w:bottom w:val="nil"/>
              <w:right w:val="nil"/>
            </w:tcBorders>
            <w:shd w:val="clear" w:color="auto" w:fill="auto"/>
            <w:noWrap/>
            <w:vAlign w:val="bottom"/>
            <w:hideMark/>
          </w:tcPr>
          <w:p w:rsidR="000B7DA5" w:rsidRPr="00883EC9" w:rsidRDefault="000B7DA5" w:rsidP="000B7DA5">
            <w:pPr>
              <w:jc w:val="right"/>
              <w:rPr>
                <w:sz w:val="21"/>
                <w:szCs w:val="21"/>
              </w:rPr>
            </w:pPr>
            <w:r w:rsidRPr="00883EC9">
              <w:rPr>
                <w:sz w:val="21"/>
                <w:szCs w:val="21"/>
              </w:rPr>
              <w:t>-2 702</w:t>
            </w:r>
          </w:p>
        </w:tc>
        <w:tc>
          <w:tcPr>
            <w:tcW w:w="1276" w:type="dxa"/>
            <w:gridSpan w:val="2"/>
            <w:tcBorders>
              <w:top w:val="nil"/>
              <w:left w:val="nil"/>
              <w:bottom w:val="nil"/>
              <w:right w:val="nil"/>
            </w:tcBorders>
            <w:shd w:val="clear" w:color="auto" w:fill="auto"/>
            <w:noWrap/>
            <w:vAlign w:val="bottom"/>
            <w:hideMark/>
          </w:tcPr>
          <w:p w:rsidR="000B7DA5" w:rsidRPr="00883EC9" w:rsidRDefault="000B7DA5" w:rsidP="000B7DA5">
            <w:pPr>
              <w:jc w:val="right"/>
              <w:rPr>
                <w:sz w:val="21"/>
                <w:szCs w:val="21"/>
              </w:rPr>
            </w:pPr>
            <w:r w:rsidRPr="00883EC9">
              <w:rPr>
                <w:sz w:val="21"/>
                <w:szCs w:val="21"/>
              </w:rPr>
              <w:t>-1 332</w:t>
            </w:r>
          </w:p>
        </w:tc>
      </w:tr>
      <w:tr w:rsidR="000B7DA5" w:rsidRPr="00883EC9" w:rsidTr="00675ABD">
        <w:trPr>
          <w:gridAfter w:val="1"/>
          <w:wAfter w:w="425" w:type="dxa"/>
          <w:trHeight w:val="80"/>
        </w:trPr>
        <w:tc>
          <w:tcPr>
            <w:tcW w:w="1436" w:type="dxa"/>
            <w:tcBorders>
              <w:top w:val="nil"/>
              <w:left w:val="nil"/>
              <w:bottom w:val="nil"/>
              <w:right w:val="nil"/>
            </w:tcBorders>
            <w:shd w:val="clear" w:color="auto" w:fill="auto"/>
            <w:noWrap/>
            <w:vAlign w:val="bottom"/>
            <w:hideMark/>
          </w:tcPr>
          <w:p w:rsidR="000B7DA5" w:rsidRPr="00883EC9" w:rsidRDefault="000B7DA5" w:rsidP="000B7DA5">
            <w:pPr>
              <w:rPr>
                <w:rFonts w:ascii="Times New Roman CE" w:hAnsi="Times New Roman CE" w:cs="Times New Roman CE"/>
                <w:sz w:val="21"/>
                <w:szCs w:val="21"/>
              </w:rPr>
            </w:pPr>
            <w:r w:rsidRPr="00883EC9">
              <w:rPr>
                <w:rFonts w:ascii="Times New Roman CE" w:hAnsi="Times New Roman CE" w:cs="Times New Roman CE"/>
                <w:sz w:val="21"/>
                <w:szCs w:val="21"/>
              </w:rPr>
              <w:t>91-180 nap</w:t>
            </w:r>
          </w:p>
        </w:tc>
        <w:tc>
          <w:tcPr>
            <w:tcW w:w="974" w:type="dxa"/>
            <w:tcBorders>
              <w:top w:val="nil"/>
              <w:left w:val="nil"/>
              <w:bottom w:val="nil"/>
              <w:right w:val="nil"/>
            </w:tcBorders>
            <w:shd w:val="clear" w:color="auto" w:fill="auto"/>
            <w:noWrap/>
            <w:vAlign w:val="bottom"/>
            <w:hideMark/>
          </w:tcPr>
          <w:p w:rsidR="000B7DA5" w:rsidRPr="00883EC9" w:rsidRDefault="000B7DA5" w:rsidP="000B7DA5">
            <w:pPr>
              <w:jc w:val="right"/>
              <w:rPr>
                <w:sz w:val="21"/>
                <w:szCs w:val="21"/>
              </w:rPr>
            </w:pPr>
            <w:r w:rsidRPr="00883EC9">
              <w:rPr>
                <w:sz w:val="21"/>
                <w:szCs w:val="21"/>
              </w:rPr>
              <w:t>18 832</w:t>
            </w:r>
          </w:p>
        </w:tc>
        <w:tc>
          <w:tcPr>
            <w:tcW w:w="567" w:type="dxa"/>
            <w:tcBorders>
              <w:top w:val="nil"/>
              <w:left w:val="nil"/>
              <w:bottom w:val="nil"/>
              <w:right w:val="nil"/>
            </w:tcBorders>
            <w:shd w:val="clear" w:color="auto" w:fill="auto"/>
            <w:noWrap/>
            <w:vAlign w:val="bottom"/>
            <w:hideMark/>
          </w:tcPr>
          <w:p w:rsidR="000B7DA5" w:rsidRPr="00883EC9" w:rsidRDefault="000B7DA5" w:rsidP="000B7DA5">
            <w:pPr>
              <w:jc w:val="right"/>
              <w:rPr>
                <w:rFonts w:ascii="Times New Roman CE" w:hAnsi="Times New Roman CE" w:cs="Times New Roman CE"/>
                <w:sz w:val="21"/>
                <w:szCs w:val="21"/>
              </w:rPr>
            </w:pPr>
            <w:r w:rsidRPr="00883EC9">
              <w:rPr>
                <w:rFonts w:ascii="Times New Roman CE" w:hAnsi="Times New Roman CE" w:cs="Times New Roman CE"/>
                <w:sz w:val="21"/>
                <w:szCs w:val="21"/>
              </w:rPr>
              <w:t>5%</w:t>
            </w:r>
          </w:p>
        </w:tc>
        <w:tc>
          <w:tcPr>
            <w:tcW w:w="1196" w:type="dxa"/>
            <w:gridSpan w:val="2"/>
            <w:tcBorders>
              <w:top w:val="nil"/>
              <w:left w:val="nil"/>
              <w:bottom w:val="nil"/>
              <w:right w:val="nil"/>
            </w:tcBorders>
            <w:shd w:val="clear" w:color="auto" w:fill="auto"/>
            <w:noWrap/>
            <w:vAlign w:val="bottom"/>
            <w:hideMark/>
          </w:tcPr>
          <w:p w:rsidR="000B7DA5" w:rsidRPr="00883EC9" w:rsidRDefault="000B7DA5" w:rsidP="000B7DA5">
            <w:pPr>
              <w:jc w:val="right"/>
              <w:rPr>
                <w:sz w:val="21"/>
                <w:szCs w:val="21"/>
              </w:rPr>
            </w:pPr>
            <w:r w:rsidRPr="00883EC9">
              <w:rPr>
                <w:sz w:val="21"/>
                <w:szCs w:val="21"/>
              </w:rPr>
              <w:t>13 977</w:t>
            </w:r>
          </w:p>
        </w:tc>
        <w:tc>
          <w:tcPr>
            <w:tcW w:w="647" w:type="dxa"/>
            <w:tcBorders>
              <w:top w:val="nil"/>
              <w:left w:val="nil"/>
              <w:bottom w:val="nil"/>
              <w:right w:val="nil"/>
            </w:tcBorders>
            <w:shd w:val="clear" w:color="auto" w:fill="auto"/>
            <w:noWrap/>
            <w:vAlign w:val="bottom"/>
            <w:hideMark/>
          </w:tcPr>
          <w:p w:rsidR="000B7DA5" w:rsidRPr="00883EC9" w:rsidRDefault="000B7DA5" w:rsidP="000B7DA5">
            <w:pPr>
              <w:jc w:val="right"/>
              <w:rPr>
                <w:rFonts w:ascii="Times New Roman CE" w:hAnsi="Times New Roman CE" w:cs="Times New Roman CE"/>
                <w:sz w:val="21"/>
                <w:szCs w:val="21"/>
              </w:rPr>
            </w:pPr>
            <w:r w:rsidRPr="00883EC9">
              <w:rPr>
                <w:rFonts w:ascii="Times New Roman CE" w:hAnsi="Times New Roman CE" w:cs="Times New Roman CE"/>
                <w:sz w:val="21"/>
                <w:szCs w:val="21"/>
              </w:rPr>
              <w:t>4%</w:t>
            </w:r>
          </w:p>
        </w:tc>
        <w:tc>
          <w:tcPr>
            <w:tcW w:w="1196" w:type="dxa"/>
            <w:gridSpan w:val="2"/>
            <w:tcBorders>
              <w:top w:val="nil"/>
              <w:left w:val="nil"/>
              <w:bottom w:val="nil"/>
              <w:right w:val="nil"/>
            </w:tcBorders>
            <w:shd w:val="clear" w:color="auto" w:fill="auto"/>
            <w:noWrap/>
            <w:vAlign w:val="bottom"/>
            <w:hideMark/>
          </w:tcPr>
          <w:p w:rsidR="000B7DA5" w:rsidRPr="00883EC9" w:rsidRDefault="000B7DA5" w:rsidP="000B7DA5">
            <w:pPr>
              <w:jc w:val="right"/>
              <w:rPr>
                <w:sz w:val="21"/>
                <w:szCs w:val="21"/>
              </w:rPr>
            </w:pPr>
            <w:r w:rsidRPr="00883EC9">
              <w:rPr>
                <w:sz w:val="21"/>
                <w:szCs w:val="21"/>
              </w:rPr>
              <w:t>12 761</w:t>
            </w:r>
          </w:p>
        </w:tc>
        <w:tc>
          <w:tcPr>
            <w:tcW w:w="647" w:type="dxa"/>
            <w:tcBorders>
              <w:top w:val="nil"/>
              <w:left w:val="nil"/>
              <w:bottom w:val="nil"/>
              <w:right w:val="nil"/>
            </w:tcBorders>
            <w:shd w:val="clear" w:color="auto" w:fill="auto"/>
            <w:noWrap/>
            <w:vAlign w:val="bottom"/>
            <w:hideMark/>
          </w:tcPr>
          <w:p w:rsidR="000B7DA5" w:rsidRPr="00883EC9" w:rsidRDefault="000B7DA5" w:rsidP="000B7DA5">
            <w:pPr>
              <w:jc w:val="right"/>
              <w:rPr>
                <w:rFonts w:ascii="Times New Roman CE" w:hAnsi="Times New Roman CE" w:cs="Times New Roman CE"/>
                <w:sz w:val="21"/>
                <w:szCs w:val="21"/>
              </w:rPr>
            </w:pPr>
            <w:r w:rsidRPr="00883EC9">
              <w:rPr>
                <w:rFonts w:ascii="Times New Roman CE" w:hAnsi="Times New Roman CE" w:cs="Times New Roman CE"/>
                <w:sz w:val="21"/>
                <w:szCs w:val="21"/>
              </w:rPr>
              <w:t>4%</w:t>
            </w:r>
          </w:p>
        </w:tc>
        <w:tc>
          <w:tcPr>
            <w:tcW w:w="1275" w:type="dxa"/>
            <w:gridSpan w:val="2"/>
            <w:tcBorders>
              <w:top w:val="nil"/>
              <w:left w:val="nil"/>
              <w:bottom w:val="nil"/>
              <w:right w:val="nil"/>
            </w:tcBorders>
            <w:shd w:val="clear" w:color="auto" w:fill="auto"/>
            <w:noWrap/>
            <w:vAlign w:val="bottom"/>
            <w:hideMark/>
          </w:tcPr>
          <w:p w:rsidR="000B7DA5" w:rsidRPr="00883EC9" w:rsidRDefault="000B7DA5" w:rsidP="000B7DA5">
            <w:pPr>
              <w:jc w:val="right"/>
              <w:rPr>
                <w:sz w:val="21"/>
                <w:szCs w:val="21"/>
              </w:rPr>
            </w:pPr>
            <w:r w:rsidRPr="00883EC9">
              <w:rPr>
                <w:sz w:val="21"/>
                <w:szCs w:val="21"/>
              </w:rPr>
              <w:t>-6 071</w:t>
            </w:r>
          </w:p>
        </w:tc>
        <w:tc>
          <w:tcPr>
            <w:tcW w:w="1276" w:type="dxa"/>
            <w:gridSpan w:val="2"/>
            <w:tcBorders>
              <w:top w:val="nil"/>
              <w:left w:val="nil"/>
              <w:bottom w:val="nil"/>
              <w:right w:val="nil"/>
            </w:tcBorders>
            <w:shd w:val="clear" w:color="auto" w:fill="auto"/>
            <w:noWrap/>
            <w:vAlign w:val="bottom"/>
            <w:hideMark/>
          </w:tcPr>
          <w:p w:rsidR="000B7DA5" w:rsidRPr="00883EC9" w:rsidRDefault="000B7DA5" w:rsidP="000B7DA5">
            <w:pPr>
              <w:jc w:val="right"/>
              <w:rPr>
                <w:sz w:val="21"/>
                <w:szCs w:val="21"/>
              </w:rPr>
            </w:pPr>
            <w:r w:rsidRPr="00883EC9">
              <w:rPr>
                <w:sz w:val="21"/>
                <w:szCs w:val="21"/>
              </w:rPr>
              <w:t>-1 216</w:t>
            </w:r>
          </w:p>
        </w:tc>
      </w:tr>
      <w:tr w:rsidR="000B7DA5" w:rsidRPr="00883EC9" w:rsidTr="00675ABD">
        <w:trPr>
          <w:gridAfter w:val="1"/>
          <w:wAfter w:w="425" w:type="dxa"/>
          <w:trHeight w:val="126"/>
        </w:trPr>
        <w:tc>
          <w:tcPr>
            <w:tcW w:w="1436" w:type="dxa"/>
            <w:tcBorders>
              <w:top w:val="nil"/>
              <w:left w:val="nil"/>
              <w:bottom w:val="nil"/>
              <w:right w:val="nil"/>
            </w:tcBorders>
            <w:shd w:val="clear" w:color="auto" w:fill="auto"/>
            <w:noWrap/>
            <w:vAlign w:val="bottom"/>
            <w:hideMark/>
          </w:tcPr>
          <w:p w:rsidR="000B7DA5" w:rsidRPr="00883EC9" w:rsidRDefault="000B7DA5" w:rsidP="000B7DA5">
            <w:pPr>
              <w:rPr>
                <w:rFonts w:ascii="Times New Roman CE" w:hAnsi="Times New Roman CE" w:cs="Times New Roman CE"/>
                <w:sz w:val="21"/>
                <w:szCs w:val="21"/>
              </w:rPr>
            </w:pPr>
            <w:r w:rsidRPr="00883EC9">
              <w:rPr>
                <w:rFonts w:ascii="Times New Roman CE" w:hAnsi="Times New Roman CE" w:cs="Times New Roman CE"/>
                <w:sz w:val="21"/>
                <w:szCs w:val="21"/>
              </w:rPr>
              <w:t>181-365 nap</w:t>
            </w:r>
          </w:p>
        </w:tc>
        <w:tc>
          <w:tcPr>
            <w:tcW w:w="974" w:type="dxa"/>
            <w:tcBorders>
              <w:top w:val="nil"/>
              <w:left w:val="nil"/>
              <w:bottom w:val="nil"/>
              <w:right w:val="nil"/>
            </w:tcBorders>
            <w:shd w:val="clear" w:color="auto" w:fill="auto"/>
            <w:noWrap/>
            <w:vAlign w:val="bottom"/>
            <w:hideMark/>
          </w:tcPr>
          <w:p w:rsidR="000B7DA5" w:rsidRPr="00883EC9" w:rsidRDefault="000B7DA5" w:rsidP="000B7DA5">
            <w:pPr>
              <w:jc w:val="right"/>
              <w:rPr>
                <w:sz w:val="21"/>
                <w:szCs w:val="21"/>
              </w:rPr>
            </w:pPr>
            <w:r w:rsidRPr="00883EC9">
              <w:rPr>
                <w:sz w:val="21"/>
                <w:szCs w:val="21"/>
              </w:rPr>
              <w:t>30 116</w:t>
            </w:r>
          </w:p>
        </w:tc>
        <w:tc>
          <w:tcPr>
            <w:tcW w:w="567" w:type="dxa"/>
            <w:tcBorders>
              <w:top w:val="nil"/>
              <w:left w:val="nil"/>
              <w:bottom w:val="nil"/>
              <w:right w:val="nil"/>
            </w:tcBorders>
            <w:shd w:val="clear" w:color="auto" w:fill="auto"/>
            <w:noWrap/>
            <w:vAlign w:val="bottom"/>
            <w:hideMark/>
          </w:tcPr>
          <w:p w:rsidR="000B7DA5" w:rsidRPr="00883EC9" w:rsidRDefault="000B7DA5" w:rsidP="000B7DA5">
            <w:pPr>
              <w:jc w:val="right"/>
              <w:rPr>
                <w:rFonts w:ascii="Times New Roman CE" w:hAnsi="Times New Roman CE" w:cs="Times New Roman CE"/>
                <w:sz w:val="21"/>
                <w:szCs w:val="21"/>
              </w:rPr>
            </w:pPr>
            <w:r w:rsidRPr="00883EC9">
              <w:rPr>
                <w:rFonts w:ascii="Times New Roman CE" w:hAnsi="Times New Roman CE" w:cs="Times New Roman CE"/>
                <w:sz w:val="21"/>
                <w:szCs w:val="21"/>
              </w:rPr>
              <w:t>8%</w:t>
            </w:r>
          </w:p>
        </w:tc>
        <w:tc>
          <w:tcPr>
            <w:tcW w:w="1196" w:type="dxa"/>
            <w:gridSpan w:val="2"/>
            <w:tcBorders>
              <w:top w:val="nil"/>
              <w:left w:val="nil"/>
              <w:bottom w:val="nil"/>
              <w:right w:val="nil"/>
            </w:tcBorders>
            <w:shd w:val="clear" w:color="auto" w:fill="auto"/>
            <w:noWrap/>
            <w:vAlign w:val="bottom"/>
            <w:hideMark/>
          </w:tcPr>
          <w:p w:rsidR="000B7DA5" w:rsidRPr="00883EC9" w:rsidRDefault="000B7DA5" w:rsidP="000B7DA5">
            <w:pPr>
              <w:jc w:val="right"/>
              <w:rPr>
                <w:sz w:val="21"/>
                <w:szCs w:val="21"/>
              </w:rPr>
            </w:pPr>
            <w:r w:rsidRPr="00883EC9">
              <w:rPr>
                <w:sz w:val="21"/>
                <w:szCs w:val="21"/>
              </w:rPr>
              <w:t>20 370</w:t>
            </w:r>
          </w:p>
        </w:tc>
        <w:tc>
          <w:tcPr>
            <w:tcW w:w="647" w:type="dxa"/>
            <w:tcBorders>
              <w:top w:val="nil"/>
              <w:left w:val="nil"/>
              <w:bottom w:val="nil"/>
              <w:right w:val="nil"/>
            </w:tcBorders>
            <w:shd w:val="clear" w:color="auto" w:fill="auto"/>
            <w:noWrap/>
            <w:vAlign w:val="bottom"/>
            <w:hideMark/>
          </w:tcPr>
          <w:p w:rsidR="000B7DA5" w:rsidRPr="00883EC9" w:rsidRDefault="000B7DA5" w:rsidP="000B7DA5">
            <w:pPr>
              <w:jc w:val="right"/>
              <w:rPr>
                <w:rFonts w:ascii="Times New Roman CE" w:hAnsi="Times New Roman CE" w:cs="Times New Roman CE"/>
                <w:sz w:val="21"/>
                <w:szCs w:val="21"/>
              </w:rPr>
            </w:pPr>
            <w:r w:rsidRPr="00883EC9">
              <w:rPr>
                <w:rFonts w:ascii="Times New Roman CE" w:hAnsi="Times New Roman CE" w:cs="Times New Roman CE"/>
                <w:sz w:val="21"/>
                <w:szCs w:val="21"/>
              </w:rPr>
              <w:t>6%</w:t>
            </w:r>
          </w:p>
        </w:tc>
        <w:tc>
          <w:tcPr>
            <w:tcW w:w="1196" w:type="dxa"/>
            <w:gridSpan w:val="2"/>
            <w:tcBorders>
              <w:top w:val="nil"/>
              <w:left w:val="nil"/>
              <w:bottom w:val="nil"/>
              <w:right w:val="nil"/>
            </w:tcBorders>
            <w:shd w:val="clear" w:color="auto" w:fill="auto"/>
            <w:noWrap/>
            <w:vAlign w:val="bottom"/>
            <w:hideMark/>
          </w:tcPr>
          <w:p w:rsidR="000B7DA5" w:rsidRPr="00883EC9" w:rsidRDefault="000B7DA5" w:rsidP="000B7DA5">
            <w:pPr>
              <w:jc w:val="right"/>
              <w:rPr>
                <w:sz w:val="21"/>
                <w:szCs w:val="21"/>
              </w:rPr>
            </w:pPr>
            <w:r w:rsidRPr="00883EC9">
              <w:rPr>
                <w:sz w:val="21"/>
                <w:szCs w:val="21"/>
              </w:rPr>
              <w:t>18 619</w:t>
            </w:r>
          </w:p>
        </w:tc>
        <w:tc>
          <w:tcPr>
            <w:tcW w:w="647" w:type="dxa"/>
            <w:tcBorders>
              <w:top w:val="nil"/>
              <w:left w:val="nil"/>
              <w:bottom w:val="nil"/>
              <w:right w:val="nil"/>
            </w:tcBorders>
            <w:shd w:val="clear" w:color="auto" w:fill="auto"/>
            <w:noWrap/>
            <w:vAlign w:val="bottom"/>
            <w:hideMark/>
          </w:tcPr>
          <w:p w:rsidR="000B7DA5" w:rsidRPr="00883EC9" w:rsidRDefault="000B7DA5" w:rsidP="000B7DA5">
            <w:pPr>
              <w:jc w:val="right"/>
              <w:rPr>
                <w:rFonts w:ascii="Times New Roman CE" w:hAnsi="Times New Roman CE" w:cs="Times New Roman CE"/>
                <w:sz w:val="21"/>
                <w:szCs w:val="21"/>
              </w:rPr>
            </w:pPr>
            <w:r w:rsidRPr="00883EC9">
              <w:rPr>
                <w:rFonts w:ascii="Times New Roman CE" w:hAnsi="Times New Roman CE" w:cs="Times New Roman CE"/>
                <w:sz w:val="21"/>
                <w:szCs w:val="21"/>
              </w:rPr>
              <w:t>5%</w:t>
            </w:r>
          </w:p>
        </w:tc>
        <w:tc>
          <w:tcPr>
            <w:tcW w:w="1275" w:type="dxa"/>
            <w:gridSpan w:val="2"/>
            <w:tcBorders>
              <w:top w:val="nil"/>
              <w:left w:val="nil"/>
              <w:bottom w:val="nil"/>
              <w:right w:val="nil"/>
            </w:tcBorders>
            <w:shd w:val="clear" w:color="auto" w:fill="auto"/>
            <w:noWrap/>
            <w:vAlign w:val="bottom"/>
            <w:hideMark/>
          </w:tcPr>
          <w:p w:rsidR="000B7DA5" w:rsidRPr="00883EC9" w:rsidRDefault="000B7DA5" w:rsidP="000B7DA5">
            <w:pPr>
              <w:jc w:val="right"/>
              <w:rPr>
                <w:sz w:val="21"/>
                <w:szCs w:val="21"/>
              </w:rPr>
            </w:pPr>
            <w:r w:rsidRPr="00883EC9">
              <w:rPr>
                <w:sz w:val="21"/>
                <w:szCs w:val="21"/>
              </w:rPr>
              <w:t>-11 497</w:t>
            </w:r>
          </w:p>
        </w:tc>
        <w:tc>
          <w:tcPr>
            <w:tcW w:w="1276" w:type="dxa"/>
            <w:gridSpan w:val="2"/>
            <w:tcBorders>
              <w:top w:val="nil"/>
              <w:left w:val="nil"/>
              <w:bottom w:val="nil"/>
              <w:right w:val="nil"/>
            </w:tcBorders>
            <w:shd w:val="clear" w:color="auto" w:fill="auto"/>
            <w:noWrap/>
            <w:vAlign w:val="bottom"/>
            <w:hideMark/>
          </w:tcPr>
          <w:p w:rsidR="000B7DA5" w:rsidRPr="00883EC9" w:rsidRDefault="000B7DA5" w:rsidP="000B7DA5">
            <w:pPr>
              <w:jc w:val="right"/>
              <w:rPr>
                <w:sz w:val="21"/>
                <w:szCs w:val="21"/>
              </w:rPr>
            </w:pPr>
            <w:r w:rsidRPr="00883EC9">
              <w:rPr>
                <w:sz w:val="21"/>
                <w:szCs w:val="21"/>
              </w:rPr>
              <w:t>-1 751</w:t>
            </w:r>
          </w:p>
        </w:tc>
      </w:tr>
      <w:tr w:rsidR="000B7DA5" w:rsidRPr="00883EC9" w:rsidTr="00F3539B">
        <w:trPr>
          <w:gridAfter w:val="1"/>
          <w:wAfter w:w="425" w:type="dxa"/>
          <w:trHeight w:val="82"/>
        </w:trPr>
        <w:tc>
          <w:tcPr>
            <w:tcW w:w="1436" w:type="dxa"/>
            <w:tcBorders>
              <w:top w:val="nil"/>
              <w:left w:val="nil"/>
              <w:bottom w:val="single" w:sz="4" w:space="0" w:color="auto"/>
              <w:right w:val="nil"/>
            </w:tcBorders>
            <w:shd w:val="clear" w:color="auto" w:fill="auto"/>
            <w:noWrap/>
            <w:vAlign w:val="bottom"/>
            <w:hideMark/>
          </w:tcPr>
          <w:p w:rsidR="000B7DA5" w:rsidRPr="00883EC9" w:rsidRDefault="000B7DA5" w:rsidP="000B7DA5">
            <w:pPr>
              <w:rPr>
                <w:rFonts w:ascii="Times New Roman CE" w:hAnsi="Times New Roman CE" w:cs="Times New Roman CE"/>
                <w:sz w:val="21"/>
                <w:szCs w:val="21"/>
              </w:rPr>
            </w:pPr>
            <w:r w:rsidRPr="00883EC9">
              <w:rPr>
                <w:rFonts w:ascii="Times New Roman CE" w:hAnsi="Times New Roman CE" w:cs="Times New Roman CE"/>
                <w:sz w:val="21"/>
                <w:szCs w:val="21"/>
              </w:rPr>
              <w:t>365 napon túl</w:t>
            </w:r>
          </w:p>
        </w:tc>
        <w:tc>
          <w:tcPr>
            <w:tcW w:w="974" w:type="dxa"/>
            <w:tcBorders>
              <w:top w:val="nil"/>
              <w:left w:val="nil"/>
              <w:bottom w:val="single" w:sz="4" w:space="0" w:color="auto"/>
              <w:right w:val="nil"/>
            </w:tcBorders>
            <w:shd w:val="clear" w:color="auto" w:fill="auto"/>
            <w:noWrap/>
            <w:vAlign w:val="bottom"/>
            <w:hideMark/>
          </w:tcPr>
          <w:p w:rsidR="000B7DA5" w:rsidRPr="00883EC9" w:rsidRDefault="000B7DA5" w:rsidP="000B7DA5">
            <w:pPr>
              <w:jc w:val="right"/>
              <w:rPr>
                <w:sz w:val="21"/>
                <w:szCs w:val="21"/>
              </w:rPr>
            </w:pPr>
            <w:r w:rsidRPr="00883EC9">
              <w:rPr>
                <w:sz w:val="21"/>
                <w:szCs w:val="21"/>
              </w:rPr>
              <w:t>200 800</w:t>
            </w:r>
          </w:p>
        </w:tc>
        <w:tc>
          <w:tcPr>
            <w:tcW w:w="567" w:type="dxa"/>
            <w:tcBorders>
              <w:top w:val="nil"/>
              <w:left w:val="nil"/>
              <w:bottom w:val="single" w:sz="4" w:space="0" w:color="auto"/>
              <w:right w:val="nil"/>
            </w:tcBorders>
            <w:shd w:val="clear" w:color="auto" w:fill="auto"/>
            <w:noWrap/>
            <w:vAlign w:val="bottom"/>
            <w:hideMark/>
          </w:tcPr>
          <w:p w:rsidR="000B7DA5" w:rsidRPr="00883EC9" w:rsidRDefault="000B7DA5" w:rsidP="000B7DA5">
            <w:pPr>
              <w:jc w:val="right"/>
              <w:rPr>
                <w:rFonts w:ascii="Times New Roman CE" w:hAnsi="Times New Roman CE" w:cs="Times New Roman CE"/>
                <w:sz w:val="21"/>
                <w:szCs w:val="21"/>
              </w:rPr>
            </w:pPr>
            <w:r w:rsidRPr="00883EC9">
              <w:rPr>
                <w:rFonts w:ascii="Times New Roman CE" w:hAnsi="Times New Roman CE" w:cs="Times New Roman CE"/>
                <w:sz w:val="21"/>
                <w:szCs w:val="21"/>
              </w:rPr>
              <w:t>53%</w:t>
            </w:r>
          </w:p>
        </w:tc>
        <w:tc>
          <w:tcPr>
            <w:tcW w:w="1196" w:type="dxa"/>
            <w:gridSpan w:val="2"/>
            <w:tcBorders>
              <w:top w:val="nil"/>
              <w:left w:val="nil"/>
              <w:bottom w:val="single" w:sz="4" w:space="0" w:color="auto"/>
              <w:right w:val="nil"/>
            </w:tcBorders>
            <w:shd w:val="clear" w:color="auto" w:fill="auto"/>
            <w:noWrap/>
            <w:vAlign w:val="bottom"/>
            <w:hideMark/>
          </w:tcPr>
          <w:p w:rsidR="000B7DA5" w:rsidRPr="00883EC9" w:rsidRDefault="000B7DA5" w:rsidP="000B7DA5">
            <w:pPr>
              <w:jc w:val="right"/>
              <w:rPr>
                <w:sz w:val="21"/>
                <w:szCs w:val="21"/>
              </w:rPr>
            </w:pPr>
            <w:r w:rsidRPr="00883EC9">
              <w:rPr>
                <w:sz w:val="21"/>
                <w:szCs w:val="21"/>
              </w:rPr>
              <w:t>195 014</w:t>
            </w:r>
          </w:p>
        </w:tc>
        <w:tc>
          <w:tcPr>
            <w:tcW w:w="647" w:type="dxa"/>
            <w:tcBorders>
              <w:top w:val="nil"/>
              <w:left w:val="nil"/>
              <w:bottom w:val="single" w:sz="4" w:space="0" w:color="auto"/>
              <w:right w:val="nil"/>
            </w:tcBorders>
            <w:shd w:val="clear" w:color="auto" w:fill="auto"/>
            <w:noWrap/>
            <w:vAlign w:val="bottom"/>
            <w:hideMark/>
          </w:tcPr>
          <w:p w:rsidR="000B7DA5" w:rsidRPr="00883EC9" w:rsidRDefault="000B7DA5" w:rsidP="000B7DA5">
            <w:pPr>
              <w:jc w:val="right"/>
              <w:rPr>
                <w:rFonts w:ascii="Times New Roman CE" w:hAnsi="Times New Roman CE" w:cs="Times New Roman CE"/>
                <w:sz w:val="21"/>
                <w:szCs w:val="21"/>
              </w:rPr>
            </w:pPr>
            <w:r w:rsidRPr="00883EC9">
              <w:rPr>
                <w:rFonts w:ascii="Times New Roman CE" w:hAnsi="Times New Roman CE" w:cs="Times New Roman CE"/>
                <w:sz w:val="21"/>
                <w:szCs w:val="21"/>
              </w:rPr>
              <w:t>58%</w:t>
            </w:r>
          </w:p>
        </w:tc>
        <w:tc>
          <w:tcPr>
            <w:tcW w:w="1196" w:type="dxa"/>
            <w:gridSpan w:val="2"/>
            <w:tcBorders>
              <w:top w:val="nil"/>
              <w:left w:val="nil"/>
              <w:bottom w:val="single" w:sz="4" w:space="0" w:color="auto"/>
              <w:right w:val="nil"/>
            </w:tcBorders>
            <w:shd w:val="clear" w:color="auto" w:fill="auto"/>
            <w:noWrap/>
            <w:vAlign w:val="bottom"/>
            <w:hideMark/>
          </w:tcPr>
          <w:p w:rsidR="000B7DA5" w:rsidRPr="00883EC9" w:rsidRDefault="000B7DA5" w:rsidP="000B7DA5">
            <w:pPr>
              <w:jc w:val="right"/>
              <w:rPr>
                <w:sz w:val="21"/>
                <w:szCs w:val="21"/>
              </w:rPr>
            </w:pPr>
            <w:r w:rsidRPr="00883EC9">
              <w:rPr>
                <w:sz w:val="21"/>
                <w:szCs w:val="21"/>
              </w:rPr>
              <w:t>196 089</w:t>
            </w:r>
          </w:p>
        </w:tc>
        <w:tc>
          <w:tcPr>
            <w:tcW w:w="647" w:type="dxa"/>
            <w:tcBorders>
              <w:top w:val="nil"/>
              <w:left w:val="nil"/>
              <w:bottom w:val="single" w:sz="4" w:space="0" w:color="auto"/>
              <w:right w:val="nil"/>
            </w:tcBorders>
            <w:shd w:val="clear" w:color="auto" w:fill="auto"/>
            <w:noWrap/>
            <w:vAlign w:val="bottom"/>
            <w:hideMark/>
          </w:tcPr>
          <w:p w:rsidR="000B7DA5" w:rsidRPr="00883EC9" w:rsidRDefault="000B7DA5" w:rsidP="000B7DA5">
            <w:pPr>
              <w:jc w:val="right"/>
              <w:rPr>
                <w:rFonts w:ascii="Times New Roman CE" w:hAnsi="Times New Roman CE" w:cs="Times New Roman CE"/>
                <w:sz w:val="21"/>
                <w:szCs w:val="21"/>
              </w:rPr>
            </w:pPr>
            <w:r w:rsidRPr="00883EC9">
              <w:rPr>
                <w:rFonts w:ascii="Times New Roman CE" w:hAnsi="Times New Roman CE" w:cs="Times New Roman CE"/>
                <w:sz w:val="21"/>
                <w:szCs w:val="21"/>
              </w:rPr>
              <w:t>54%</w:t>
            </w:r>
          </w:p>
        </w:tc>
        <w:tc>
          <w:tcPr>
            <w:tcW w:w="1275" w:type="dxa"/>
            <w:gridSpan w:val="2"/>
            <w:tcBorders>
              <w:top w:val="nil"/>
              <w:left w:val="nil"/>
              <w:bottom w:val="single" w:sz="4" w:space="0" w:color="auto"/>
              <w:right w:val="nil"/>
            </w:tcBorders>
            <w:shd w:val="clear" w:color="auto" w:fill="auto"/>
            <w:noWrap/>
            <w:vAlign w:val="bottom"/>
            <w:hideMark/>
          </w:tcPr>
          <w:p w:rsidR="000B7DA5" w:rsidRPr="00883EC9" w:rsidRDefault="000B7DA5" w:rsidP="000B7DA5">
            <w:pPr>
              <w:jc w:val="right"/>
              <w:rPr>
                <w:sz w:val="21"/>
                <w:szCs w:val="21"/>
              </w:rPr>
            </w:pPr>
            <w:r w:rsidRPr="00883EC9">
              <w:rPr>
                <w:sz w:val="21"/>
                <w:szCs w:val="21"/>
              </w:rPr>
              <w:t>-4 711</w:t>
            </w:r>
          </w:p>
        </w:tc>
        <w:tc>
          <w:tcPr>
            <w:tcW w:w="1276" w:type="dxa"/>
            <w:gridSpan w:val="2"/>
            <w:tcBorders>
              <w:top w:val="nil"/>
              <w:left w:val="nil"/>
              <w:bottom w:val="single" w:sz="4" w:space="0" w:color="auto"/>
              <w:right w:val="nil"/>
            </w:tcBorders>
            <w:shd w:val="clear" w:color="auto" w:fill="auto"/>
            <w:noWrap/>
            <w:vAlign w:val="bottom"/>
            <w:hideMark/>
          </w:tcPr>
          <w:p w:rsidR="000B7DA5" w:rsidRPr="00883EC9" w:rsidRDefault="000B7DA5" w:rsidP="000B7DA5">
            <w:pPr>
              <w:jc w:val="right"/>
              <w:rPr>
                <w:sz w:val="21"/>
                <w:szCs w:val="21"/>
              </w:rPr>
            </w:pPr>
            <w:r w:rsidRPr="00883EC9">
              <w:rPr>
                <w:sz w:val="21"/>
                <w:szCs w:val="21"/>
              </w:rPr>
              <w:t>1 075</w:t>
            </w:r>
          </w:p>
        </w:tc>
      </w:tr>
      <w:tr w:rsidR="000B7DA5" w:rsidRPr="00883EC9" w:rsidTr="0019526C">
        <w:trPr>
          <w:gridAfter w:val="1"/>
          <w:wAfter w:w="425" w:type="dxa"/>
          <w:trHeight w:val="300"/>
        </w:trPr>
        <w:tc>
          <w:tcPr>
            <w:tcW w:w="1436" w:type="dxa"/>
            <w:tcBorders>
              <w:top w:val="nil"/>
              <w:left w:val="nil"/>
              <w:bottom w:val="nil"/>
              <w:right w:val="nil"/>
            </w:tcBorders>
            <w:shd w:val="clear" w:color="auto" w:fill="auto"/>
            <w:noWrap/>
            <w:vAlign w:val="bottom"/>
            <w:hideMark/>
          </w:tcPr>
          <w:p w:rsidR="000B7DA5" w:rsidRPr="00883EC9" w:rsidRDefault="000B7DA5" w:rsidP="000B7DA5">
            <w:pPr>
              <w:rPr>
                <w:rFonts w:ascii="Times New Roman CE" w:hAnsi="Times New Roman CE" w:cs="Times New Roman CE"/>
                <w:i/>
                <w:iCs/>
                <w:sz w:val="21"/>
                <w:szCs w:val="21"/>
              </w:rPr>
            </w:pPr>
            <w:r w:rsidRPr="00883EC9">
              <w:rPr>
                <w:rFonts w:ascii="Times New Roman CE" w:hAnsi="Times New Roman CE" w:cs="Times New Roman CE"/>
                <w:i/>
                <w:iCs/>
                <w:sz w:val="21"/>
                <w:szCs w:val="21"/>
              </w:rPr>
              <w:t>Összesen</w:t>
            </w:r>
          </w:p>
        </w:tc>
        <w:tc>
          <w:tcPr>
            <w:tcW w:w="974" w:type="dxa"/>
            <w:tcBorders>
              <w:top w:val="nil"/>
              <w:left w:val="nil"/>
              <w:bottom w:val="nil"/>
              <w:right w:val="nil"/>
            </w:tcBorders>
            <w:shd w:val="clear" w:color="auto" w:fill="auto"/>
            <w:noWrap/>
            <w:vAlign w:val="bottom"/>
            <w:hideMark/>
          </w:tcPr>
          <w:p w:rsidR="000B7DA5" w:rsidRPr="00883EC9" w:rsidRDefault="000B7DA5" w:rsidP="000B7DA5">
            <w:pPr>
              <w:jc w:val="right"/>
              <w:rPr>
                <w:rFonts w:ascii="Times New Roman CE" w:hAnsi="Times New Roman CE" w:cs="Times New Roman CE"/>
                <w:i/>
                <w:iCs/>
                <w:sz w:val="21"/>
                <w:szCs w:val="21"/>
              </w:rPr>
            </w:pPr>
            <w:r w:rsidRPr="00883EC9">
              <w:rPr>
                <w:rFonts w:ascii="Times New Roman CE" w:hAnsi="Times New Roman CE" w:cs="Times New Roman CE"/>
                <w:i/>
                <w:iCs/>
                <w:sz w:val="21"/>
                <w:szCs w:val="21"/>
              </w:rPr>
              <w:t>277 307</w:t>
            </w:r>
          </w:p>
        </w:tc>
        <w:tc>
          <w:tcPr>
            <w:tcW w:w="567" w:type="dxa"/>
            <w:tcBorders>
              <w:top w:val="nil"/>
              <w:left w:val="nil"/>
              <w:bottom w:val="nil"/>
              <w:right w:val="nil"/>
            </w:tcBorders>
            <w:shd w:val="clear" w:color="auto" w:fill="auto"/>
            <w:noWrap/>
            <w:vAlign w:val="bottom"/>
            <w:hideMark/>
          </w:tcPr>
          <w:p w:rsidR="000B7DA5" w:rsidRPr="00883EC9" w:rsidRDefault="000B7DA5" w:rsidP="000B7DA5">
            <w:pPr>
              <w:jc w:val="right"/>
              <w:rPr>
                <w:rFonts w:ascii="Times New Roman CE" w:hAnsi="Times New Roman CE" w:cs="Times New Roman CE"/>
                <w:sz w:val="21"/>
                <w:szCs w:val="21"/>
              </w:rPr>
            </w:pPr>
            <w:r w:rsidRPr="00883EC9">
              <w:rPr>
                <w:rFonts w:ascii="Times New Roman CE" w:hAnsi="Times New Roman CE" w:cs="Times New Roman CE"/>
                <w:sz w:val="21"/>
                <w:szCs w:val="21"/>
              </w:rPr>
              <w:t>73%</w:t>
            </w:r>
          </w:p>
        </w:tc>
        <w:tc>
          <w:tcPr>
            <w:tcW w:w="1196" w:type="dxa"/>
            <w:gridSpan w:val="2"/>
            <w:tcBorders>
              <w:top w:val="nil"/>
              <w:left w:val="nil"/>
              <w:bottom w:val="nil"/>
              <w:right w:val="nil"/>
            </w:tcBorders>
            <w:shd w:val="clear" w:color="auto" w:fill="auto"/>
            <w:noWrap/>
            <w:vAlign w:val="bottom"/>
            <w:hideMark/>
          </w:tcPr>
          <w:p w:rsidR="000B7DA5" w:rsidRPr="00883EC9" w:rsidRDefault="000B7DA5" w:rsidP="000B7DA5">
            <w:pPr>
              <w:jc w:val="right"/>
              <w:rPr>
                <w:rFonts w:ascii="Times New Roman CE" w:hAnsi="Times New Roman CE" w:cs="Times New Roman CE"/>
                <w:i/>
                <w:iCs/>
                <w:sz w:val="21"/>
                <w:szCs w:val="21"/>
              </w:rPr>
            </w:pPr>
            <w:r w:rsidRPr="00883EC9">
              <w:rPr>
                <w:rFonts w:ascii="Times New Roman CE" w:hAnsi="Times New Roman CE" w:cs="Times New Roman CE"/>
                <w:i/>
                <w:iCs/>
                <w:sz w:val="21"/>
                <w:szCs w:val="21"/>
              </w:rPr>
              <w:t>255 550</w:t>
            </w:r>
          </w:p>
        </w:tc>
        <w:tc>
          <w:tcPr>
            <w:tcW w:w="647" w:type="dxa"/>
            <w:tcBorders>
              <w:top w:val="nil"/>
              <w:left w:val="nil"/>
              <w:bottom w:val="nil"/>
              <w:right w:val="nil"/>
            </w:tcBorders>
            <w:shd w:val="clear" w:color="auto" w:fill="auto"/>
            <w:noWrap/>
            <w:vAlign w:val="bottom"/>
            <w:hideMark/>
          </w:tcPr>
          <w:p w:rsidR="000B7DA5" w:rsidRPr="00883EC9" w:rsidRDefault="000B7DA5" w:rsidP="000B7DA5">
            <w:pPr>
              <w:jc w:val="right"/>
              <w:rPr>
                <w:rFonts w:ascii="Times New Roman CE" w:hAnsi="Times New Roman CE" w:cs="Times New Roman CE"/>
                <w:sz w:val="21"/>
                <w:szCs w:val="21"/>
              </w:rPr>
            </w:pPr>
            <w:r w:rsidRPr="00883EC9">
              <w:rPr>
                <w:rFonts w:ascii="Times New Roman CE" w:hAnsi="Times New Roman CE" w:cs="Times New Roman CE"/>
                <w:sz w:val="21"/>
                <w:szCs w:val="21"/>
              </w:rPr>
              <w:t>76%</w:t>
            </w:r>
          </w:p>
        </w:tc>
        <w:tc>
          <w:tcPr>
            <w:tcW w:w="1196" w:type="dxa"/>
            <w:gridSpan w:val="2"/>
            <w:tcBorders>
              <w:top w:val="nil"/>
              <w:left w:val="nil"/>
              <w:bottom w:val="nil"/>
              <w:right w:val="nil"/>
            </w:tcBorders>
            <w:shd w:val="clear" w:color="auto" w:fill="auto"/>
            <w:noWrap/>
            <w:vAlign w:val="bottom"/>
            <w:hideMark/>
          </w:tcPr>
          <w:p w:rsidR="000B7DA5" w:rsidRPr="00883EC9" w:rsidRDefault="000B7DA5" w:rsidP="000B7DA5">
            <w:pPr>
              <w:jc w:val="right"/>
              <w:rPr>
                <w:rFonts w:ascii="Times New Roman CE" w:hAnsi="Times New Roman CE" w:cs="Times New Roman CE"/>
                <w:i/>
                <w:iCs/>
                <w:sz w:val="21"/>
                <w:szCs w:val="21"/>
              </w:rPr>
            </w:pPr>
            <w:r w:rsidRPr="00883EC9">
              <w:rPr>
                <w:rFonts w:ascii="Times New Roman CE" w:hAnsi="Times New Roman CE" w:cs="Times New Roman CE"/>
                <w:i/>
                <w:iCs/>
                <w:sz w:val="21"/>
                <w:szCs w:val="21"/>
              </w:rPr>
              <w:t>252 326</w:t>
            </w:r>
          </w:p>
        </w:tc>
        <w:tc>
          <w:tcPr>
            <w:tcW w:w="647" w:type="dxa"/>
            <w:tcBorders>
              <w:top w:val="nil"/>
              <w:left w:val="nil"/>
              <w:bottom w:val="nil"/>
              <w:right w:val="nil"/>
            </w:tcBorders>
            <w:shd w:val="clear" w:color="auto" w:fill="auto"/>
            <w:noWrap/>
            <w:vAlign w:val="bottom"/>
            <w:hideMark/>
          </w:tcPr>
          <w:p w:rsidR="000B7DA5" w:rsidRPr="00883EC9" w:rsidRDefault="000B7DA5" w:rsidP="000B7DA5">
            <w:pPr>
              <w:jc w:val="right"/>
              <w:rPr>
                <w:rFonts w:ascii="Times New Roman CE" w:hAnsi="Times New Roman CE" w:cs="Times New Roman CE"/>
                <w:sz w:val="21"/>
                <w:szCs w:val="21"/>
              </w:rPr>
            </w:pPr>
            <w:r w:rsidRPr="00883EC9">
              <w:rPr>
                <w:rFonts w:ascii="Times New Roman CE" w:hAnsi="Times New Roman CE" w:cs="Times New Roman CE"/>
                <w:sz w:val="21"/>
                <w:szCs w:val="21"/>
              </w:rPr>
              <w:t>69%</w:t>
            </w:r>
          </w:p>
        </w:tc>
        <w:tc>
          <w:tcPr>
            <w:tcW w:w="1275" w:type="dxa"/>
            <w:gridSpan w:val="2"/>
            <w:tcBorders>
              <w:top w:val="nil"/>
              <w:left w:val="nil"/>
              <w:bottom w:val="nil"/>
              <w:right w:val="nil"/>
            </w:tcBorders>
            <w:shd w:val="clear" w:color="auto" w:fill="auto"/>
            <w:noWrap/>
            <w:vAlign w:val="bottom"/>
            <w:hideMark/>
          </w:tcPr>
          <w:p w:rsidR="000B7DA5" w:rsidRPr="00883EC9" w:rsidRDefault="000B7DA5" w:rsidP="000B7DA5">
            <w:pPr>
              <w:jc w:val="right"/>
              <w:rPr>
                <w:rFonts w:ascii="Times New Roman CE" w:hAnsi="Times New Roman CE" w:cs="Times New Roman CE"/>
                <w:i/>
                <w:iCs/>
                <w:sz w:val="21"/>
                <w:szCs w:val="21"/>
              </w:rPr>
            </w:pPr>
            <w:r w:rsidRPr="00883EC9">
              <w:rPr>
                <w:rFonts w:ascii="Times New Roman CE" w:hAnsi="Times New Roman CE" w:cs="Times New Roman CE"/>
                <w:i/>
                <w:iCs/>
                <w:sz w:val="21"/>
                <w:szCs w:val="21"/>
              </w:rPr>
              <w:t>-24 981</w:t>
            </w:r>
          </w:p>
        </w:tc>
        <w:tc>
          <w:tcPr>
            <w:tcW w:w="1276" w:type="dxa"/>
            <w:gridSpan w:val="2"/>
            <w:tcBorders>
              <w:top w:val="nil"/>
              <w:left w:val="nil"/>
              <w:bottom w:val="nil"/>
              <w:right w:val="nil"/>
            </w:tcBorders>
            <w:shd w:val="clear" w:color="auto" w:fill="auto"/>
            <w:noWrap/>
            <w:vAlign w:val="bottom"/>
            <w:hideMark/>
          </w:tcPr>
          <w:p w:rsidR="000B7DA5" w:rsidRPr="00883EC9" w:rsidRDefault="000B7DA5" w:rsidP="000B7DA5">
            <w:pPr>
              <w:jc w:val="right"/>
              <w:rPr>
                <w:rFonts w:ascii="Times New Roman CE" w:hAnsi="Times New Roman CE" w:cs="Times New Roman CE"/>
                <w:i/>
                <w:iCs/>
                <w:sz w:val="21"/>
                <w:szCs w:val="21"/>
              </w:rPr>
            </w:pPr>
            <w:r w:rsidRPr="00883EC9">
              <w:rPr>
                <w:rFonts w:ascii="Times New Roman CE" w:hAnsi="Times New Roman CE" w:cs="Times New Roman CE"/>
                <w:i/>
                <w:iCs/>
                <w:sz w:val="21"/>
                <w:szCs w:val="21"/>
              </w:rPr>
              <w:t>-3 224</w:t>
            </w:r>
          </w:p>
        </w:tc>
      </w:tr>
    </w:tbl>
    <w:p w:rsidR="00A659F9" w:rsidRPr="00F3539B" w:rsidRDefault="00A659F9">
      <w:pPr>
        <w:pStyle w:val="Szvegtrzs2"/>
        <w:ind w:right="200"/>
        <w:rPr>
          <w:sz w:val="16"/>
          <w:szCs w:val="16"/>
        </w:rPr>
      </w:pPr>
    </w:p>
    <w:p w:rsidR="00F3539B" w:rsidRDefault="00F3539B">
      <w:pPr>
        <w:pStyle w:val="Szvegtrzs2"/>
        <w:ind w:right="200"/>
        <w:rPr>
          <w:sz w:val="16"/>
          <w:szCs w:val="16"/>
        </w:rPr>
      </w:pPr>
    </w:p>
    <w:p w:rsidR="00F3539B" w:rsidRPr="00F3539B" w:rsidRDefault="00F3539B">
      <w:pPr>
        <w:pStyle w:val="Szvegtrzs2"/>
        <w:ind w:right="200"/>
        <w:rPr>
          <w:sz w:val="16"/>
          <w:szCs w:val="16"/>
        </w:rPr>
      </w:pPr>
    </w:p>
    <w:p w:rsidR="00FE30AA" w:rsidRPr="00883EC9" w:rsidRDefault="00FE30AA" w:rsidP="00A37052">
      <w:pPr>
        <w:tabs>
          <w:tab w:val="right" w:pos="6237"/>
        </w:tabs>
        <w:jc w:val="both"/>
        <w:rPr>
          <w:sz w:val="24"/>
          <w:szCs w:val="24"/>
        </w:rPr>
      </w:pPr>
      <w:r w:rsidRPr="00883EC9">
        <w:rPr>
          <w:sz w:val="24"/>
          <w:szCs w:val="24"/>
        </w:rPr>
        <w:t>Az 1-30 nap lejáratú kintlévőség összege nagyon különböző lehet attól függően, hogy a leolvasási és számlázási ütemterv szerint kibocsátott számlák fizetési határideje a vizsgált időszakra esik, vagy átkerül a következő időszakra. Az 1-30 nap lejáratú követelések összege 201</w:t>
      </w:r>
      <w:r w:rsidR="00DD00F3" w:rsidRPr="00883EC9">
        <w:rPr>
          <w:sz w:val="24"/>
          <w:szCs w:val="24"/>
        </w:rPr>
        <w:t>7</w:t>
      </w:r>
      <w:r w:rsidRPr="00883EC9">
        <w:rPr>
          <w:sz w:val="24"/>
          <w:szCs w:val="24"/>
        </w:rPr>
        <w:t xml:space="preserve">. június 30-án </w:t>
      </w:r>
      <w:r w:rsidR="005E7889" w:rsidRPr="00883EC9">
        <w:rPr>
          <w:sz w:val="24"/>
          <w:szCs w:val="24"/>
        </w:rPr>
        <w:t>87 681</w:t>
      </w:r>
      <w:r w:rsidRPr="00883EC9">
        <w:rPr>
          <w:sz w:val="24"/>
          <w:szCs w:val="24"/>
        </w:rPr>
        <w:t xml:space="preserve"> </w:t>
      </w:r>
      <w:proofErr w:type="spellStart"/>
      <w:r w:rsidRPr="00883EC9">
        <w:rPr>
          <w:sz w:val="24"/>
          <w:szCs w:val="24"/>
        </w:rPr>
        <w:t>eFt</w:t>
      </w:r>
      <w:proofErr w:type="spellEnd"/>
      <w:r w:rsidRPr="00883EC9">
        <w:rPr>
          <w:sz w:val="24"/>
          <w:szCs w:val="24"/>
        </w:rPr>
        <w:t xml:space="preserve">, az előző év hasonló időpontjában ez az összeg </w:t>
      </w:r>
      <w:r w:rsidR="00DD00F3" w:rsidRPr="00883EC9">
        <w:rPr>
          <w:sz w:val="24"/>
          <w:szCs w:val="24"/>
        </w:rPr>
        <w:t>90 968</w:t>
      </w:r>
      <w:r w:rsidRPr="00883EC9">
        <w:rPr>
          <w:sz w:val="24"/>
          <w:szCs w:val="24"/>
        </w:rPr>
        <w:t xml:space="preserve"> </w:t>
      </w:r>
      <w:proofErr w:type="spellStart"/>
      <w:r w:rsidRPr="00883EC9">
        <w:rPr>
          <w:sz w:val="24"/>
          <w:szCs w:val="24"/>
        </w:rPr>
        <w:t>eFt</w:t>
      </w:r>
      <w:proofErr w:type="spellEnd"/>
      <w:r w:rsidRPr="00883EC9">
        <w:rPr>
          <w:sz w:val="24"/>
          <w:szCs w:val="24"/>
        </w:rPr>
        <w:t xml:space="preserve"> volt.</w:t>
      </w:r>
    </w:p>
    <w:p w:rsidR="00FE30AA" w:rsidRPr="00883EC9" w:rsidRDefault="00FE30AA" w:rsidP="00A37052">
      <w:pPr>
        <w:jc w:val="both"/>
        <w:rPr>
          <w:sz w:val="24"/>
          <w:szCs w:val="24"/>
        </w:rPr>
      </w:pPr>
      <w:r w:rsidRPr="00883EC9">
        <w:rPr>
          <w:sz w:val="24"/>
          <w:szCs w:val="24"/>
        </w:rPr>
        <w:t>A 201</w:t>
      </w:r>
      <w:r w:rsidR="00CD328D" w:rsidRPr="00883EC9">
        <w:rPr>
          <w:sz w:val="24"/>
          <w:szCs w:val="24"/>
        </w:rPr>
        <w:t>7</w:t>
      </w:r>
      <w:r w:rsidRPr="00883EC9">
        <w:rPr>
          <w:sz w:val="24"/>
          <w:szCs w:val="24"/>
        </w:rPr>
        <w:t>. június 30-i 30 napon túli lejárt kintlévőség az értékesítés nettó árbevételéhez viszonyítva 1</w:t>
      </w:r>
      <w:r w:rsidR="00CD328D" w:rsidRPr="00883EC9">
        <w:rPr>
          <w:sz w:val="24"/>
          <w:szCs w:val="24"/>
        </w:rPr>
        <w:t>0</w:t>
      </w:r>
      <w:r w:rsidRPr="00883EC9">
        <w:rPr>
          <w:sz w:val="24"/>
          <w:szCs w:val="24"/>
        </w:rPr>
        <w:t>,8 %, 201</w:t>
      </w:r>
      <w:r w:rsidR="00CD328D" w:rsidRPr="00883EC9">
        <w:rPr>
          <w:sz w:val="24"/>
          <w:szCs w:val="24"/>
        </w:rPr>
        <w:t>6</w:t>
      </w:r>
      <w:r w:rsidRPr="00883EC9">
        <w:rPr>
          <w:sz w:val="24"/>
          <w:szCs w:val="24"/>
        </w:rPr>
        <w:t>. I. félévben 1</w:t>
      </w:r>
      <w:r w:rsidR="00CD328D" w:rsidRPr="00883EC9">
        <w:rPr>
          <w:sz w:val="24"/>
          <w:szCs w:val="24"/>
        </w:rPr>
        <w:t>1,8</w:t>
      </w:r>
      <w:r w:rsidRPr="00883EC9">
        <w:rPr>
          <w:sz w:val="24"/>
          <w:szCs w:val="24"/>
        </w:rPr>
        <w:t xml:space="preserve"> %.</w:t>
      </w:r>
    </w:p>
    <w:p w:rsidR="00FE30AA" w:rsidRPr="00883EC9" w:rsidRDefault="00FE30AA" w:rsidP="00A37052">
      <w:pPr>
        <w:jc w:val="both"/>
        <w:rPr>
          <w:sz w:val="24"/>
          <w:szCs w:val="24"/>
        </w:rPr>
      </w:pPr>
      <w:r w:rsidRPr="00883EC9">
        <w:rPr>
          <w:sz w:val="24"/>
          <w:szCs w:val="24"/>
        </w:rPr>
        <w:t xml:space="preserve">Az önkormányzati építési munkák lejárt fizetési határidejű számlaértékével korrigált kintlévőség aránya az önkormányzati </w:t>
      </w:r>
      <w:proofErr w:type="spellStart"/>
      <w:r w:rsidRPr="00883EC9">
        <w:rPr>
          <w:sz w:val="24"/>
          <w:szCs w:val="24"/>
        </w:rPr>
        <w:t>víziközművek</w:t>
      </w:r>
      <w:proofErr w:type="spellEnd"/>
      <w:r w:rsidRPr="00883EC9">
        <w:rPr>
          <w:sz w:val="24"/>
          <w:szCs w:val="24"/>
        </w:rPr>
        <w:t xml:space="preserve"> építési-szerelési munkáiból származó értékkel korrigált értékesítési nettó árbevételhez viszonyítva </w:t>
      </w:r>
      <w:r w:rsidR="00CD328D" w:rsidRPr="00883EC9">
        <w:rPr>
          <w:sz w:val="24"/>
          <w:szCs w:val="24"/>
        </w:rPr>
        <w:t xml:space="preserve">2017. június 30- </w:t>
      </w:r>
      <w:proofErr w:type="spellStart"/>
      <w:r w:rsidR="00CD328D" w:rsidRPr="00883EC9">
        <w:rPr>
          <w:sz w:val="24"/>
          <w:szCs w:val="24"/>
        </w:rPr>
        <w:t>án</w:t>
      </w:r>
      <w:proofErr w:type="spellEnd"/>
      <w:r w:rsidRPr="00883EC9">
        <w:rPr>
          <w:sz w:val="24"/>
          <w:szCs w:val="24"/>
        </w:rPr>
        <w:t xml:space="preserve"> </w:t>
      </w:r>
      <w:r w:rsidR="00CD328D" w:rsidRPr="00883EC9">
        <w:rPr>
          <w:sz w:val="24"/>
          <w:szCs w:val="24"/>
        </w:rPr>
        <w:t>7,8</w:t>
      </w:r>
      <w:r w:rsidRPr="00883EC9">
        <w:rPr>
          <w:sz w:val="24"/>
          <w:szCs w:val="24"/>
        </w:rPr>
        <w:t xml:space="preserve"> %, </w:t>
      </w:r>
      <w:r w:rsidR="00CD328D" w:rsidRPr="00883EC9">
        <w:rPr>
          <w:sz w:val="24"/>
          <w:szCs w:val="24"/>
        </w:rPr>
        <w:t>bázis időszakban</w:t>
      </w:r>
      <w:r w:rsidRPr="00883EC9">
        <w:rPr>
          <w:sz w:val="24"/>
          <w:szCs w:val="24"/>
        </w:rPr>
        <w:t xml:space="preserve"> </w:t>
      </w:r>
      <w:r w:rsidR="00CD328D" w:rsidRPr="00883EC9">
        <w:rPr>
          <w:sz w:val="24"/>
          <w:szCs w:val="24"/>
        </w:rPr>
        <w:t>9</w:t>
      </w:r>
      <w:r w:rsidRPr="00883EC9">
        <w:rPr>
          <w:sz w:val="24"/>
          <w:szCs w:val="24"/>
        </w:rPr>
        <w:t xml:space="preserve"> %.</w:t>
      </w:r>
    </w:p>
    <w:p w:rsidR="00FE30AA" w:rsidRPr="00883EC9" w:rsidRDefault="00FE30AA">
      <w:pPr>
        <w:pStyle w:val="Szvegtrzs2"/>
        <w:ind w:right="200"/>
      </w:pPr>
    </w:p>
    <w:p w:rsidR="00FE30AA" w:rsidRPr="003A4436" w:rsidRDefault="00FE30AA" w:rsidP="00FE30AA">
      <w:pPr>
        <w:pStyle w:val="Szvegtrzs2"/>
        <w:ind w:right="200"/>
        <w:rPr>
          <w:i/>
          <w:iCs/>
        </w:rPr>
      </w:pPr>
      <w:r w:rsidRPr="003A4436">
        <w:rPr>
          <w:i/>
          <w:iCs/>
        </w:rPr>
        <w:t xml:space="preserve">A kintlévőségek csökkentésére irányuló tevékenységek </w:t>
      </w:r>
    </w:p>
    <w:p w:rsidR="00A659F9" w:rsidRPr="003A4436" w:rsidRDefault="00A659F9">
      <w:pPr>
        <w:pStyle w:val="Szvegtrzs2"/>
        <w:ind w:right="200"/>
        <w:rPr>
          <w:sz w:val="16"/>
          <w:szCs w:val="16"/>
        </w:rPr>
      </w:pPr>
    </w:p>
    <w:p w:rsidR="001A0E60" w:rsidRPr="00883EC9" w:rsidRDefault="00E8097E">
      <w:pPr>
        <w:pStyle w:val="Szvegtrzs2"/>
        <w:ind w:right="200"/>
      </w:pPr>
      <w:r w:rsidRPr="003A4436">
        <w:t xml:space="preserve">Az a felhasználó korlátozható az ivóvíz szolgáltatásban, aki a </w:t>
      </w:r>
      <w:r w:rsidRPr="003A4436">
        <w:rPr>
          <w:i/>
          <w:iCs/>
        </w:rPr>
        <w:t>fizetéssel 60 napot meghaladó késedelem</w:t>
      </w:r>
      <w:r w:rsidRPr="003A4436">
        <w:t>be esett, fizetési haladékról, részletfizetésről egyeztetést kezdeményezett, de az nem ve</w:t>
      </w:r>
      <w:r w:rsidRPr="00883EC9">
        <w:t>zetett eredményre</w:t>
      </w:r>
      <w:r w:rsidR="00F3539B">
        <w:t>,</w:t>
      </w:r>
      <w:r w:rsidRPr="00883EC9">
        <w:t xml:space="preserve"> továbbá akinek írásban legalább kétszer, az átvétel igazolására alkalmas módon (ajánlott valamint tértivevényes levél) történt a felszólítása, illetve az intézkedésről a megyei népegészségügyi szakigazgatási szerv értesítése a felszólítással egyidejűleg, majd a korlátozás bevezetése előtt 8 nappal megtörtént</w:t>
      </w:r>
      <w:r w:rsidR="001A0E60" w:rsidRPr="00883EC9">
        <w:t xml:space="preserve">. </w:t>
      </w:r>
    </w:p>
    <w:p w:rsidR="003878CD" w:rsidRPr="00883EC9" w:rsidRDefault="003878CD">
      <w:pPr>
        <w:pStyle w:val="Szvegtrzs2"/>
        <w:ind w:right="200"/>
      </w:pPr>
      <w:r w:rsidRPr="00883EC9">
        <w:t xml:space="preserve">A </w:t>
      </w:r>
      <w:r w:rsidRPr="00883EC9">
        <w:rPr>
          <w:bCs/>
          <w:i/>
          <w:iCs/>
        </w:rPr>
        <w:t>fizetési felszólítás</w:t>
      </w:r>
      <w:r w:rsidRPr="00883EC9">
        <w:t xml:space="preserve"> kiküldése még tovább hosszabbítaná a behajtás időtartamát, ezért ezek száma jelentősen lecsökkent.</w:t>
      </w:r>
    </w:p>
    <w:p w:rsidR="00E8097E" w:rsidRPr="00883EC9" w:rsidRDefault="00E8097E">
      <w:pPr>
        <w:pStyle w:val="Szvegtrzs2"/>
        <w:ind w:right="200"/>
      </w:pPr>
      <w:r w:rsidRPr="00883EC9">
        <w:t>A</w:t>
      </w:r>
      <w:r w:rsidRPr="00883EC9">
        <w:rPr>
          <w:i/>
          <w:iCs/>
        </w:rPr>
        <w:t xml:space="preserve"> fizetési határidő lejárta után 20 nappal a 8 000 Ft feletti összeggel tartozóknak kiküldjük az 1. számú korlátozási/kizárási felszólítást (K1).</w:t>
      </w:r>
      <w:r w:rsidRPr="00883EC9">
        <w:t xml:space="preserve"> A felszólításban megjelölt határidő lejártát követően azoknak a felhasználóknak küldünk </w:t>
      </w:r>
      <w:r w:rsidRPr="00883EC9">
        <w:rPr>
          <w:i/>
          <w:iCs/>
        </w:rPr>
        <w:t>2. sz. felszólítást (K2), akiknek a tartozása legalább 40 napja lejárt,</w:t>
      </w:r>
      <w:r w:rsidRPr="00883EC9">
        <w:t xml:space="preserve"> az ebben közölt határidőt követően nyílik lehetőség a szolgáltatás korlátozására, amennyiben a tartozás teljes összege nem kerül kiegyenlítésre.</w:t>
      </w:r>
    </w:p>
    <w:p w:rsidR="00E8097E" w:rsidRPr="00883EC9" w:rsidRDefault="00E8097E">
      <w:pPr>
        <w:pStyle w:val="Szvegtrzs2"/>
        <w:ind w:right="142"/>
        <w:rPr>
          <w:sz w:val="16"/>
        </w:rPr>
      </w:pPr>
    </w:p>
    <w:p w:rsidR="00E8097E" w:rsidRPr="00883EC9" w:rsidRDefault="00E8097E">
      <w:pPr>
        <w:pStyle w:val="Szvegtrzs2"/>
        <w:ind w:right="142"/>
      </w:pPr>
      <w:r w:rsidRPr="00883EC9">
        <w:t xml:space="preserve">Az előzőekben említett intézkedések hatására sem fizetők ellen 1 millió Ft alatti tartozás esetén </w:t>
      </w:r>
      <w:r w:rsidRPr="00883EC9">
        <w:rPr>
          <w:i/>
        </w:rPr>
        <w:t xml:space="preserve">fizetési meghagyás </w:t>
      </w:r>
      <w:r w:rsidRPr="00883EC9">
        <w:t xml:space="preserve">kibocsátása kérhető a Magyar Országos Közjegyzői Kamara elektronikus rendszerén keresztül. Ennél nagyobb összegű tartozás peres eljárásban érvényesíthető. </w:t>
      </w:r>
    </w:p>
    <w:p w:rsidR="00C673FF" w:rsidRPr="00883EC9" w:rsidRDefault="00C673FF">
      <w:pPr>
        <w:pStyle w:val="Szvegtrzs31"/>
        <w:widowControl/>
        <w:overflowPunct/>
        <w:autoSpaceDE/>
        <w:autoSpaceDN/>
        <w:adjustRightInd/>
        <w:textAlignment w:val="auto"/>
        <w:rPr>
          <w:szCs w:val="24"/>
        </w:rPr>
      </w:pPr>
    </w:p>
    <w:tbl>
      <w:tblPr>
        <w:tblW w:w="9356" w:type="dxa"/>
        <w:tblCellMar>
          <w:left w:w="70" w:type="dxa"/>
          <w:right w:w="70" w:type="dxa"/>
        </w:tblCellMar>
        <w:tblLook w:val="04A0" w:firstRow="1" w:lastRow="0" w:firstColumn="1" w:lastColumn="0" w:noHBand="0" w:noVBand="1"/>
      </w:tblPr>
      <w:tblGrid>
        <w:gridCol w:w="5245"/>
        <w:gridCol w:w="960"/>
        <w:gridCol w:w="616"/>
        <w:gridCol w:w="948"/>
        <w:gridCol w:w="608"/>
        <w:gridCol w:w="837"/>
        <w:gridCol w:w="142"/>
      </w:tblGrid>
      <w:tr w:rsidR="00FE30AA" w:rsidRPr="00883EC9" w:rsidTr="001F622E">
        <w:trPr>
          <w:trHeight w:val="300"/>
        </w:trPr>
        <w:tc>
          <w:tcPr>
            <w:tcW w:w="5245" w:type="dxa"/>
            <w:tcBorders>
              <w:top w:val="nil"/>
              <w:left w:val="nil"/>
              <w:bottom w:val="single" w:sz="4" w:space="0" w:color="auto"/>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 </w:t>
            </w:r>
          </w:p>
        </w:tc>
        <w:tc>
          <w:tcPr>
            <w:tcW w:w="1576" w:type="dxa"/>
            <w:gridSpan w:val="2"/>
            <w:tcBorders>
              <w:top w:val="nil"/>
              <w:left w:val="nil"/>
              <w:bottom w:val="single" w:sz="4" w:space="0" w:color="auto"/>
              <w:right w:val="nil"/>
            </w:tcBorders>
            <w:shd w:val="clear" w:color="auto" w:fill="auto"/>
            <w:noWrap/>
            <w:vAlign w:val="bottom"/>
            <w:hideMark/>
          </w:tcPr>
          <w:p w:rsidR="00FE30AA" w:rsidRPr="00883EC9" w:rsidRDefault="00FE30AA" w:rsidP="00FE30AA">
            <w:pPr>
              <w:jc w:val="center"/>
              <w:rPr>
                <w:rFonts w:ascii="Times New Roman CE" w:hAnsi="Times New Roman CE" w:cs="Times New Roman CE"/>
                <w:sz w:val="22"/>
                <w:szCs w:val="22"/>
              </w:rPr>
            </w:pPr>
            <w:r w:rsidRPr="00883EC9">
              <w:rPr>
                <w:rFonts w:ascii="Times New Roman CE" w:hAnsi="Times New Roman CE" w:cs="Times New Roman CE"/>
                <w:sz w:val="22"/>
                <w:szCs w:val="22"/>
              </w:rPr>
              <w:t>2016. I. félév</w:t>
            </w:r>
          </w:p>
        </w:tc>
        <w:tc>
          <w:tcPr>
            <w:tcW w:w="1556" w:type="dxa"/>
            <w:gridSpan w:val="2"/>
            <w:tcBorders>
              <w:top w:val="nil"/>
              <w:left w:val="nil"/>
              <w:bottom w:val="single" w:sz="4" w:space="0" w:color="auto"/>
              <w:right w:val="nil"/>
            </w:tcBorders>
            <w:shd w:val="clear" w:color="auto" w:fill="auto"/>
            <w:noWrap/>
            <w:vAlign w:val="bottom"/>
            <w:hideMark/>
          </w:tcPr>
          <w:p w:rsidR="00FE30AA" w:rsidRPr="00883EC9" w:rsidRDefault="00FE30AA" w:rsidP="00FE30AA">
            <w:pPr>
              <w:jc w:val="center"/>
              <w:rPr>
                <w:rFonts w:ascii="Times New Roman CE" w:hAnsi="Times New Roman CE" w:cs="Times New Roman CE"/>
                <w:sz w:val="22"/>
                <w:szCs w:val="22"/>
              </w:rPr>
            </w:pPr>
            <w:r w:rsidRPr="00883EC9">
              <w:rPr>
                <w:rFonts w:ascii="Times New Roman CE" w:hAnsi="Times New Roman CE" w:cs="Times New Roman CE"/>
                <w:sz w:val="22"/>
                <w:szCs w:val="22"/>
              </w:rPr>
              <w:t>2017. I. félév</w:t>
            </w:r>
          </w:p>
        </w:tc>
        <w:tc>
          <w:tcPr>
            <w:tcW w:w="979" w:type="dxa"/>
            <w:gridSpan w:val="2"/>
            <w:tcBorders>
              <w:top w:val="nil"/>
              <w:left w:val="nil"/>
              <w:bottom w:val="single" w:sz="4" w:space="0" w:color="auto"/>
              <w:right w:val="nil"/>
            </w:tcBorders>
            <w:shd w:val="clear" w:color="auto" w:fill="auto"/>
            <w:noWrap/>
            <w:vAlign w:val="bottom"/>
            <w:hideMark/>
          </w:tcPr>
          <w:p w:rsidR="00FE30AA" w:rsidRPr="00883EC9" w:rsidRDefault="00FE30AA" w:rsidP="00FE30AA">
            <w:pPr>
              <w:jc w:val="center"/>
              <w:rPr>
                <w:rFonts w:ascii="Times New Roman CE" w:hAnsi="Times New Roman CE" w:cs="Times New Roman CE"/>
                <w:sz w:val="22"/>
                <w:szCs w:val="22"/>
              </w:rPr>
            </w:pPr>
            <w:r w:rsidRPr="00883EC9">
              <w:rPr>
                <w:rFonts w:ascii="Times New Roman CE" w:hAnsi="Times New Roman CE" w:cs="Times New Roman CE"/>
                <w:sz w:val="22"/>
                <w:szCs w:val="22"/>
              </w:rPr>
              <w:t>Index</w:t>
            </w:r>
          </w:p>
        </w:tc>
      </w:tr>
      <w:tr w:rsidR="00FE30AA" w:rsidRPr="00883EC9" w:rsidTr="001F622E">
        <w:trPr>
          <w:gridAfter w:val="1"/>
          <w:wAfter w:w="142" w:type="dxa"/>
          <w:trHeight w:val="300"/>
        </w:trPr>
        <w:tc>
          <w:tcPr>
            <w:tcW w:w="5245"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Kiküldött fizetési felszólítás</w:t>
            </w:r>
          </w:p>
        </w:tc>
        <w:tc>
          <w:tcPr>
            <w:tcW w:w="960"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8 289</w:t>
            </w:r>
          </w:p>
        </w:tc>
        <w:tc>
          <w:tcPr>
            <w:tcW w:w="616"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db</w:t>
            </w:r>
          </w:p>
        </w:tc>
        <w:tc>
          <w:tcPr>
            <w:tcW w:w="948"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11 099</w:t>
            </w:r>
          </w:p>
        </w:tc>
        <w:tc>
          <w:tcPr>
            <w:tcW w:w="608"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db</w:t>
            </w:r>
          </w:p>
        </w:tc>
        <w:tc>
          <w:tcPr>
            <w:tcW w:w="837"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133,9%</w:t>
            </w:r>
          </w:p>
        </w:tc>
      </w:tr>
      <w:tr w:rsidR="00FE30AA" w:rsidRPr="00883EC9" w:rsidTr="001F622E">
        <w:trPr>
          <w:gridAfter w:val="1"/>
          <w:wAfter w:w="142" w:type="dxa"/>
          <w:trHeight w:val="300"/>
        </w:trPr>
        <w:tc>
          <w:tcPr>
            <w:tcW w:w="5245"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Elindított 1. korlátozási-kizárási eljárás</w:t>
            </w:r>
          </w:p>
        </w:tc>
        <w:tc>
          <w:tcPr>
            <w:tcW w:w="960"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5 925</w:t>
            </w:r>
          </w:p>
        </w:tc>
        <w:tc>
          <w:tcPr>
            <w:tcW w:w="616"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db</w:t>
            </w:r>
          </w:p>
        </w:tc>
        <w:tc>
          <w:tcPr>
            <w:tcW w:w="948"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6 403</w:t>
            </w:r>
          </w:p>
        </w:tc>
        <w:tc>
          <w:tcPr>
            <w:tcW w:w="608"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db</w:t>
            </w:r>
          </w:p>
        </w:tc>
        <w:tc>
          <w:tcPr>
            <w:tcW w:w="837"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108,1%</w:t>
            </w:r>
          </w:p>
        </w:tc>
      </w:tr>
      <w:tr w:rsidR="00FE30AA" w:rsidRPr="00883EC9" w:rsidTr="001F622E">
        <w:trPr>
          <w:gridAfter w:val="1"/>
          <w:wAfter w:w="142" w:type="dxa"/>
          <w:trHeight w:val="300"/>
        </w:trPr>
        <w:tc>
          <w:tcPr>
            <w:tcW w:w="5245"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Elindított 2. korlátozási-kizárási eljárás</w:t>
            </w:r>
          </w:p>
        </w:tc>
        <w:tc>
          <w:tcPr>
            <w:tcW w:w="960"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1 856</w:t>
            </w:r>
          </w:p>
        </w:tc>
        <w:tc>
          <w:tcPr>
            <w:tcW w:w="616"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db</w:t>
            </w:r>
          </w:p>
        </w:tc>
        <w:tc>
          <w:tcPr>
            <w:tcW w:w="948"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1 673</w:t>
            </w:r>
          </w:p>
        </w:tc>
        <w:tc>
          <w:tcPr>
            <w:tcW w:w="608"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db</w:t>
            </w:r>
          </w:p>
        </w:tc>
        <w:tc>
          <w:tcPr>
            <w:tcW w:w="837"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90,1%</w:t>
            </w:r>
          </w:p>
        </w:tc>
      </w:tr>
      <w:tr w:rsidR="00FE30AA" w:rsidRPr="00883EC9" w:rsidTr="001F622E">
        <w:trPr>
          <w:gridAfter w:val="1"/>
          <w:wAfter w:w="142" w:type="dxa"/>
          <w:trHeight w:val="300"/>
        </w:trPr>
        <w:tc>
          <w:tcPr>
            <w:tcW w:w="5245"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 xml:space="preserve">Elindított 1. korlátozás-kizárás tőketartozása </w:t>
            </w:r>
          </w:p>
        </w:tc>
        <w:tc>
          <w:tcPr>
            <w:tcW w:w="960"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191 686</w:t>
            </w:r>
          </w:p>
        </w:tc>
        <w:tc>
          <w:tcPr>
            <w:tcW w:w="616"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eFt</w:t>
            </w:r>
            <w:proofErr w:type="spellEnd"/>
          </w:p>
        </w:tc>
        <w:tc>
          <w:tcPr>
            <w:tcW w:w="948"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159 479</w:t>
            </w:r>
          </w:p>
        </w:tc>
        <w:tc>
          <w:tcPr>
            <w:tcW w:w="608"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eFt</w:t>
            </w:r>
            <w:proofErr w:type="spellEnd"/>
          </w:p>
        </w:tc>
        <w:tc>
          <w:tcPr>
            <w:tcW w:w="837"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83,2%</w:t>
            </w:r>
          </w:p>
        </w:tc>
      </w:tr>
      <w:tr w:rsidR="00FE30AA" w:rsidRPr="00883EC9" w:rsidTr="001F622E">
        <w:trPr>
          <w:gridAfter w:val="1"/>
          <w:wAfter w:w="142" w:type="dxa"/>
          <w:trHeight w:val="300"/>
        </w:trPr>
        <w:tc>
          <w:tcPr>
            <w:tcW w:w="5245"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 xml:space="preserve">Elindított 2. korlátozás-kizárás tőketartozása </w:t>
            </w:r>
          </w:p>
        </w:tc>
        <w:tc>
          <w:tcPr>
            <w:tcW w:w="960"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92 149</w:t>
            </w:r>
          </w:p>
        </w:tc>
        <w:tc>
          <w:tcPr>
            <w:tcW w:w="616"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eFt</w:t>
            </w:r>
            <w:proofErr w:type="spellEnd"/>
          </w:p>
        </w:tc>
        <w:tc>
          <w:tcPr>
            <w:tcW w:w="948"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45 430</w:t>
            </w:r>
          </w:p>
        </w:tc>
        <w:tc>
          <w:tcPr>
            <w:tcW w:w="608"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eFt</w:t>
            </w:r>
            <w:proofErr w:type="spellEnd"/>
          </w:p>
        </w:tc>
        <w:tc>
          <w:tcPr>
            <w:tcW w:w="837"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49,3%</w:t>
            </w:r>
          </w:p>
        </w:tc>
      </w:tr>
      <w:tr w:rsidR="00FE30AA" w:rsidRPr="00883EC9" w:rsidTr="001F622E">
        <w:trPr>
          <w:gridAfter w:val="1"/>
          <w:wAfter w:w="142" w:type="dxa"/>
          <w:trHeight w:val="300"/>
        </w:trPr>
        <w:tc>
          <w:tcPr>
            <w:tcW w:w="5245"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i/>
                <w:iCs/>
                <w:sz w:val="22"/>
                <w:szCs w:val="22"/>
              </w:rPr>
            </w:pPr>
            <w:r w:rsidRPr="00883EC9">
              <w:rPr>
                <w:rFonts w:ascii="Times New Roman CE" w:hAnsi="Times New Roman CE" w:cs="Times New Roman CE"/>
                <w:i/>
                <w:iCs/>
                <w:sz w:val="22"/>
                <w:szCs w:val="22"/>
              </w:rPr>
              <w:t>1 db elindított 2. korlátozás-kizárásra jutó tőketartozás</w:t>
            </w:r>
          </w:p>
        </w:tc>
        <w:tc>
          <w:tcPr>
            <w:tcW w:w="960"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50</w:t>
            </w:r>
          </w:p>
        </w:tc>
        <w:tc>
          <w:tcPr>
            <w:tcW w:w="616"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i/>
                <w:iCs/>
                <w:sz w:val="22"/>
                <w:szCs w:val="22"/>
              </w:rPr>
            </w:pPr>
            <w:proofErr w:type="spellStart"/>
            <w:r w:rsidRPr="00883EC9">
              <w:rPr>
                <w:rFonts w:ascii="Times New Roman CE" w:hAnsi="Times New Roman CE" w:cs="Times New Roman CE"/>
                <w:i/>
                <w:iCs/>
                <w:sz w:val="22"/>
                <w:szCs w:val="22"/>
              </w:rPr>
              <w:t>eFt</w:t>
            </w:r>
            <w:proofErr w:type="spellEnd"/>
          </w:p>
        </w:tc>
        <w:tc>
          <w:tcPr>
            <w:tcW w:w="948"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27</w:t>
            </w:r>
          </w:p>
        </w:tc>
        <w:tc>
          <w:tcPr>
            <w:tcW w:w="608"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i/>
                <w:iCs/>
                <w:sz w:val="22"/>
                <w:szCs w:val="22"/>
              </w:rPr>
            </w:pPr>
            <w:proofErr w:type="spellStart"/>
            <w:r w:rsidRPr="00883EC9">
              <w:rPr>
                <w:rFonts w:ascii="Times New Roman CE" w:hAnsi="Times New Roman CE" w:cs="Times New Roman CE"/>
                <w:i/>
                <w:iCs/>
                <w:sz w:val="22"/>
                <w:szCs w:val="22"/>
              </w:rPr>
              <w:t>eFt</w:t>
            </w:r>
            <w:proofErr w:type="spellEnd"/>
          </w:p>
        </w:tc>
        <w:tc>
          <w:tcPr>
            <w:tcW w:w="837"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54,7%</w:t>
            </w:r>
          </w:p>
        </w:tc>
      </w:tr>
      <w:tr w:rsidR="00FE30AA" w:rsidRPr="00883EC9" w:rsidTr="001F622E">
        <w:trPr>
          <w:gridAfter w:val="1"/>
          <w:wAfter w:w="142" w:type="dxa"/>
          <w:trHeight w:val="300"/>
        </w:trPr>
        <w:tc>
          <w:tcPr>
            <w:tcW w:w="5245"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Tényleges korlátozás-kizárás</w:t>
            </w:r>
          </w:p>
        </w:tc>
        <w:tc>
          <w:tcPr>
            <w:tcW w:w="960"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60</w:t>
            </w:r>
          </w:p>
        </w:tc>
        <w:tc>
          <w:tcPr>
            <w:tcW w:w="616"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fogy.</w:t>
            </w:r>
          </w:p>
        </w:tc>
        <w:tc>
          <w:tcPr>
            <w:tcW w:w="948"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62</w:t>
            </w:r>
          </w:p>
        </w:tc>
        <w:tc>
          <w:tcPr>
            <w:tcW w:w="608"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fogy.</w:t>
            </w:r>
          </w:p>
        </w:tc>
        <w:tc>
          <w:tcPr>
            <w:tcW w:w="837"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103,3%</w:t>
            </w:r>
          </w:p>
        </w:tc>
      </w:tr>
      <w:tr w:rsidR="00FE30AA" w:rsidRPr="00883EC9" w:rsidTr="001F622E">
        <w:trPr>
          <w:gridAfter w:val="1"/>
          <w:wAfter w:w="142" w:type="dxa"/>
          <w:trHeight w:val="300"/>
        </w:trPr>
        <w:tc>
          <w:tcPr>
            <w:tcW w:w="5245"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i/>
                <w:iCs/>
                <w:sz w:val="22"/>
                <w:szCs w:val="22"/>
              </w:rPr>
            </w:pPr>
            <w:r w:rsidRPr="00883EC9">
              <w:rPr>
                <w:rFonts w:ascii="Times New Roman CE" w:hAnsi="Times New Roman CE" w:cs="Times New Roman CE"/>
                <w:i/>
                <w:iCs/>
                <w:sz w:val="22"/>
                <w:szCs w:val="22"/>
              </w:rPr>
              <w:t>Tényleges/elindított korlátozás-kizárás</w:t>
            </w:r>
          </w:p>
        </w:tc>
        <w:tc>
          <w:tcPr>
            <w:tcW w:w="960"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3,2</w:t>
            </w:r>
          </w:p>
        </w:tc>
        <w:tc>
          <w:tcPr>
            <w:tcW w:w="616"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i/>
                <w:iCs/>
                <w:sz w:val="22"/>
                <w:szCs w:val="22"/>
              </w:rPr>
            </w:pPr>
            <w:r w:rsidRPr="00883EC9">
              <w:rPr>
                <w:rFonts w:ascii="Times New Roman CE" w:hAnsi="Times New Roman CE" w:cs="Times New Roman CE"/>
                <w:i/>
                <w:iCs/>
                <w:sz w:val="22"/>
                <w:szCs w:val="22"/>
              </w:rPr>
              <w:t>%</w:t>
            </w:r>
          </w:p>
        </w:tc>
        <w:tc>
          <w:tcPr>
            <w:tcW w:w="948"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3,7</w:t>
            </w:r>
          </w:p>
        </w:tc>
        <w:tc>
          <w:tcPr>
            <w:tcW w:w="608"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i/>
                <w:iCs/>
                <w:sz w:val="22"/>
                <w:szCs w:val="22"/>
              </w:rPr>
            </w:pPr>
            <w:r w:rsidRPr="00883EC9">
              <w:rPr>
                <w:rFonts w:ascii="Times New Roman CE" w:hAnsi="Times New Roman CE" w:cs="Times New Roman CE"/>
                <w:i/>
                <w:iCs/>
                <w:sz w:val="22"/>
                <w:szCs w:val="22"/>
              </w:rPr>
              <w:t>%</w:t>
            </w:r>
          </w:p>
        </w:tc>
        <w:tc>
          <w:tcPr>
            <w:tcW w:w="837"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114,6%</w:t>
            </w:r>
          </w:p>
        </w:tc>
      </w:tr>
      <w:tr w:rsidR="00FE30AA" w:rsidRPr="00883EC9" w:rsidTr="001F622E">
        <w:trPr>
          <w:gridAfter w:val="1"/>
          <w:wAfter w:w="142" w:type="dxa"/>
          <w:trHeight w:val="300"/>
        </w:trPr>
        <w:tc>
          <w:tcPr>
            <w:tcW w:w="5245"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Tőketartozásból befolyt összeg</w:t>
            </w:r>
          </w:p>
        </w:tc>
        <w:tc>
          <w:tcPr>
            <w:tcW w:w="960"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136 875</w:t>
            </w:r>
          </w:p>
        </w:tc>
        <w:tc>
          <w:tcPr>
            <w:tcW w:w="616"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eFt</w:t>
            </w:r>
            <w:proofErr w:type="spellEnd"/>
          </w:p>
        </w:tc>
        <w:tc>
          <w:tcPr>
            <w:tcW w:w="948"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102 199</w:t>
            </w:r>
          </w:p>
        </w:tc>
        <w:tc>
          <w:tcPr>
            <w:tcW w:w="608"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eFt</w:t>
            </w:r>
            <w:proofErr w:type="spellEnd"/>
          </w:p>
        </w:tc>
        <w:tc>
          <w:tcPr>
            <w:tcW w:w="837"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74,7%</w:t>
            </w:r>
          </w:p>
        </w:tc>
      </w:tr>
      <w:tr w:rsidR="00FE30AA" w:rsidRPr="00883EC9" w:rsidTr="001F622E">
        <w:trPr>
          <w:gridAfter w:val="1"/>
          <w:wAfter w:w="142" w:type="dxa"/>
          <w:trHeight w:val="300"/>
        </w:trPr>
        <w:tc>
          <w:tcPr>
            <w:tcW w:w="5245"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i/>
                <w:iCs/>
                <w:sz w:val="22"/>
                <w:szCs w:val="22"/>
              </w:rPr>
            </w:pPr>
            <w:r w:rsidRPr="00883EC9">
              <w:rPr>
                <w:rFonts w:ascii="Times New Roman CE" w:hAnsi="Times New Roman CE" w:cs="Times New Roman CE"/>
                <w:i/>
                <w:iCs/>
                <w:sz w:val="22"/>
                <w:szCs w:val="22"/>
              </w:rPr>
              <w:t>Befolyt összeg/tőketartozás</w:t>
            </w:r>
          </w:p>
        </w:tc>
        <w:tc>
          <w:tcPr>
            <w:tcW w:w="960"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48</w:t>
            </w:r>
          </w:p>
        </w:tc>
        <w:tc>
          <w:tcPr>
            <w:tcW w:w="616"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i/>
                <w:iCs/>
                <w:sz w:val="22"/>
                <w:szCs w:val="22"/>
              </w:rPr>
            </w:pPr>
            <w:r w:rsidRPr="00883EC9">
              <w:rPr>
                <w:rFonts w:ascii="Times New Roman CE" w:hAnsi="Times New Roman CE" w:cs="Times New Roman CE"/>
                <w:i/>
                <w:iCs/>
                <w:sz w:val="22"/>
                <w:szCs w:val="22"/>
              </w:rPr>
              <w:t>%</w:t>
            </w:r>
          </w:p>
        </w:tc>
        <w:tc>
          <w:tcPr>
            <w:tcW w:w="948"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50</w:t>
            </w:r>
          </w:p>
        </w:tc>
        <w:tc>
          <w:tcPr>
            <w:tcW w:w="608"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i/>
                <w:iCs/>
                <w:sz w:val="22"/>
                <w:szCs w:val="22"/>
              </w:rPr>
            </w:pPr>
            <w:r w:rsidRPr="00883EC9">
              <w:rPr>
                <w:rFonts w:ascii="Times New Roman CE" w:hAnsi="Times New Roman CE" w:cs="Times New Roman CE"/>
                <w:i/>
                <w:iCs/>
                <w:sz w:val="22"/>
                <w:szCs w:val="22"/>
              </w:rPr>
              <w:t>%</w:t>
            </w:r>
          </w:p>
        </w:tc>
        <w:tc>
          <w:tcPr>
            <w:tcW w:w="837"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103,4%</w:t>
            </w:r>
          </w:p>
        </w:tc>
      </w:tr>
      <w:tr w:rsidR="00FE30AA" w:rsidRPr="00883EC9" w:rsidTr="001F622E">
        <w:trPr>
          <w:gridAfter w:val="1"/>
          <w:wAfter w:w="142" w:type="dxa"/>
          <w:trHeight w:val="300"/>
        </w:trPr>
        <w:tc>
          <w:tcPr>
            <w:tcW w:w="5245"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 xml:space="preserve">Fiz. és </w:t>
            </w:r>
            <w:proofErr w:type="spellStart"/>
            <w:r w:rsidRPr="00883EC9">
              <w:rPr>
                <w:rFonts w:ascii="Times New Roman CE" w:hAnsi="Times New Roman CE" w:cs="Times New Roman CE"/>
                <w:sz w:val="22"/>
                <w:szCs w:val="22"/>
              </w:rPr>
              <w:t>korl</w:t>
            </w:r>
            <w:proofErr w:type="spellEnd"/>
            <w:r w:rsidRPr="00883EC9">
              <w:rPr>
                <w:rFonts w:ascii="Times New Roman CE" w:hAnsi="Times New Roman CE" w:cs="Times New Roman CE"/>
                <w:sz w:val="22"/>
                <w:szCs w:val="22"/>
              </w:rPr>
              <w:t xml:space="preserve">./kizárási </w:t>
            </w:r>
            <w:proofErr w:type="spellStart"/>
            <w:r w:rsidRPr="00883EC9">
              <w:rPr>
                <w:rFonts w:ascii="Times New Roman CE" w:hAnsi="Times New Roman CE" w:cs="Times New Roman CE"/>
                <w:sz w:val="22"/>
                <w:szCs w:val="22"/>
              </w:rPr>
              <w:t>felszól-ra</w:t>
            </w:r>
            <w:proofErr w:type="spellEnd"/>
            <w:r w:rsidRPr="00883EC9">
              <w:rPr>
                <w:rFonts w:ascii="Times New Roman CE" w:hAnsi="Times New Roman CE" w:cs="Times New Roman CE"/>
                <w:sz w:val="22"/>
                <w:szCs w:val="22"/>
              </w:rPr>
              <w:t xml:space="preserve"> befiz. késedelmi kamat</w:t>
            </w:r>
          </w:p>
        </w:tc>
        <w:tc>
          <w:tcPr>
            <w:tcW w:w="960"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1 440</w:t>
            </w:r>
          </w:p>
        </w:tc>
        <w:tc>
          <w:tcPr>
            <w:tcW w:w="616"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eFt</w:t>
            </w:r>
            <w:proofErr w:type="spellEnd"/>
          </w:p>
        </w:tc>
        <w:tc>
          <w:tcPr>
            <w:tcW w:w="948"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1 701</w:t>
            </w:r>
          </w:p>
        </w:tc>
        <w:tc>
          <w:tcPr>
            <w:tcW w:w="608"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eFt</w:t>
            </w:r>
            <w:proofErr w:type="spellEnd"/>
          </w:p>
        </w:tc>
        <w:tc>
          <w:tcPr>
            <w:tcW w:w="837"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118,1%</w:t>
            </w:r>
          </w:p>
        </w:tc>
      </w:tr>
      <w:tr w:rsidR="00FE30AA" w:rsidRPr="00883EC9" w:rsidTr="001F622E">
        <w:trPr>
          <w:gridAfter w:val="1"/>
          <w:wAfter w:w="142" w:type="dxa"/>
          <w:trHeight w:val="300"/>
        </w:trPr>
        <w:tc>
          <w:tcPr>
            <w:tcW w:w="5245"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Részletfizetési kedvezményben részesült</w:t>
            </w:r>
          </w:p>
        </w:tc>
        <w:tc>
          <w:tcPr>
            <w:tcW w:w="960"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584</w:t>
            </w:r>
          </w:p>
        </w:tc>
        <w:tc>
          <w:tcPr>
            <w:tcW w:w="616"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fogy.</w:t>
            </w:r>
          </w:p>
        </w:tc>
        <w:tc>
          <w:tcPr>
            <w:tcW w:w="948"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394</w:t>
            </w:r>
          </w:p>
        </w:tc>
        <w:tc>
          <w:tcPr>
            <w:tcW w:w="608"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fogy.</w:t>
            </w:r>
          </w:p>
        </w:tc>
        <w:tc>
          <w:tcPr>
            <w:tcW w:w="837"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67,5%</w:t>
            </w:r>
          </w:p>
        </w:tc>
      </w:tr>
      <w:tr w:rsidR="00FE30AA" w:rsidRPr="00883EC9" w:rsidTr="001F622E">
        <w:trPr>
          <w:gridAfter w:val="1"/>
          <w:wAfter w:w="142" w:type="dxa"/>
          <w:trHeight w:val="300"/>
        </w:trPr>
        <w:tc>
          <w:tcPr>
            <w:tcW w:w="5245"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Részletfizetés tőketartozása</w:t>
            </w:r>
          </w:p>
        </w:tc>
        <w:tc>
          <w:tcPr>
            <w:tcW w:w="960"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40 640</w:t>
            </w:r>
          </w:p>
        </w:tc>
        <w:tc>
          <w:tcPr>
            <w:tcW w:w="616"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eFt</w:t>
            </w:r>
            <w:proofErr w:type="spellEnd"/>
          </w:p>
        </w:tc>
        <w:tc>
          <w:tcPr>
            <w:tcW w:w="948"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29 607</w:t>
            </w:r>
          </w:p>
        </w:tc>
        <w:tc>
          <w:tcPr>
            <w:tcW w:w="608"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eFt</w:t>
            </w:r>
            <w:proofErr w:type="spellEnd"/>
          </w:p>
        </w:tc>
        <w:tc>
          <w:tcPr>
            <w:tcW w:w="837"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72,9%</w:t>
            </w:r>
          </w:p>
        </w:tc>
      </w:tr>
      <w:tr w:rsidR="00FE30AA" w:rsidRPr="00883EC9" w:rsidTr="001F622E">
        <w:trPr>
          <w:gridAfter w:val="1"/>
          <w:wAfter w:w="142" w:type="dxa"/>
          <w:trHeight w:val="300"/>
        </w:trPr>
        <w:tc>
          <w:tcPr>
            <w:tcW w:w="5245"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 xml:space="preserve">Fizetési meghagyás </w:t>
            </w:r>
            <w:proofErr w:type="spellStart"/>
            <w:r w:rsidRPr="00883EC9">
              <w:rPr>
                <w:rFonts w:ascii="Times New Roman CE" w:hAnsi="Times New Roman CE" w:cs="Times New Roman CE"/>
                <w:sz w:val="22"/>
                <w:szCs w:val="22"/>
              </w:rPr>
              <w:t>kibocs</w:t>
            </w:r>
            <w:proofErr w:type="spellEnd"/>
            <w:r w:rsidRPr="00883EC9">
              <w:rPr>
                <w:rFonts w:ascii="Times New Roman CE" w:hAnsi="Times New Roman CE" w:cs="Times New Roman CE"/>
                <w:sz w:val="22"/>
                <w:szCs w:val="22"/>
              </w:rPr>
              <w:t>. iránt beadott kérelem</w:t>
            </w:r>
          </w:p>
        </w:tc>
        <w:tc>
          <w:tcPr>
            <w:tcW w:w="960"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167</w:t>
            </w:r>
          </w:p>
        </w:tc>
        <w:tc>
          <w:tcPr>
            <w:tcW w:w="616"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db</w:t>
            </w:r>
          </w:p>
        </w:tc>
        <w:tc>
          <w:tcPr>
            <w:tcW w:w="948"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164</w:t>
            </w:r>
          </w:p>
        </w:tc>
        <w:tc>
          <w:tcPr>
            <w:tcW w:w="608"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r w:rsidRPr="00883EC9">
              <w:rPr>
                <w:rFonts w:ascii="Times New Roman CE" w:hAnsi="Times New Roman CE" w:cs="Times New Roman CE"/>
                <w:sz w:val="22"/>
                <w:szCs w:val="22"/>
              </w:rPr>
              <w:t>db</w:t>
            </w:r>
          </w:p>
        </w:tc>
        <w:tc>
          <w:tcPr>
            <w:tcW w:w="837"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98,2%</w:t>
            </w:r>
          </w:p>
        </w:tc>
      </w:tr>
      <w:tr w:rsidR="00FE30AA" w:rsidRPr="00883EC9" w:rsidTr="001F622E">
        <w:trPr>
          <w:gridAfter w:val="1"/>
          <w:wAfter w:w="142" w:type="dxa"/>
          <w:trHeight w:val="300"/>
        </w:trPr>
        <w:tc>
          <w:tcPr>
            <w:tcW w:w="5245"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Fiz.meghagyás</w:t>
            </w:r>
            <w:proofErr w:type="spellEnd"/>
            <w:r w:rsidRPr="00883EC9">
              <w:rPr>
                <w:rFonts w:ascii="Times New Roman CE" w:hAnsi="Times New Roman CE" w:cs="Times New Roman CE"/>
                <w:sz w:val="22"/>
                <w:szCs w:val="22"/>
              </w:rPr>
              <w:t xml:space="preserve"> kibocsátása iránti kérelmek összege</w:t>
            </w:r>
          </w:p>
        </w:tc>
        <w:tc>
          <w:tcPr>
            <w:tcW w:w="960"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21 912</w:t>
            </w:r>
          </w:p>
        </w:tc>
        <w:tc>
          <w:tcPr>
            <w:tcW w:w="616"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eFt</w:t>
            </w:r>
            <w:proofErr w:type="spellEnd"/>
          </w:p>
        </w:tc>
        <w:tc>
          <w:tcPr>
            <w:tcW w:w="948"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18 526</w:t>
            </w:r>
          </w:p>
        </w:tc>
        <w:tc>
          <w:tcPr>
            <w:tcW w:w="608"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eFt</w:t>
            </w:r>
            <w:proofErr w:type="spellEnd"/>
          </w:p>
        </w:tc>
        <w:tc>
          <w:tcPr>
            <w:tcW w:w="837"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84,5%</w:t>
            </w:r>
          </w:p>
        </w:tc>
      </w:tr>
      <w:tr w:rsidR="00FE30AA" w:rsidRPr="00883EC9" w:rsidTr="001F622E">
        <w:trPr>
          <w:gridAfter w:val="1"/>
          <w:wAfter w:w="142" w:type="dxa"/>
          <w:trHeight w:val="300"/>
        </w:trPr>
        <w:tc>
          <w:tcPr>
            <w:tcW w:w="5245"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Fiz.meghagyás</w:t>
            </w:r>
            <w:proofErr w:type="spellEnd"/>
            <w:r w:rsidRPr="00883EC9">
              <w:rPr>
                <w:rFonts w:ascii="Times New Roman CE" w:hAnsi="Times New Roman CE" w:cs="Times New Roman CE"/>
                <w:sz w:val="22"/>
                <w:szCs w:val="22"/>
              </w:rPr>
              <w:t xml:space="preserve"> kibocsátás hatására befiz. összeg</w:t>
            </w:r>
          </w:p>
        </w:tc>
        <w:tc>
          <w:tcPr>
            <w:tcW w:w="960"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562</w:t>
            </w:r>
          </w:p>
        </w:tc>
        <w:tc>
          <w:tcPr>
            <w:tcW w:w="616"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eFt</w:t>
            </w:r>
            <w:proofErr w:type="spellEnd"/>
          </w:p>
        </w:tc>
        <w:tc>
          <w:tcPr>
            <w:tcW w:w="948"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119</w:t>
            </w:r>
          </w:p>
        </w:tc>
        <w:tc>
          <w:tcPr>
            <w:tcW w:w="608" w:type="dxa"/>
            <w:tcBorders>
              <w:top w:val="nil"/>
              <w:left w:val="nil"/>
              <w:bottom w:val="nil"/>
              <w:right w:val="nil"/>
            </w:tcBorders>
            <w:shd w:val="clear" w:color="auto" w:fill="auto"/>
            <w:noWrap/>
            <w:vAlign w:val="bottom"/>
            <w:hideMark/>
          </w:tcPr>
          <w:p w:rsidR="00FE30AA" w:rsidRPr="00883EC9" w:rsidRDefault="00FE30AA" w:rsidP="00FE30AA">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eFt</w:t>
            </w:r>
            <w:proofErr w:type="spellEnd"/>
          </w:p>
        </w:tc>
        <w:tc>
          <w:tcPr>
            <w:tcW w:w="837" w:type="dxa"/>
            <w:tcBorders>
              <w:top w:val="nil"/>
              <w:left w:val="nil"/>
              <w:bottom w:val="nil"/>
              <w:right w:val="nil"/>
            </w:tcBorders>
            <w:shd w:val="clear" w:color="auto" w:fill="auto"/>
            <w:noWrap/>
            <w:vAlign w:val="bottom"/>
            <w:hideMark/>
          </w:tcPr>
          <w:p w:rsidR="00FE30AA" w:rsidRPr="00883EC9" w:rsidRDefault="00FE30AA" w:rsidP="00FE30AA">
            <w:pPr>
              <w:jc w:val="right"/>
              <w:rPr>
                <w:rFonts w:ascii="Times New Roman CE" w:hAnsi="Times New Roman CE" w:cs="Times New Roman CE"/>
                <w:sz w:val="22"/>
                <w:szCs w:val="22"/>
              </w:rPr>
            </w:pPr>
            <w:r w:rsidRPr="00883EC9">
              <w:rPr>
                <w:rFonts w:ascii="Times New Roman CE" w:hAnsi="Times New Roman CE" w:cs="Times New Roman CE"/>
                <w:sz w:val="22"/>
                <w:szCs w:val="22"/>
              </w:rPr>
              <w:t>21,2%</w:t>
            </w:r>
          </w:p>
        </w:tc>
      </w:tr>
    </w:tbl>
    <w:p w:rsidR="003A4436" w:rsidRDefault="003A4436">
      <w:pPr>
        <w:pStyle w:val="Szvegtrzs31"/>
        <w:widowControl/>
        <w:overflowPunct/>
        <w:autoSpaceDE/>
        <w:autoSpaceDN/>
        <w:adjustRightInd/>
        <w:textAlignment w:val="auto"/>
        <w:rPr>
          <w:szCs w:val="24"/>
        </w:rPr>
      </w:pPr>
    </w:p>
    <w:p w:rsidR="003A4436" w:rsidRDefault="003A4436">
      <w:pPr>
        <w:rPr>
          <w:sz w:val="24"/>
          <w:szCs w:val="24"/>
          <w14:shadow w14:blurRad="50800" w14:dist="38100" w14:dir="2700000" w14:sx="100000" w14:sy="100000" w14:kx="0" w14:ky="0" w14:algn="tl">
            <w14:srgbClr w14:val="000000">
              <w14:alpha w14:val="60000"/>
            </w14:srgbClr>
          </w14:shadow>
        </w:rPr>
      </w:pPr>
      <w:r>
        <w:rPr>
          <w:szCs w:val="24"/>
        </w:rPr>
        <w:br w:type="page"/>
      </w:r>
    </w:p>
    <w:p w:rsidR="00E80DC1" w:rsidRDefault="00E80DC1">
      <w:pPr>
        <w:pStyle w:val="Szvegtrzs31"/>
        <w:widowControl/>
        <w:overflowPunct/>
        <w:autoSpaceDE/>
        <w:autoSpaceDN/>
        <w:adjustRightInd/>
        <w:textAlignment w:val="auto"/>
        <w:rPr>
          <w:szCs w:val="24"/>
        </w:rPr>
      </w:pPr>
    </w:p>
    <w:p w:rsidR="0059303D" w:rsidRPr="00883EC9" w:rsidRDefault="0059303D">
      <w:pPr>
        <w:pStyle w:val="Szvegtrzs31"/>
        <w:widowControl/>
        <w:overflowPunct/>
        <w:autoSpaceDE/>
        <w:autoSpaceDN/>
        <w:adjustRightInd/>
        <w:textAlignment w:val="auto"/>
        <w:rPr>
          <w:szCs w:val="24"/>
        </w:rPr>
      </w:pPr>
    </w:p>
    <w:p w:rsidR="00E8097E" w:rsidRPr="00883EC9" w:rsidRDefault="00E8097E">
      <w:pPr>
        <w:pStyle w:val="Szvegtrzs31"/>
        <w:widowControl/>
        <w:overflowPunct/>
        <w:autoSpaceDE/>
        <w:autoSpaceDN/>
        <w:adjustRightInd/>
        <w:textAlignment w:val="auto"/>
        <w:rPr>
          <w:szCs w:val="24"/>
        </w:rPr>
      </w:pPr>
      <w:r w:rsidRPr="00883EC9">
        <w:rPr>
          <w:szCs w:val="24"/>
        </w:rPr>
        <w:t xml:space="preserve">Amennyiben a jogerős fizetési meghagyás hatására sem történik meg a tartozás kiegyenlítése, </w:t>
      </w:r>
    </w:p>
    <w:p w:rsidR="00E8097E" w:rsidRPr="00883EC9" w:rsidRDefault="00E8097E">
      <w:pPr>
        <w:tabs>
          <w:tab w:val="right" w:pos="6237"/>
        </w:tabs>
        <w:ind w:right="141"/>
        <w:jc w:val="both"/>
        <w:rPr>
          <w:sz w:val="24"/>
          <w:szCs w:val="24"/>
        </w:rPr>
      </w:pPr>
      <w:proofErr w:type="gramStart"/>
      <w:r w:rsidRPr="00883EC9">
        <w:rPr>
          <w:sz w:val="24"/>
          <w:szCs w:val="24"/>
        </w:rPr>
        <w:t>azt</w:t>
      </w:r>
      <w:proofErr w:type="gramEnd"/>
      <w:r w:rsidRPr="00883EC9">
        <w:rPr>
          <w:sz w:val="24"/>
          <w:szCs w:val="24"/>
        </w:rPr>
        <w:t xml:space="preserve"> bírósági végrehajtásra adjuk tovább:</w:t>
      </w:r>
    </w:p>
    <w:p w:rsidR="00C673FF" w:rsidRPr="003A4436" w:rsidRDefault="00C673FF">
      <w:pPr>
        <w:jc w:val="both"/>
        <w:rPr>
          <w:i/>
          <w:sz w:val="16"/>
          <w:szCs w:val="16"/>
        </w:rPr>
      </w:pPr>
    </w:p>
    <w:tbl>
      <w:tblPr>
        <w:tblW w:w="9371" w:type="dxa"/>
        <w:tblCellMar>
          <w:left w:w="70" w:type="dxa"/>
          <w:right w:w="70" w:type="dxa"/>
        </w:tblCellMar>
        <w:tblLook w:val="04A0" w:firstRow="1" w:lastRow="0" w:firstColumn="1" w:lastColumn="0" w:noHBand="0" w:noVBand="1"/>
      </w:tblPr>
      <w:tblGrid>
        <w:gridCol w:w="4962"/>
        <w:gridCol w:w="141"/>
        <w:gridCol w:w="920"/>
        <w:gridCol w:w="515"/>
        <w:gridCol w:w="141"/>
        <w:gridCol w:w="906"/>
        <w:gridCol w:w="509"/>
        <w:gridCol w:w="141"/>
        <w:gridCol w:w="995"/>
        <w:gridCol w:w="141"/>
      </w:tblGrid>
      <w:tr w:rsidR="00183444" w:rsidRPr="00883EC9" w:rsidTr="001F622E">
        <w:trPr>
          <w:trHeight w:val="300"/>
        </w:trPr>
        <w:tc>
          <w:tcPr>
            <w:tcW w:w="5103" w:type="dxa"/>
            <w:gridSpan w:val="2"/>
            <w:tcBorders>
              <w:top w:val="nil"/>
              <w:left w:val="nil"/>
              <w:bottom w:val="single" w:sz="4" w:space="0" w:color="auto"/>
              <w:right w:val="nil"/>
            </w:tcBorders>
            <w:shd w:val="clear" w:color="auto" w:fill="auto"/>
            <w:noWrap/>
            <w:vAlign w:val="bottom"/>
            <w:hideMark/>
          </w:tcPr>
          <w:p w:rsidR="00183444" w:rsidRPr="00883EC9" w:rsidRDefault="00183444" w:rsidP="00183444">
            <w:pPr>
              <w:rPr>
                <w:rFonts w:ascii="Times New Roman CE" w:hAnsi="Times New Roman CE" w:cs="Times New Roman CE"/>
                <w:sz w:val="22"/>
                <w:szCs w:val="22"/>
              </w:rPr>
            </w:pPr>
            <w:r w:rsidRPr="00883EC9">
              <w:rPr>
                <w:rFonts w:ascii="Times New Roman CE" w:hAnsi="Times New Roman CE" w:cs="Times New Roman CE"/>
                <w:sz w:val="22"/>
                <w:szCs w:val="22"/>
              </w:rPr>
              <w:t> </w:t>
            </w:r>
          </w:p>
        </w:tc>
        <w:tc>
          <w:tcPr>
            <w:tcW w:w="1576" w:type="dxa"/>
            <w:gridSpan w:val="3"/>
            <w:tcBorders>
              <w:top w:val="nil"/>
              <w:left w:val="nil"/>
              <w:bottom w:val="single" w:sz="4" w:space="0" w:color="auto"/>
              <w:right w:val="nil"/>
            </w:tcBorders>
            <w:shd w:val="clear" w:color="auto" w:fill="auto"/>
            <w:noWrap/>
            <w:vAlign w:val="bottom"/>
            <w:hideMark/>
          </w:tcPr>
          <w:p w:rsidR="00183444" w:rsidRPr="00883EC9" w:rsidRDefault="00183444" w:rsidP="00183444">
            <w:pPr>
              <w:jc w:val="center"/>
              <w:rPr>
                <w:rFonts w:ascii="Times New Roman CE" w:hAnsi="Times New Roman CE" w:cs="Times New Roman CE"/>
                <w:sz w:val="22"/>
                <w:szCs w:val="22"/>
              </w:rPr>
            </w:pPr>
            <w:r w:rsidRPr="00883EC9">
              <w:rPr>
                <w:rFonts w:ascii="Times New Roman CE" w:hAnsi="Times New Roman CE" w:cs="Times New Roman CE"/>
                <w:sz w:val="22"/>
                <w:szCs w:val="22"/>
              </w:rPr>
              <w:t>2016. I. félév</w:t>
            </w:r>
          </w:p>
        </w:tc>
        <w:tc>
          <w:tcPr>
            <w:tcW w:w="1556" w:type="dxa"/>
            <w:gridSpan w:val="3"/>
            <w:tcBorders>
              <w:top w:val="nil"/>
              <w:left w:val="nil"/>
              <w:bottom w:val="single" w:sz="4" w:space="0" w:color="auto"/>
              <w:right w:val="nil"/>
            </w:tcBorders>
            <w:shd w:val="clear" w:color="auto" w:fill="auto"/>
            <w:noWrap/>
            <w:vAlign w:val="bottom"/>
            <w:hideMark/>
          </w:tcPr>
          <w:p w:rsidR="00183444" w:rsidRPr="00883EC9" w:rsidRDefault="00183444" w:rsidP="00183444">
            <w:pPr>
              <w:jc w:val="center"/>
              <w:rPr>
                <w:rFonts w:ascii="Times New Roman CE" w:hAnsi="Times New Roman CE" w:cs="Times New Roman CE"/>
                <w:sz w:val="22"/>
                <w:szCs w:val="22"/>
              </w:rPr>
            </w:pPr>
            <w:r w:rsidRPr="00883EC9">
              <w:rPr>
                <w:rFonts w:ascii="Times New Roman CE" w:hAnsi="Times New Roman CE" w:cs="Times New Roman CE"/>
                <w:sz w:val="22"/>
                <w:szCs w:val="22"/>
              </w:rPr>
              <w:t>2017. I. félév</w:t>
            </w:r>
          </w:p>
        </w:tc>
        <w:tc>
          <w:tcPr>
            <w:tcW w:w="1136" w:type="dxa"/>
            <w:gridSpan w:val="2"/>
            <w:tcBorders>
              <w:top w:val="nil"/>
              <w:left w:val="nil"/>
              <w:bottom w:val="single" w:sz="4" w:space="0" w:color="auto"/>
              <w:right w:val="nil"/>
            </w:tcBorders>
            <w:shd w:val="clear" w:color="auto" w:fill="auto"/>
            <w:noWrap/>
            <w:vAlign w:val="bottom"/>
            <w:hideMark/>
          </w:tcPr>
          <w:p w:rsidR="00183444" w:rsidRPr="00883EC9" w:rsidRDefault="00183444" w:rsidP="00183444">
            <w:pPr>
              <w:jc w:val="center"/>
              <w:rPr>
                <w:rFonts w:ascii="Times New Roman CE" w:hAnsi="Times New Roman CE" w:cs="Times New Roman CE"/>
                <w:sz w:val="22"/>
                <w:szCs w:val="22"/>
              </w:rPr>
            </w:pPr>
            <w:r w:rsidRPr="00883EC9">
              <w:rPr>
                <w:rFonts w:ascii="Times New Roman CE" w:hAnsi="Times New Roman CE" w:cs="Times New Roman CE"/>
                <w:sz w:val="22"/>
                <w:szCs w:val="22"/>
              </w:rPr>
              <w:t>Index</w:t>
            </w:r>
          </w:p>
        </w:tc>
      </w:tr>
      <w:tr w:rsidR="00183444" w:rsidRPr="00883EC9" w:rsidTr="001F622E">
        <w:trPr>
          <w:gridAfter w:val="1"/>
          <w:wAfter w:w="141" w:type="dxa"/>
          <w:trHeight w:val="300"/>
        </w:trPr>
        <w:tc>
          <w:tcPr>
            <w:tcW w:w="4962" w:type="dxa"/>
            <w:tcBorders>
              <w:top w:val="nil"/>
              <w:left w:val="nil"/>
              <w:bottom w:val="nil"/>
              <w:right w:val="nil"/>
            </w:tcBorders>
            <w:shd w:val="clear" w:color="auto" w:fill="auto"/>
            <w:noWrap/>
            <w:vAlign w:val="bottom"/>
            <w:hideMark/>
          </w:tcPr>
          <w:p w:rsidR="00183444" w:rsidRPr="00883EC9" w:rsidRDefault="00183444" w:rsidP="00183444">
            <w:pPr>
              <w:rPr>
                <w:rFonts w:ascii="Times New Roman CE" w:hAnsi="Times New Roman CE" w:cs="Times New Roman CE"/>
                <w:sz w:val="22"/>
                <w:szCs w:val="22"/>
              </w:rPr>
            </w:pPr>
            <w:r w:rsidRPr="00883EC9">
              <w:rPr>
                <w:rFonts w:ascii="Times New Roman CE" w:hAnsi="Times New Roman CE" w:cs="Times New Roman CE"/>
                <w:sz w:val="22"/>
                <w:szCs w:val="22"/>
              </w:rPr>
              <w:t>Bírósági végrehajtásra adott követelés</w:t>
            </w:r>
          </w:p>
        </w:tc>
        <w:tc>
          <w:tcPr>
            <w:tcW w:w="1061" w:type="dxa"/>
            <w:gridSpan w:val="2"/>
            <w:tcBorders>
              <w:top w:val="nil"/>
              <w:left w:val="nil"/>
              <w:bottom w:val="nil"/>
              <w:right w:val="nil"/>
            </w:tcBorders>
            <w:shd w:val="clear" w:color="auto" w:fill="auto"/>
            <w:noWrap/>
            <w:vAlign w:val="bottom"/>
            <w:hideMark/>
          </w:tcPr>
          <w:p w:rsidR="00183444" w:rsidRPr="00883EC9" w:rsidRDefault="00183444" w:rsidP="00183444">
            <w:pPr>
              <w:jc w:val="right"/>
              <w:rPr>
                <w:rFonts w:ascii="Times New Roman CE" w:hAnsi="Times New Roman CE" w:cs="Times New Roman CE"/>
                <w:sz w:val="22"/>
                <w:szCs w:val="22"/>
              </w:rPr>
            </w:pPr>
            <w:r w:rsidRPr="00883EC9">
              <w:rPr>
                <w:rFonts w:ascii="Times New Roman CE" w:hAnsi="Times New Roman CE" w:cs="Times New Roman CE"/>
                <w:sz w:val="22"/>
                <w:szCs w:val="22"/>
              </w:rPr>
              <w:t>92</w:t>
            </w:r>
          </w:p>
        </w:tc>
        <w:tc>
          <w:tcPr>
            <w:tcW w:w="515" w:type="dxa"/>
            <w:tcBorders>
              <w:top w:val="nil"/>
              <w:left w:val="nil"/>
              <w:bottom w:val="nil"/>
              <w:right w:val="nil"/>
            </w:tcBorders>
            <w:shd w:val="clear" w:color="auto" w:fill="auto"/>
            <w:noWrap/>
            <w:vAlign w:val="bottom"/>
            <w:hideMark/>
          </w:tcPr>
          <w:p w:rsidR="00183444" w:rsidRPr="00883EC9" w:rsidRDefault="00183444" w:rsidP="00183444">
            <w:pPr>
              <w:rPr>
                <w:rFonts w:ascii="Times New Roman CE" w:hAnsi="Times New Roman CE" w:cs="Times New Roman CE"/>
                <w:sz w:val="22"/>
                <w:szCs w:val="22"/>
              </w:rPr>
            </w:pPr>
            <w:r w:rsidRPr="00883EC9">
              <w:rPr>
                <w:rFonts w:ascii="Times New Roman CE" w:hAnsi="Times New Roman CE" w:cs="Times New Roman CE"/>
                <w:sz w:val="22"/>
                <w:szCs w:val="22"/>
              </w:rPr>
              <w:t>db</w:t>
            </w:r>
          </w:p>
        </w:tc>
        <w:tc>
          <w:tcPr>
            <w:tcW w:w="1047" w:type="dxa"/>
            <w:gridSpan w:val="2"/>
            <w:tcBorders>
              <w:top w:val="nil"/>
              <w:left w:val="nil"/>
              <w:bottom w:val="nil"/>
              <w:right w:val="nil"/>
            </w:tcBorders>
            <w:shd w:val="clear" w:color="auto" w:fill="auto"/>
            <w:noWrap/>
            <w:vAlign w:val="bottom"/>
            <w:hideMark/>
          </w:tcPr>
          <w:p w:rsidR="00183444" w:rsidRPr="00883EC9" w:rsidRDefault="00183444" w:rsidP="00183444">
            <w:pPr>
              <w:jc w:val="right"/>
              <w:rPr>
                <w:rFonts w:ascii="Times New Roman CE" w:hAnsi="Times New Roman CE" w:cs="Times New Roman CE"/>
                <w:sz w:val="22"/>
                <w:szCs w:val="22"/>
              </w:rPr>
            </w:pPr>
            <w:r w:rsidRPr="00883EC9">
              <w:rPr>
                <w:rFonts w:ascii="Times New Roman CE" w:hAnsi="Times New Roman CE" w:cs="Times New Roman CE"/>
                <w:sz w:val="22"/>
                <w:szCs w:val="22"/>
              </w:rPr>
              <w:t>128</w:t>
            </w:r>
          </w:p>
        </w:tc>
        <w:tc>
          <w:tcPr>
            <w:tcW w:w="509" w:type="dxa"/>
            <w:tcBorders>
              <w:top w:val="nil"/>
              <w:left w:val="nil"/>
              <w:bottom w:val="nil"/>
              <w:right w:val="nil"/>
            </w:tcBorders>
            <w:shd w:val="clear" w:color="auto" w:fill="auto"/>
            <w:noWrap/>
            <w:vAlign w:val="bottom"/>
            <w:hideMark/>
          </w:tcPr>
          <w:p w:rsidR="00183444" w:rsidRPr="00883EC9" w:rsidRDefault="00183444" w:rsidP="00183444">
            <w:pPr>
              <w:rPr>
                <w:rFonts w:ascii="Times New Roman CE" w:hAnsi="Times New Roman CE" w:cs="Times New Roman CE"/>
                <w:sz w:val="22"/>
                <w:szCs w:val="22"/>
              </w:rPr>
            </w:pPr>
            <w:r w:rsidRPr="00883EC9">
              <w:rPr>
                <w:rFonts w:ascii="Times New Roman CE" w:hAnsi="Times New Roman CE" w:cs="Times New Roman CE"/>
                <w:sz w:val="22"/>
                <w:szCs w:val="22"/>
              </w:rPr>
              <w:t>db</w:t>
            </w:r>
          </w:p>
        </w:tc>
        <w:tc>
          <w:tcPr>
            <w:tcW w:w="1136" w:type="dxa"/>
            <w:gridSpan w:val="2"/>
            <w:tcBorders>
              <w:top w:val="nil"/>
              <w:left w:val="nil"/>
              <w:bottom w:val="nil"/>
              <w:right w:val="nil"/>
            </w:tcBorders>
            <w:shd w:val="clear" w:color="auto" w:fill="auto"/>
            <w:noWrap/>
            <w:vAlign w:val="bottom"/>
            <w:hideMark/>
          </w:tcPr>
          <w:p w:rsidR="00183444" w:rsidRPr="00883EC9" w:rsidRDefault="00183444" w:rsidP="00183444">
            <w:pPr>
              <w:jc w:val="right"/>
              <w:rPr>
                <w:rFonts w:ascii="Times New Roman CE" w:hAnsi="Times New Roman CE" w:cs="Times New Roman CE"/>
                <w:sz w:val="22"/>
                <w:szCs w:val="22"/>
              </w:rPr>
            </w:pPr>
            <w:r w:rsidRPr="00883EC9">
              <w:rPr>
                <w:rFonts w:ascii="Times New Roman CE" w:hAnsi="Times New Roman CE" w:cs="Times New Roman CE"/>
                <w:sz w:val="22"/>
                <w:szCs w:val="22"/>
              </w:rPr>
              <w:t>139,1%</w:t>
            </w:r>
          </w:p>
        </w:tc>
      </w:tr>
      <w:tr w:rsidR="00183444" w:rsidRPr="00883EC9" w:rsidTr="001F622E">
        <w:trPr>
          <w:gridAfter w:val="1"/>
          <w:wAfter w:w="141" w:type="dxa"/>
          <w:trHeight w:val="300"/>
        </w:trPr>
        <w:tc>
          <w:tcPr>
            <w:tcW w:w="4962" w:type="dxa"/>
            <w:tcBorders>
              <w:top w:val="nil"/>
              <w:left w:val="nil"/>
              <w:bottom w:val="nil"/>
              <w:right w:val="nil"/>
            </w:tcBorders>
            <w:shd w:val="clear" w:color="auto" w:fill="auto"/>
            <w:noWrap/>
            <w:vAlign w:val="bottom"/>
            <w:hideMark/>
          </w:tcPr>
          <w:p w:rsidR="00183444" w:rsidRPr="00883EC9" w:rsidRDefault="00183444" w:rsidP="00183444">
            <w:pPr>
              <w:rPr>
                <w:rFonts w:ascii="Times New Roman CE" w:hAnsi="Times New Roman CE" w:cs="Times New Roman CE"/>
                <w:sz w:val="22"/>
                <w:szCs w:val="22"/>
              </w:rPr>
            </w:pPr>
            <w:r w:rsidRPr="00883EC9">
              <w:rPr>
                <w:rFonts w:ascii="Times New Roman CE" w:hAnsi="Times New Roman CE" w:cs="Times New Roman CE"/>
                <w:sz w:val="22"/>
                <w:szCs w:val="22"/>
              </w:rPr>
              <w:t>Bírósági végrehajtásra adott köv. tőkeösszege</w:t>
            </w:r>
          </w:p>
        </w:tc>
        <w:tc>
          <w:tcPr>
            <w:tcW w:w="1061" w:type="dxa"/>
            <w:gridSpan w:val="2"/>
            <w:tcBorders>
              <w:top w:val="nil"/>
              <w:left w:val="nil"/>
              <w:bottom w:val="nil"/>
              <w:right w:val="nil"/>
            </w:tcBorders>
            <w:shd w:val="clear" w:color="auto" w:fill="auto"/>
            <w:noWrap/>
            <w:vAlign w:val="bottom"/>
            <w:hideMark/>
          </w:tcPr>
          <w:p w:rsidR="00183444" w:rsidRPr="00883EC9" w:rsidRDefault="00183444" w:rsidP="00183444">
            <w:pPr>
              <w:jc w:val="right"/>
              <w:rPr>
                <w:rFonts w:ascii="Times New Roman CE" w:hAnsi="Times New Roman CE" w:cs="Times New Roman CE"/>
                <w:sz w:val="22"/>
                <w:szCs w:val="22"/>
              </w:rPr>
            </w:pPr>
            <w:r w:rsidRPr="00883EC9">
              <w:rPr>
                <w:rFonts w:ascii="Times New Roman CE" w:hAnsi="Times New Roman CE" w:cs="Times New Roman CE"/>
                <w:sz w:val="22"/>
                <w:szCs w:val="22"/>
              </w:rPr>
              <w:t>12 231</w:t>
            </w:r>
          </w:p>
        </w:tc>
        <w:tc>
          <w:tcPr>
            <w:tcW w:w="515" w:type="dxa"/>
            <w:tcBorders>
              <w:top w:val="nil"/>
              <w:left w:val="nil"/>
              <w:bottom w:val="nil"/>
              <w:right w:val="nil"/>
            </w:tcBorders>
            <w:shd w:val="clear" w:color="auto" w:fill="auto"/>
            <w:noWrap/>
            <w:vAlign w:val="bottom"/>
            <w:hideMark/>
          </w:tcPr>
          <w:p w:rsidR="00183444" w:rsidRPr="00883EC9" w:rsidRDefault="00183444" w:rsidP="00183444">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eFt</w:t>
            </w:r>
            <w:proofErr w:type="spellEnd"/>
          </w:p>
        </w:tc>
        <w:tc>
          <w:tcPr>
            <w:tcW w:w="1047" w:type="dxa"/>
            <w:gridSpan w:val="2"/>
            <w:tcBorders>
              <w:top w:val="nil"/>
              <w:left w:val="nil"/>
              <w:bottom w:val="nil"/>
              <w:right w:val="nil"/>
            </w:tcBorders>
            <w:shd w:val="clear" w:color="auto" w:fill="auto"/>
            <w:noWrap/>
            <w:vAlign w:val="bottom"/>
            <w:hideMark/>
          </w:tcPr>
          <w:p w:rsidR="00183444" w:rsidRPr="00883EC9" w:rsidRDefault="00183444" w:rsidP="00183444">
            <w:pPr>
              <w:jc w:val="right"/>
              <w:rPr>
                <w:rFonts w:ascii="Times New Roman CE" w:hAnsi="Times New Roman CE" w:cs="Times New Roman CE"/>
                <w:sz w:val="22"/>
                <w:szCs w:val="22"/>
              </w:rPr>
            </w:pPr>
            <w:r w:rsidRPr="00883EC9">
              <w:rPr>
                <w:rFonts w:ascii="Times New Roman CE" w:hAnsi="Times New Roman CE" w:cs="Times New Roman CE"/>
                <w:sz w:val="22"/>
                <w:szCs w:val="22"/>
              </w:rPr>
              <w:t>10 685</w:t>
            </w:r>
          </w:p>
        </w:tc>
        <w:tc>
          <w:tcPr>
            <w:tcW w:w="509" w:type="dxa"/>
            <w:tcBorders>
              <w:top w:val="nil"/>
              <w:left w:val="nil"/>
              <w:bottom w:val="nil"/>
              <w:right w:val="nil"/>
            </w:tcBorders>
            <w:shd w:val="clear" w:color="auto" w:fill="auto"/>
            <w:noWrap/>
            <w:vAlign w:val="bottom"/>
            <w:hideMark/>
          </w:tcPr>
          <w:p w:rsidR="00183444" w:rsidRPr="00883EC9" w:rsidRDefault="00183444" w:rsidP="00183444">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eFt</w:t>
            </w:r>
            <w:proofErr w:type="spellEnd"/>
          </w:p>
        </w:tc>
        <w:tc>
          <w:tcPr>
            <w:tcW w:w="1136" w:type="dxa"/>
            <w:gridSpan w:val="2"/>
            <w:tcBorders>
              <w:top w:val="nil"/>
              <w:left w:val="nil"/>
              <w:bottom w:val="nil"/>
              <w:right w:val="nil"/>
            </w:tcBorders>
            <w:shd w:val="clear" w:color="auto" w:fill="auto"/>
            <w:noWrap/>
            <w:vAlign w:val="bottom"/>
            <w:hideMark/>
          </w:tcPr>
          <w:p w:rsidR="00183444" w:rsidRPr="00883EC9" w:rsidRDefault="00183444" w:rsidP="00183444">
            <w:pPr>
              <w:jc w:val="right"/>
              <w:rPr>
                <w:rFonts w:ascii="Times New Roman CE" w:hAnsi="Times New Roman CE" w:cs="Times New Roman CE"/>
                <w:sz w:val="22"/>
                <w:szCs w:val="22"/>
              </w:rPr>
            </w:pPr>
            <w:r w:rsidRPr="00883EC9">
              <w:rPr>
                <w:rFonts w:ascii="Times New Roman CE" w:hAnsi="Times New Roman CE" w:cs="Times New Roman CE"/>
                <w:sz w:val="22"/>
                <w:szCs w:val="22"/>
              </w:rPr>
              <w:t>87,4%</w:t>
            </w:r>
          </w:p>
        </w:tc>
      </w:tr>
      <w:tr w:rsidR="00183444" w:rsidRPr="00883EC9" w:rsidTr="001F622E">
        <w:trPr>
          <w:gridAfter w:val="1"/>
          <w:wAfter w:w="141" w:type="dxa"/>
          <w:trHeight w:val="300"/>
        </w:trPr>
        <w:tc>
          <w:tcPr>
            <w:tcW w:w="4962" w:type="dxa"/>
            <w:tcBorders>
              <w:top w:val="nil"/>
              <w:left w:val="nil"/>
              <w:bottom w:val="nil"/>
              <w:right w:val="nil"/>
            </w:tcBorders>
            <w:shd w:val="clear" w:color="auto" w:fill="auto"/>
            <w:noWrap/>
            <w:vAlign w:val="bottom"/>
            <w:hideMark/>
          </w:tcPr>
          <w:p w:rsidR="00183444" w:rsidRPr="00883EC9" w:rsidRDefault="00183444" w:rsidP="00183444">
            <w:pPr>
              <w:rPr>
                <w:rFonts w:ascii="Times New Roman CE" w:hAnsi="Times New Roman CE" w:cs="Times New Roman CE"/>
                <w:i/>
                <w:iCs/>
                <w:sz w:val="22"/>
                <w:szCs w:val="22"/>
              </w:rPr>
            </w:pPr>
            <w:r w:rsidRPr="00883EC9">
              <w:rPr>
                <w:rFonts w:ascii="Times New Roman CE" w:hAnsi="Times New Roman CE" w:cs="Times New Roman CE"/>
                <w:i/>
                <w:iCs/>
                <w:sz w:val="22"/>
                <w:szCs w:val="22"/>
              </w:rPr>
              <w:t>1 bírósági végrehajtásra adott köv. tőkeösszege</w:t>
            </w:r>
          </w:p>
        </w:tc>
        <w:tc>
          <w:tcPr>
            <w:tcW w:w="1061" w:type="dxa"/>
            <w:gridSpan w:val="2"/>
            <w:tcBorders>
              <w:top w:val="nil"/>
              <w:left w:val="nil"/>
              <w:bottom w:val="nil"/>
              <w:right w:val="nil"/>
            </w:tcBorders>
            <w:shd w:val="clear" w:color="auto" w:fill="auto"/>
            <w:noWrap/>
            <w:vAlign w:val="bottom"/>
            <w:hideMark/>
          </w:tcPr>
          <w:p w:rsidR="00183444" w:rsidRPr="00883EC9" w:rsidRDefault="00183444" w:rsidP="00183444">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133</w:t>
            </w:r>
          </w:p>
        </w:tc>
        <w:tc>
          <w:tcPr>
            <w:tcW w:w="515" w:type="dxa"/>
            <w:tcBorders>
              <w:top w:val="nil"/>
              <w:left w:val="nil"/>
              <w:bottom w:val="nil"/>
              <w:right w:val="nil"/>
            </w:tcBorders>
            <w:shd w:val="clear" w:color="auto" w:fill="auto"/>
            <w:noWrap/>
            <w:vAlign w:val="bottom"/>
            <w:hideMark/>
          </w:tcPr>
          <w:p w:rsidR="00183444" w:rsidRPr="00883EC9" w:rsidRDefault="00183444" w:rsidP="00183444">
            <w:pPr>
              <w:rPr>
                <w:rFonts w:ascii="Times New Roman CE" w:hAnsi="Times New Roman CE" w:cs="Times New Roman CE"/>
                <w:i/>
                <w:iCs/>
                <w:sz w:val="22"/>
                <w:szCs w:val="22"/>
              </w:rPr>
            </w:pPr>
            <w:proofErr w:type="spellStart"/>
            <w:r w:rsidRPr="00883EC9">
              <w:rPr>
                <w:rFonts w:ascii="Times New Roman CE" w:hAnsi="Times New Roman CE" w:cs="Times New Roman CE"/>
                <w:i/>
                <w:iCs/>
                <w:sz w:val="22"/>
                <w:szCs w:val="22"/>
              </w:rPr>
              <w:t>eFt</w:t>
            </w:r>
            <w:proofErr w:type="spellEnd"/>
          </w:p>
        </w:tc>
        <w:tc>
          <w:tcPr>
            <w:tcW w:w="1047" w:type="dxa"/>
            <w:gridSpan w:val="2"/>
            <w:tcBorders>
              <w:top w:val="nil"/>
              <w:left w:val="nil"/>
              <w:bottom w:val="nil"/>
              <w:right w:val="nil"/>
            </w:tcBorders>
            <w:shd w:val="clear" w:color="auto" w:fill="auto"/>
            <w:noWrap/>
            <w:vAlign w:val="bottom"/>
            <w:hideMark/>
          </w:tcPr>
          <w:p w:rsidR="00183444" w:rsidRPr="00883EC9" w:rsidRDefault="00183444" w:rsidP="00183444">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83</w:t>
            </w:r>
          </w:p>
        </w:tc>
        <w:tc>
          <w:tcPr>
            <w:tcW w:w="509" w:type="dxa"/>
            <w:tcBorders>
              <w:top w:val="nil"/>
              <w:left w:val="nil"/>
              <w:bottom w:val="nil"/>
              <w:right w:val="nil"/>
            </w:tcBorders>
            <w:shd w:val="clear" w:color="auto" w:fill="auto"/>
            <w:noWrap/>
            <w:vAlign w:val="bottom"/>
            <w:hideMark/>
          </w:tcPr>
          <w:p w:rsidR="00183444" w:rsidRPr="00883EC9" w:rsidRDefault="00183444" w:rsidP="00183444">
            <w:pPr>
              <w:rPr>
                <w:rFonts w:ascii="Times New Roman CE" w:hAnsi="Times New Roman CE" w:cs="Times New Roman CE"/>
                <w:i/>
                <w:iCs/>
                <w:sz w:val="22"/>
                <w:szCs w:val="22"/>
              </w:rPr>
            </w:pPr>
            <w:proofErr w:type="spellStart"/>
            <w:r w:rsidRPr="00883EC9">
              <w:rPr>
                <w:rFonts w:ascii="Times New Roman CE" w:hAnsi="Times New Roman CE" w:cs="Times New Roman CE"/>
                <w:i/>
                <w:iCs/>
                <w:sz w:val="22"/>
                <w:szCs w:val="22"/>
              </w:rPr>
              <w:t>eFt</w:t>
            </w:r>
            <w:proofErr w:type="spellEnd"/>
          </w:p>
        </w:tc>
        <w:tc>
          <w:tcPr>
            <w:tcW w:w="1136" w:type="dxa"/>
            <w:gridSpan w:val="2"/>
            <w:tcBorders>
              <w:top w:val="nil"/>
              <w:left w:val="nil"/>
              <w:bottom w:val="nil"/>
              <w:right w:val="nil"/>
            </w:tcBorders>
            <w:shd w:val="clear" w:color="auto" w:fill="auto"/>
            <w:noWrap/>
            <w:vAlign w:val="bottom"/>
            <w:hideMark/>
          </w:tcPr>
          <w:p w:rsidR="00183444" w:rsidRPr="00883EC9" w:rsidRDefault="00183444" w:rsidP="00183444">
            <w:pPr>
              <w:jc w:val="right"/>
              <w:rPr>
                <w:rFonts w:ascii="Times New Roman CE" w:hAnsi="Times New Roman CE" w:cs="Times New Roman CE"/>
                <w:i/>
                <w:iCs/>
                <w:sz w:val="22"/>
                <w:szCs w:val="22"/>
              </w:rPr>
            </w:pPr>
            <w:r w:rsidRPr="00883EC9">
              <w:rPr>
                <w:rFonts w:ascii="Times New Roman CE" w:hAnsi="Times New Roman CE" w:cs="Times New Roman CE"/>
                <w:i/>
                <w:iCs/>
                <w:sz w:val="22"/>
                <w:szCs w:val="22"/>
              </w:rPr>
              <w:t>62,8%</w:t>
            </w:r>
          </w:p>
        </w:tc>
      </w:tr>
      <w:tr w:rsidR="00183444" w:rsidRPr="00883EC9" w:rsidTr="001F622E">
        <w:trPr>
          <w:gridAfter w:val="1"/>
          <w:wAfter w:w="141" w:type="dxa"/>
          <w:trHeight w:val="300"/>
        </w:trPr>
        <w:tc>
          <w:tcPr>
            <w:tcW w:w="4962" w:type="dxa"/>
            <w:tcBorders>
              <w:top w:val="nil"/>
              <w:left w:val="nil"/>
              <w:bottom w:val="nil"/>
              <w:right w:val="nil"/>
            </w:tcBorders>
            <w:shd w:val="clear" w:color="auto" w:fill="auto"/>
            <w:noWrap/>
            <w:vAlign w:val="bottom"/>
            <w:hideMark/>
          </w:tcPr>
          <w:p w:rsidR="00183444" w:rsidRPr="00883EC9" w:rsidRDefault="00183444" w:rsidP="00183444">
            <w:pPr>
              <w:rPr>
                <w:rFonts w:ascii="Times New Roman CE" w:hAnsi="Times New Roman CE" w:cs="Times New Roman CE"/>
                <w:sz w:val="22"/>
                <w:szCs w:val="22"/>
              </w:rPr>
            </w:pPr>
            <w:r w:rsidRPr="00883EC9">
              <w:rPr>
                <w:rFonts w:ascii="Times New Roman CE" w:hAnsi="Times New Roman CE" w:cs="Times New Roman CE"/>
                <w:sz w:val="22"/>
                <w:szCs w:val="22"/>
              </w:rPr>
              <w:t>Követelések teljes végrehajtási ügyértéke</w:t>
            </w:r>
          </w:p>
        </w:tc>
        <w:tc>
          <w:tcPr>
            <w:tcW w:w="1061" w:type="dxa"/>
            <w:gridSpan w:val="2"/>
            <w:tcBorders>
              <w:top w:val="nil"/>
              <w:left w:val="nil"/>
              <w:bottom w:val="nil"/>
              <w:right w:val="nil"/>
            </w:tcBorders>
            <w:shd w:val="clear" w:color="auto" w:fill="auto"/>
            <w:noWrap/>
            <w:vAlign w:val="bottom"/>
            <w:hideMark/>
          </w:tcPr>
          <w:p w:rsidR="00183444" w:rsidRPr="00883EC9" w:rsidRDefault="00183444" w:rsidP="00183444">
            <w:pPr>
              <w:jc w:val="right"/>
              <w:rPr>
                <w:rFonts w:ascii="Times New Roman CE" w:hAnsi="Times New Roman CE" w:cs="Times New Roman CE"/>
                <w:sz w:val="22"/>
                <w:szCs w:val="22"/>
              </w:rPr>
            </w:pPr>
            <w:r w:rsidRPr="00883EC9">
              <w:rPr>
                <w:rFonts w:ascii="Times New Roman CE" w:hAnsi="Times New Roman CE" w:cs="Times New Roman CE"/>
                <w:sz w:val="22"/>
                <w:szCs w:val="22"/>
              </w:rPr>
              <w:t>22 788</w:t>
            </w:r>
          </w:p>
        </w:tc>
        <w:tc>
          <w:tcPr>
            <w:tcW w:w="515" w:type="dxa"/>
            <w:tcBorders>
              <w:top w:val="nil"/>
              <w:left w:val="nil"/>
              <w:bottom w:val="nil"/>
              <w:right w:val="nil"/>
            </w:tcBorders>
            <w:shd w:val="clear" w:color="auto" w:fill="auto"/>
            <w:noWrap/>
            <w:vAlign w:val="bottom"/>
            <w:hideMark/>
          </w:tcPr>
          <w:p w:rsidR="00183444" w:rsidRPr="00883EC9" w:rsidRDefault="00183444" w:rsidP="00183444">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eFt</w:t>
            </w:r>
            <w:proofErr w:type="spellEnd"/>
          </w:p>
        </w:tc>
        <w:tc>
          <w:tcPr>
            <w:tcW w:w="1047" w:type="dxa"/>
            <w:gridSpan w:val="2"/>
            <w:tcBorders>
              <w:top w:val="nil"/>
              <w:left w:val="nil"/>
              <w:bottom w:val="nil"/>
              <w:right w:val="nil"/>
            </w:tcBorders>
            <w:shd w:val="clear" w:color="auto" w:fill="auto"/>
            <w:noWrap/>
            <w:vAlign w:val="bottom"/>
            <w:hideMark/>
          </w:tcPr>
          <w:p w:rsidR="00183444" w:rsidRPr="00883EC9" w:rsidRDefault="00183444" w:rsidP="00183444">
            <w:pPr>
              <w:jc w:val="right"/>
              <w:rPr>
                <w:rFonts w:ascii="Times New Roman CE" w:hAnsi="Times New Roman CE" w:cs="Times New Roman CE"/>
                <w:sz w:val="22"/>
                <w:szCs w:val="22"/>
              </w:rPr>
            </w:pPr>
            <w:r w:rsidRPr="00883EC9">
              <w:rPr>
                <w:rFonts w:ascii="Times New Roman CE" w:hAnsi="Times New Roman CE" w:cs="Times New Roman CE"/>
                <w:sz w:val="22"/>
                <w:szCs w:val="22"/>
              </w:rPr>
              <w:t>18 407</w:t>
            </w:r>
          </w:p>
        </w:tc>
        <w:tc>
          <w:tcPr>
            <w:tcW w:w="509" w:type="dxa"/>
            <w:tcBorders>
              <w:top w:val="nil"/>
              <w:left w:val="nil"/>
              <w:bottom w:val="nil"/>
              <w:right w:val="nil"/>
            </w:tcBorders>
            <w:shd w:val="clear" w:color="auto" w:fill="auto"/>
            <w:noWrap/>
            <w:vAlign w:val="bottom"/>
            <w:hideMark/>
          </w:tcPr>
          <w:p w:rsidR="00183444" w:rsidRPr="00883EC9" w:rsidRDefault="00183444" w:rsidP="00183444">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eFt</w:t>
            </w:r>
            <w:proofErr w:type="spellEnd"/>
          </w:p>
        </w:tc>
        <w:tc>
          <w:tcPr>
            <w:tcW w:w="1136" w:type="dxa"/>
            <w:gridSpan w:val="2"/>
            <w:tcBorders>
              <w:top w:val="nil"/>
              <w:left w:val="nil"/>
              <w:bottom w:val="nil"/>
              <w:right w:val="nil"/>
            </w:tcBorders>
            <w:shd w:val="clear" w:color="auto" w:fill="auto"/>
            <w:noWrap/>
            <w:vAlign w:val="bottom"/>
            <w:hideMark/>
          </w:tcPr>
          <w:p w:rsidR="00183444" w:rsidRPr="00883EC9" w:rsidRDefault="00183444" w:rsidP="00183444">
            <w:pPr>
              <w:jc w:val="right"/>
              <w:rPr>
                <w:rFonts w:ascii="Times New Roman CE" w:hAnsi="Times New Roman CE" w:cs="Times New Roman CE"/>
                <w:sz w:val="22"/>
                <w:szCs w:val="22"/>
              </w:rPr>
            </w:pPr>
            <w:r w:rsidRPr="00883EC9">
              <w:rPr>
                <w:rFonts w:ascii="Times New Roman CE" w:hAnsi="Times New Roman CE" w:cs="Times New Roman CE"/>
                <w:sz w:val="22"/>
                <w:szCs w:val="22"/>
              </w:rPr>
              <w:t>80,8%</w:t>
            </w:r>
          </w:p>
        </w:tc>
      </w:tr>
      <w:tr w:rsidR="00183444" w:rsidRPr="00883EC9" w:rsidTr="001F622E">
        <w:trPr>
          <w:gridAfter w:val="1"/>
          <w:wAfter w:w="141" w:type="dxa"/>
          <w:trHeight w:val="525"/>
        </w:trPr>
        <w:tc>
          <w:tcPr>
            <w:tcW w:w="4962" w:type="dxa"/>
            <w:tcBorders>
              <w:top w:val="nil"/>
              <w:left w:val="nil"/>
              <w:bottom w:val="nil"/>
              <w:right w:val="nil"/>
            </w:tcBorders>
            <w:shd w:val="clear" w:color="auto" w:fill="auto"/>
            <w:vAlign w:val="bottom"/>
            <w:hideMark/>
          </w:tcPr>
          <w:p w:rsidR="00183444" w:rsidRPr="00883EC9" w:rsidRDefault="00183444" w:rsidP="00183444">
            <w:pPr>
              <w:rPr>
                <w:rFonts w:ascii="Times New Roman CE" w:hAnsi="Times New Roman CE" w:cs="Times New Roman CE"/>
              </w:rPr>
            </w:pPr>
            <w:r w:rsidRPr="00883EC9">
              <w:rPr>
                <w:rFonts w:ascii="Times New Roman CE" w:hAnsi="Times New Roman CE" w:cs="Times New Roman CE"/>
              </w:rPr>
              <w:t>(</w:t>
            </w:r>
            <w:proofErr w:type="spellStart"/>
            <w:r w:rsidRPr="00883EC9">
              <w:rPr>
                <w:rFonts w:ascii="Times New Roman CE" w:hAnsi="Times New Roman CE" w:cs="Times New Roman CE"/>
              </w:rPr>
              <w:t>tőketart</w:t>
            </w:r>
            <w:proofErr w:type="spellEnd"/>
            <w:r w:rsidRPr="00883EC9">
              <w:rPr>
                <w:rFonts w:ascii="Times New Roman CE" w:hAnsi="Times New Roman CE" w:cs="Times New Roman CE"/>
              </w:rPr>
              <w:t xml:space="preserve">, </w:t>
            </w:r>
            <w:proofErr w:type="spellStart"/>
            <w:r w:rsidRPr="00883EC9">
              <w:rPr>
                <w:rFonts w:ascii="Times New Roman CE" w:hAnsi="Times New Roman CE" w:cs="Times New Roman CE"/>
              </w:rPr>
              <w:t>fiz.meghagyások</w:t>
            </w:r>
            <w:proofErr w:type="spellEnd"/>
            <w:r w:rsidRPr="00883EC9">
              <w:rPr>
                <w:rFonts w:ascii="Times New Roman CE" w:hAnsi="Times New Roman CE" w:cs="Times New Roman CE"/>
              </w:rPr>
              <w:t xml:space="preserve"> és végrehajt. </w:t>
            </w:r>
            <w:proofErr w:type="spellStart"/>
            <w:r w:rsidRPr="00883EC9">
              <w:rPr>
                <w:rFonts w:ascii="Times New Roman CE" w:hAnsi="Times New Roman CE" w:cs="Times New Roman CE"/>
              </w:rPr>
              <w:t>ktge</w:t>
            </w:r>
            <w:proofErr w:type="spellEnd"/>
            <w:r w:rsidRPr="00883EC9">
              <w:rPr>
                <w:rFonts w:ascii="Times New Roman CE" w:hAnsi="Times New Roman CE" w:cs="Times New Roman CE"/>
              </w:rPr>
              <w:t xml:space="preserve">, </w:t>
            </w:r>
            <w:r w:rsidRPr="00883EC9">
              <w:rPr>
                <w:rFonts w:ascii="Times New Roman CE" w:hAnsi="Times New Roman CE" w:cs="Times New Roman CE"/>
              </w:rPr>
              <w:br/>
              <w:t xml:space="preserve">illetékek, </w:t>
            </w:r>
            <w:proofErr w:type="spellStart"/>
            <w:r w:rsidRPr="00883EC9">
              <w:rPr>
                <w:rFonts w:ascii="Times New Roman CE" w:hAnsi="Times New Roman CE" w:cs="Times New Roman CE"/>
              </w:rPr>
              <w:t>kés</w:t>
            </w:r>
            <w:proofErr w:type="gramStart"/>
            <w:r w:rsidRPr="00883EC9">
              <w:rPr>
                <w:rFonts w:ascii="Times New Roman CE" w:hAnsi="Times New Roman CE" w:cs="Times New Roman CE"/>
              </w:rPr>
              <w:t>.kamat</w:t>
            </w:r>
            <w:proofErr w:type="spellEnd"/>
            <w:proofErr w:type="gramEnd"/>
            <w:r w:rsidRPr="00883EC9">
              <w:rPr>
                <w:rFonts w:ascii="Times New Roman CE" w:hAnsi="Times New Roman CE" w:cs="Times New Roman CE"/>
              </w:rPr>
              <w:t>)</w:t>
            </w:r>
          </w:p>
        </w:tc>
        <w:tc>
          <w:tcPr>
            <w:tcW w:w="1061" w:type="dxa"/>
            <w:gridSpan w:val="2"/>
            <w:tcBorders>
              <w:top w:val="nil"/>
              <w:left w:val="nil"/>
              <w:bottom w:val="nil"/>
              <w:right w:val="nil"/>
            </w:tcBorders>
            <w:shd w:val="clear" w:color="auto" w:fill="auto"/>
            <w:noWrap/>
            <w:vAlign w:val="bottom"/>
            <w:hideMark/>
          </w:tcPr>
          <w:p w:rsidR="00183444" w:rsidRPr="00883EC9" w:rsidRDefault="00183444" w:rsidP="00183444">
            <w:pPr>
              <w:rPr>
                <w:rFonts w:ascii="Times New Roman CE" w:hAnsi="Times New Roman CE" w:cs="Times New Roman CE"/>
              </w:rPr>
            </w:pPr>
          </w:p>
        </w:tc>
        <w:tc>
          <w:tcPr>
            <w:tcW w:w="515" w:type="dxa"/>
            <w:tcBorders>
              <w:top w:val="nil"/>
              <w:left w:val="nil"/>
              <w:bottom w:val="nil"/>
              <w:right w:val="nil"/>
            </w:tcBorders>
            <w:shd w:val="clear" w:color="auto" w:fill="auto"/>
            <w:noWrap/>
            <w:vAlign w:val="bottom"/>
            <w:hideMark/>
          </w:tcPr>
          <w:p w:rsidR="00183444" w:rsidRPr="00883EC9" w:rsidRDefault="00183444" w:rsidP="00183444"/>
        </w:tc>
        <w:tc>
          <w:tcPr>
            <w:tcW w:w="1047" w:type="dxa"/>
            <w:gridSpan w:val="2"/>
            <w:tcBorders>
              <w:top w:val="nil"/>
              <w:left w:val="nil"/>
              <w:bottom w:val="nil"/>
              <w:right w:val="nil"/>
            </w:tcBorders>
            <w:shd w:val="clear" w:color="auto" w:fill="auto"/>
            <w:noWrap/>
            <w:vAlign w:val="bottom"/>
            <w:hideMark/>
          </w:tcPr>
          <w:p w:rsidR="00183444" w:rsidRPr="00883EC9" w:rsidRDefault="00183444" w:rsidP="00183444"/>
        </w:tc>
        <w:tc>
          <w:tcPr>
            <w:tcW w:w="509" w:type="dxa"/>
            <w:tcBorders>
              <w:top w:val="nil"/>
              <w:left w:val="nil"/>
              <w:bottom w:val="nil"/>
              <w:right w:val="nil"/>
            </w:tcBorders>
            <w:shd w:val="clear" w:color="auto" w:fill="auto"/>
            <w:noWrap/>
            <w:vAlign w:val="bottom"/>
            <w:hideMark/>
          </w:tcPr>
          <w:p w:rsidR="00183444" w:rsidRPr="00883EC9" w:rsidRDefault="00183444" w:rsidP="00183444"/>
        </w:tc>
        <w:tc>
          <w:tcPr>
            <w:tcW w:w="1136" w:type="dxa"/>
            <w:gridSpan w:val="2"/>
            <w:tcBorders>
              <w:top w:val="nil"/>
              <w:left w:val="nil"/>
              <w:bottom w:val="nil"/>
              <w:right w:val="nil"/>
            </w:tcBorders>
            <w:shd w:val="clear" w:color="auto" w:fill="auto"/>
            <w:noWrap/>
            <w:vAlign w:val="bottom"/>
            <w:hideMark/>
          </w:tcPr>
          <w:p w:rsidR="00183444" w:rsidRPr="00883EC9" w:rsidRDefault="00183444" w:rsidP="00183444"/>
        </w:tc>
      </w:tr>
      <w:tr w:rsidR="00183444" w:rsidRPr="00883EC9" w:rsidTr="001F622E">
        <w:trPr>
          <w:gridAfter w:val="1"/>
          <w:wAfter w:w="141" w:type="dxa"/>
          <w:trHeight w:val="300"/>
        </w:trPr>
        <w:tc>
          <w:tcPr>
            <w:tcW w:w="4962" w:type="dxa"/>
            <w:tcBorders>
              <w:top w:val="nil"/>
              <w:left w:val="nil"/>
              <w:bottom w:val="nil"/>
              <w:right w:val="nil"/>
            </w:tcBorders>
            <w:shd w:val="clear" w:color="auto" w:fill="auto"/>
            <w:noWrap/>
            <w:vAlign w:val="bottom"/>
            <w:hideMark/>
          </w:tcPr>
          <w:p w:rsidR="00183444" w:rsidRPr="00883EC9" w:rsidRDefault="00183444" w:rsidP="00183444">
            <w:pPr>
              <w:rPr>
                <w:rFonts w:ascii="Times New Roman CE" w:hAnsi="Times New Roman CE" w:cs="Times New Roman CE"/>
                <w:sz w:val="22"/>
                <w:szCs w:val="22"/>
              </w:rPr>
            </w:pPr>
            <w:r w:rsidRPr="00883EC9">
              <w:rPr>
                <w:rFonts w:ascii="Times New Roman CE" w:hAnsi="Times New Roman CE" w:cs="Times New Roman CE"/>
                <w:sz w:val="22"/>
                <w:szCs w:val="22"/>
              </w:rPr>
              <w:t>A végrehajtás alatt álló eljárásokból</w:t>
            </w:r>
          </w:p>
        </w:tc>
        <w:tc>
          <w:tcPr>
            <w:tcW w:w="1061" w:type="dxa"/>
            <w:gridSpan w:val="2"/>
            <w:tcBorders>
              <w:top w:val="nil"/>
              <w:left w:val="nil"/>
              <w:bottom w:val="nil"/>
              <w:right w:val="nil"/>
            </w:tcBorders>
            <w:shd w:val="clear" w:color="auto" w:fill="auto"/>
            <w:noWrap/>
            <w:vAlign w:val="bottom"/>
            <w:hideMark/>
          </w:tcPr>
          <w:p w:rsidR="00183444" w:rsidRPr="00883EC9" w:rsidRDefault="00183444" w:rsidP="00183444">
            <w:pPr>
              <w:rPr>
                <w:rFonts w:ascii="Times New Roman CE" w:hAnsi="Times New Roman CE" w:cs="Times New Roman CE"/>
                <w:sz w:val="22"/>
                <w:szCs w:val="22"/>
              </w:rPr>
            </w:pPr>
          </w:p>
        </w:tc>
        <w:tc>
          <w:tcPr>
            <w:tcW w:w="515" w:type="dxa"/>
            <w:tcBorders>
              <w:top w:val="nil"/>
              <w:left w:val="nil"/>
              <w:bottom w:val="nil"/>
              <w:right w:val="nil"/>
            </w:tcBorders>
            <w:shd w:val="clear" w:color="auto" w:fill="auto"/>
            <w:noWrap/>
            <w:vAlign w:val="bottom"/>
            <w:hideMark/>
          </w:tcPr>
          <w:p w:rsidR="00183444" w:rsidRPr="00883EC9" w:rsidRDefault="00183444" w:rsidP="00183444"/>
        </w:tc>
        <w:tc>
          <w:tcPr>
            <w:tcW w:w="1047" w:type="dxa"/>
            <w:gridSpan w:val="2"/>
            <w:tcBorders>
              <w:top w:val="nil"/>
              <w:left w:val="nil"/>
              <w:bottom w:val="nil"/>
              <w:right w:val="nil"/>
            </w:tcBorders>
            <w:shd w:val="clear" w:color="auto" w:fill="auto"/>
            <w:noWrap/>
            <w:vAlign w:val="bottom"/>
            <w:hideMark/>
          </w:tcPr>
          <w:p w:rsidR="00183444" w:rsidRPr="00883EC9" w:rsidRDefault="00183444" w:rsidP="00183444"/>
        </w:tc>
        <w:tc>
          <w:tcPr>
            <w:tcW w:w="509" w:type="dxa"/>
            <w:tcBorders>
              <w:top w:val="nil"/>
              <w:left w:val="nil"/>
              <w:bottom w:val="nil"/>
              <w:right w:val="nil"/>
            </w:tcBorders>
            <w:shd w:val="clear" w:color="auto" w:fill="auto"/>
            <w:noWrap/>
            <w:vAlign w:val="bottom"/>
            <w:hideMark/>
          </w:tcPr>
          <w:p w:rsidR="00183444" w:rsidRPr="00883EC9" w:rsidRDefault="00183444" w:rsidP="00183444"/>
        </w:tc>
        <w:tc>
          <w:tcPr>
            <w:tcW w:w="1136" w:type="dxa"/>
            <w:gridSpan w:val="2"/>
            <w:tcBorders>
              <w:top w:val="nil"/>
              <w:left w:val="nil"/>
              <w:bottom w:val="nil"/>
              <w:right w:val="nil"/>
            </w:tcBorders>
            <w:shd w:val="clear" w:color="auto" w:fill="auto"/>
            <w:noWrap/>
            <w:vAlign w:val="bottom"/>
            <w:hideMark/>
          </w:tcPr>
          <w:p w:rsidR="00183444" w:rsidRPr="00883EC9" w:rsidRDefault="00183444" w:rsidP="00183444"/>
        </w:tc>
      </w:tr>
      <w:tr w:rsidR="00183444" w:rsidRPr="00883EC9" w:rsidTr="001F622E">
        <w:trPr>
          <w:gridAfter w:val="1"/>
          <w:wAfter w:w="141" w:type="dxa"/>
          <w:trHeight w:val="300"/>
        </w:trPr>
        <w:tc>
          <w:tcPr>
            <w:tcW w:w="4962" w:type="dxa"/>
            <w:tcBorders>
              <w:top w:val="nil"/>
              <w:left w:val="nil"/>
              <w:bottom w:val="nil"/>
              <w:right w:val="nil"/>
            </w:tcBorders>
            <w:shd w:val="clear" w:color="auto" w:fill="auto"/>
            <w:noWrap/>
            <w:vAlign w:val="bottom"/>
            <w:hideMark/>
          </w:tcPr>
          <w:p w:rsidR="00183444" w:rsidRPr="00883EC9" w:rsidRDefault="00183444" w:rsidP="00183444">
            <w:pPr>
              <w:rPr>
                <w:rFonts w:ascii="Times New Roman CE" w:hAnsi="Times New Roman CE" w:cs="Times New Roman CE"/>
                <w:sz w:val="22"/>
                <w:szCs w:val="22"/>
              </w:rPr>
            </w:pPr>
            <w:r w:rsidRPr="00883EC9">
              <w:rPr>
                <w:rFonts w:ascii="Times New Roman CE" w:hAnsi="Times New Roman CE" w:cs="Times New Roman CE"/>
                <w:sz w:val="22"/>
                <w:szCs w:val="22"/>
              </w:rPr>
              <w:t>az időszakban befolyt összeg</w:t>
            </w:r>
          </w:p>
        </w:tc>
        <w:tc>
          <w:tcPr>
            <w:tcW w:w="1061" w:type="dxa"/>
            <w:gridSpan w:val="2"/>
            <w:tcBorders>
              <w:top w:val="nil"/>
              <w:left w:val="nil"/>
              <w:bottom w:val="nil"/>
              <w:right w:val="nil"/>
            </w:tcBorders>
            <w:shd w:val="clear" w:color="auto" w:fill="auto"/>
            <w:noWrap/>
            <w:vAlign w:val="bottom"/>
            <w:hideMark/>
          </w:tcPr>
          <w:p w:rsidR="00183444" w:rsidRPr="00883EC9" w:rsidRDefault="00183444" w:rsidP="00183444">
            <w:pPr>
              <w:jc w:val="right"/>
              <w:rPr>
                <w:rFonts w:ascii="Times New Roman CE" w:hAnsi="Times New Roman CE" w:cs="Times New Roman CE"/>
                <w:sz w:val="22"/>
                <w:szCs w:val="22"/>
              </w:rPr>
            </w:pPr>
            <w:r w:rsidRPr="00883EC9">
              <w:rPr>
                <w:rFonts w:ascii="Times New Roman CE" w:hAnsi="Times New Roman CE" w:cs="Times New Roman CE"/>
                <w:sz w:val="22"/>
                <w:szCs w:val="22"/>
              </w:rPr>
              <w:t>11 763</w:t>
            </w:r>
          </w:p>
        </w:tc>
        <w:tc>
          <w:tcPr>
            <w:tcW w:w="515" w:type="dxa"/>
            <w:tcBorders>
              <w:top w:val="nil"/>
              <w:left w:val="nil"/>
              <w:bottom w:val="nil"/>
              <w:right w:val="nil"/>
            </w:tcBorders>
            <w:shd w:val="clear" w:color="auto" w:fill="auto"/>
            <w:noWrap/>
            <w:vAlign w:val="bottom"/>
            <w:hideMark/>
          </w:tcPr>
          <w:p w:rsidR="00183444" w:rsidRPr="00883EC9" w:rsidRDefault="00183444" w:rsidP="00183444">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eFt</w:t>
            </w:r>
            <w:proofErr w:type="spellEnd"/>
          </w:p>
        </w:tc>
        <w:tc>
          <w:tcPr>
            <w:tcW w:w="1047" w:type="dxa"/>
            <w:gridSpan w:val="2"/>
            <w:tcBorders>
              <w:top w:val="nil"/>
              <w:left w:val="nil"/>
              <w:bottom w:val="nil"/>
              <w:right w:val="nil"/>
            </w:tcBorders>
            <w:shd w:val="clear" w:color="auto" w:fill="auto"/>
            <w:noWrap/>
            <w:vAlign w:val="bottom"/>
            <w:hideMark/>
          </w:tcPr>
          <w:p w:rsidR="00183444" w:rsidRPr="00883EC9" w:rsidRDefault="00183444" w:rsidP="00183444">
            <w:pPr>
              <w:jc w:val="right"/>
              <w:rPr>
                <w:rFonts w:ascii="Times New Roman CE" w:hAnsi="Times New Roman CE" w:cs="Times New Roman CE"/>
                <w:sz w:val="22"/>
                <w:szCs w:val="22"/>
              </w:rPr>
            </w:pPr>
            <w:r w:rsidRPr="00883EC9">
              <w:rPr>
                <w:rFonts w:ascii="Times New Roman CE" w:hAnsi="Times New Roman CE" w:cs="Times New Roman CE"/>
                <w:sz w:val="22"/>
                <w:szCs w:val="22"/>
              </w:rPr>
              <w:t>14 603</w:t>
            </w:r>
          </w:p>
        </w:tc>
        <w:tc>
          <w:tcPr>
            <w:tcW w:w="509" w:type="dxa"/>
            <w:tcBorders>
              <w:top w:val="nil"/>
              <w:left w:val="nil"/>
              <w:bottom w:val="nil"/>
              <w:right w:val="nil"/>
            </w:tcBorders>
            <w:shd w:val="clear" w:color="auto" w:fill="auto"/>
            <w:noWrap/>
            <w:vAlign w:val="bottom"/>
            <w:hideMark/>
          </w:tcPr>
          <w:p w:rsidR="00183444" w:rsidRPr="00883EC9" w:rsidRDefault="00183444" w:rsidP="00183444">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eFt</w:t>
            </w:r>
            <w:proofErr w:type="spellEnd"/>
          </w:p>
        </w:tc>
        <w:tc>
          <w:tcPr>
            <w:tcW w:w="1136" w:type="dxa"/>
            <w:gridSpan w:val="2"/>
            <w:tcBorders>
              <w:top w:val="nil"/>
              <w:left w:val="nil"/>
              <w:bottom w:val="nil"/>
              <w:right w:val="nil"/>
            </w:tcBorders>
            <w:shd w:val="clear" w:color="auto" w:fill="auto"/>
            <w:noWrap/>
            <w:vAlign w:val="bottom"/>
            <w:hideMark/>
          </w:tcPr>
          <w:p w:rsidR="00183444" w:rsidRPr="00883EC9" w:rsidRDefault="00183444" w:rsidP="00183444">
            <w:pPr>
              <w:jc w:val="right"/>
              <w:rPr>
                <w:rFonts w:ascii="Times New Roman CE" w:hAnsi="Times New Roman CE" w:cs="Times New Roman CE"/>
                <w:sz w:val="22"/>
                <w:szCs w:val="22"/>
              </w:rPr>
            </w:pPr>
            <w:r w:rsidRPr="00883EC9">
              <w:rPr>
                <w:rFonts w:ascii="Times New Roman CE" w:hAnsi="Times New Roman CE" w:cs="Times New Roman CE"/>
                <w:sz w:val="22"/>
                <w:szCs w:val="22"/>
              </w:rPr>
              <w:t>124,1%</w:t>
            </w:r>
          </w:p>
        </w:tc>
      </w:tr>
      <w:tr w:rsidR="00183444" w:rsidRPr="00883EC9" w:rsidTr="001F622E">
        <w:trPr>
          <w:gridAfter w:val="1"/>
          <w:wAfter w:w="141" w:type="dxa"/>
          <w:trHeight w:val="300"/>
        </w:trPr>
        <w:tc>
          <w:tcPr>
            <w:tcW w:w="4962" w:type="dxa"/>
            <w:tcBorders>
              <w:top w:val="nil"/>
              <w:left w:val="nil"/>
              <w:bottom w:val="nil"/>
              <w:right w:val="nil"/>
            </w:tcBorders>
            <w:shd w:val="clear" w:color="auto" w:fill="auto"/>
            <w:noWrap/>
            <w:vAlign w:val="bottom"/>
            <w:hideMark/>
          </w:tcPr>
          <w:p w:rsidR="00183444" w:rsidRPr="00883EC9" w:rsidRDefault="00183444" w:rsidP="00183444">
            <w:pPr>
              <w:rPr>
                <w:rFonts w:ascii="Times New Roman CE" w:hAnsi="Times New Roman CE" w:cs="Times New Roman CE"/>
                <w:sz w:val="22"/>
                <w:szCs w:val="22"/>
              </w:rPr>
            </w:pPr>
            <w:r w:rsidRPr="00883EC9">
              <w:rPr>
                <w:rFonts w:ascii="Times New Roman CE" w:hAnsi="Times New Roman CE" w:cs="Times New Roman CE"/>
                <w:sz w:val="22"/>
                <w:szCs w:val="22"/>
              </w:rPr>
              <w:t>Ingatlanra bejegyzett tőkekövetelés</w:t>
            </w:r>
          </w:p>
        </w:tc>
        <w:tc>
          <w:tcPr>
            <w:tcW w:w="1061" w:type="dxa"/>
            <w:gridSpan w:val="2"/>
            <w:tcBorders>
              <w:top w:val="nil"/>
              <w:left w:val="nil"/>
              <w:bottom w:val="nil"/>
              <w:right w:val="nil"/>
            </w:tcBorders>
            <w:shd w:val="clear" w:color="auto" w:fill="auto"/>
            <w:noWrap/>
            <w:vAlign w:val="bottom"/>
            <w:hideMark/>
          </w:tcPr>
          <w:p w:rsidR="00183444" w:rsidRPr="00883EC9" w:rsidRDefault="00183444" w:rsidP="00183444">
            <w:pPr>
              <w:rPr>
                <w:rFonts w:ascii="Times New Roman CE" w:hAnsi="Times New Roman CE" w:cs="Times New Roman CE"/>
                <w:sz w:val="22"/>
                <w:szCs w:val="22"/>
              </w:rPr>
            </w:pPr>
          </w:p>
        </w:tc>
        <w:tc>
          <w:tcPr>
            <w:tcW w:w="515" w:type="dxa"/>
            <w:tcBorders>
              <w:top w:val="nil"/>
              <w:left w:val="nil"/>
              <w:bottom w:val="nil"/>
              <w:right w:val="nil"/>
            </w:tcBorders>
            <w:shd w:val="clear" w:color="auto" w:fill="auto"/>
            <w:noWrap/>
            <w:vAlign w:val="bottom"/>
            <w:hideMark/>
          </w:tcPr>
          <w:p w:rsidR="00183444" w:rsidRPr="00883EC9" w:rsidRDefault="00183444" w:rsidP="00183444"/>
        </w:tc>
        <w:tc>
          <w:tcPr>
            <w:tcW w:w="1047" w:type="dxa"/>
            <w:gridSpan w:val="2"/>
            <w:tcBorders>
              <w:top w:val="nil"/>
              <w:left w:val="nil"/>
              <w:bottom w:val="nil"/>
              <w:right w:val="nil"/>
            </w:tcBorders>
            <w:shd w:val="clear" w:color="auto" w:fill="auto"/>
            <w:noWrap/>
            <w:vAlign w:val="bottom"/>
            <w:hideMark/>
          </w:tcPr>
          <w:p w:rsidR="00183444" w:rsidRPr="00883EC9" w:rsidRDefault="00183444" w:rsidP="00183444"/>
        </w:tc>
        <w:tc>
          <w:tcPr>
            <w:tcW w:w="509" w:type="dxa"/>
            <w:tcBorders>
              <w:top w:val="nil"/>
              <w:left w:val="nil"/>
              <w:bottom w:val="nil"/>
              <w:right w:val="nil"/>
            </w:tcBorders>
            <w:shd w:val="clear" w:color="auto" w:fill="auto"/>
            <w:noWrap/>
            <w:vAlign w:val="bottom"/>
            <w:hideMark/>
          </w:tcPr>
          <w:p w:rsidR="00183444" w:rsidRPr="00883EC9" w:rsidRDefault="00183444" w:rsidP="00183444"/>
        </w:tc>
        <w:tc>
          <w:tcPr>
            <w:tcW w:w="1136" w:type="dxa"/>
            <w:gridSpan w:val="2"/>
            <w:tcBorders>
              <w:top w:val="nil"/>
              <w:left w:val="nil"/>
              <w:bottom w:val="nil"/>
              <w:right w:val="nil"/>
            </w:tcBorders>
            <w:shd w:val="clear" w:color="auto" w:fill="auto"/>
            <w:noWrap/>
            <w:vAlign w:val="bottom"/>
            <w:hideMark/>
          </w:tcPr>
          <w:p w:rsidR="00183444" w:rsidRPr="00883EC9" w:rsidRDefault="00183444" w:rsidP="00183444"/>
        </w:tc>
      </w:tr>
      <w:tr w:rsidR="00183444" w:rsidRPr="00883EC9" w:rsidTr="001F622E">
        <w:trPr>
          <w:gridAfter w:val="1"/>
          <w:wAfter w:w="141" w:type="dxa"/>
          <w:trHeight w:val="300"/>
        </w:trPr>
        <w:tc>
          <w:tcPr>
            <w:tcW w:w="4962" w:type="dxa"/>
            <w:tcBorders>
              <w:top w:val="nil"/>
              <w:left w:val="nil"/>
              <w:bottom w:val="nil"/>
              <w:right w:val="nil"/>
            </w:tcBorders>
            <w:shd w:val="clear" w:color="auto" w:fill="auto"/>
            <w:noWrap/>
            <w:vAlign w:val="bottom"/>
            <w:hideMark/>
          </w:tcPr>
          <w:p w:rsidR="00183444" w:rsidRPr="00883EC9" w:rsidRDefault="00183444" w:rsidP="00183444">
            <w:pPr>
              <w:rPr>
                <w:rFonts w:ascii="Times New Roman CE" w:hAnsi="Times New Roman CE" w:cs="Times New Roman CE"/>
                <w:sz w:val="22"/>
                <w:szCs w:val="22"/>
              </w:rPr>
            </w:pPr>
            <w:r w:rsidRPr="00883EC9">
              <w:rPr>
                <w:rFonts w:ascii="Times New Roman CE" w:hAnsi="Times New Roman CE" w:cs="Times New Roman CE"/>
                <w:sz w:val="22"/>
                <w:szCs w:val="22"/>
              </w:rPr>
              <w:t>a beszámolási időszak utolsó napján</w:t>
            </w:r>
          </w:p>
        </w:tc>
        <w:tc>
          <w:tcPr>
            <w:tcW w:w="1061" w:type="dxa"/>
            <w:gridSpan w:val="2"/>
            <w:tcBorders>
              <w:top w:val="nil"/>
              <w:left w:val="nil"/>
              <w:bottom w:val="nil"/>
              <w:right w:val="nil"/>
            </w:tcBorders>
            <w:shd w:val="clear" w:color="auto" w:fill="auto"/>
            <w:noWrap/>
            <w:vAlign w:val="bottom"/>
            <w:hideMark/>
          </w:tcPr>
          <w:p w:rsidR="00183444" w:rsidRPr="00883EC9" w:rsidRDefault="00183444" w:rsidP="00183444">
            <w:pPr>
              <w:jc w:val="right"/>
              <w:rPr>
                <w:rFonts w:ascii="Times New Roman CE" w:hAnsi="Times New Roman CE" w:cs="Times New Roman CE"/>
                <w:sz w:val="22"/>
                <w:szCs w:val="22"/>
              </w:rPr>
            </w:pPr>
            <w:r w:rsidRPr="00883EC9">
              <w:rPr>
                <w:rFonts w:ascii="Times New Roman CE" w:hAnsi="Times New Roman CE" w:cs="Times New Roman CE"/>
                <w:sz w:val="22"/>
                <w:szCs w:val="22"/>
              </w:rPr>
              <w:t>292</w:t>
            </w:r>
          </w:p>
        </w:tc>
        <w:tc>
          <w:tcPr>
            <w:tcW w:w="515" w:type="dxa"/>
            <w:tcBorders>
              <w:top w:val="nil"/>
              <w:left w:val="nil"/>
              <w:bottom w:val="nil"/>
              <w:right w:val="nil"/>
            </w:tcBorders>
            <w:shd w:val="clear" w:color="auto" w:fill="auto"/>
            <w:noWrap/>
            <w:vAlign w:val="bottom"/>
            <w:hideMark/>
          </w:tcPr>
          <w:p w:rsidR="00183444" w:rsidRPr="00883EC9" w:rsidRDefault="00183444" w:rsidP="00183444">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eFt</w:t>
            </w:r>
            <w:proofErr w:type="spellEnd"/>
          </w:p>
        </w:tc>
        <w:tc>
          <w:tcPr>
            <w:tcW w:w="1047" w:type="dxa"/>
            <w:gridSpan w:val="2"/>
            <w:tcBorders>
              <w:top w:val="nil"/>
              <w:left w:val="nil"/>
              <w:bottom w:val="nil"/>
              <w:right w:val="nil"/>
            </w:tcBorders>
            <w:shd w:val="clear" w:color="auto" w:fill="auto"/>
            <w:noWrap/>
            <w:vAlign w:val="bottom"/>
            <w:hideMark/>
          </w:tcPr>
          <w:p w:rsidR="00183444" w:rsidRPr="00883EC9" w:rsidRDefault="00183444" w:rsidP="00183444">
            <w:pPr>
              <w:jc w:val="right"/>
              <w:rPr>
                <w:rFonts w:ascii="Times New Roman CE" w:hAnsi="Times New Roman CE" w:cs="Times New Roman CE"/>
                <w:sz w:val="22"/>
                <w:szCs w:val="22"/>
              </w:rPr>
            </w:pPr>
            <w:r w:rsidRPr="00883EC9">
              <w:rPr>
                <w:rFonts w:ascii="Times New Roman CE" w:hAnsi="Times New Roman CE" w:cs="Times New Roman CE"/>
                <w:sz w:val="22"/>
                <w:szCs w:val="22"/>
              </w:rPr>
              <w:t>2 560</w:t>
            </w:r>
          </w:p>
        </w:tc>
        <w:tc>
          <w:tcPr>
            <w:tcW w:w="509" w:type="dxa"/>
            <w:tcBorders>
              <w:top w:val="nil"/>
              <w:left w:val="nil"/>
              <w:bottom w:val="nil"/>
              <w:right w:val="nil"/>
            </w:tcBorders>
            <w:shd w:val="clear" w:color="auto" w:fill="auto"/>
            <w:noWrap/>
            <w:vAlign w:val="bottom"/>
            <w:hideMark/>
          </w:tcPr>
          <w:p w:rsidR="00183444" w:rsidRPr="00883EC9" w:rsidRDefault="00183444" w:rsidP="00183444">
            <w:pPr>
              <w:rPr>
                <w:rFonts w:ascii="Times New Roman CE" w:hAnsi="Times New Roman CE" w:cs="Times New Roman CE"/>
                <w:sz w:val="22"/>
                <w:szCs w:val="22"/>
              </w:rPr>
            </w:pPr>
            <w:proofErr w:type="spellStart"/>
            <w:r w:rsidRPr="00883EC9">
              <w:rPr>
                <w:rFonts w:ascii="Times New Roman CE" w:hAnsi="Times New Roman CE" w:cs="Times New Roman CE"/>
                <w:sz w:val="22"/>
                <w:szCs w:val="22"/>
              </w:rPr>
              <w:t>eFt</w:t>
            </w:r>
            <w:proofErr w:type="spellEnd"/>
          </w:p>
        </w:tc>
        <w:tc>
          <w:tcPr>
            <w:tcW w:w="1136" w:type="dxa"/>
            <w:gridSpan w:val="2"/>
            <w:tcBorders>
              <w:top w:val="nil"/>
              <w:left w:val="nil"/>
              <w:bottom w:val="nil"/>
              <w:right w:val="nil"/>
            </w:tcBorders>
            <w:shd w:val="clear" w:color="auto" w:fill="auto"/>
            <w:noWrap/>
            <w:vAlign w:val="bottom"/>
            <w:hideMark/>
          </w:tcPr>
          <w:p w:rsidR="00183444" w:rsidRPr="00883EC9" w:rsidRDefault="00183444" w:rsidP="00183444">
            <w:pPr>
              <w:jc w:val="right"/>
              <w:rPr>
                <w:rFonts w:ascii="Times New Roman CE" w:hAnsi="Times New Roman CE" w:cs="Times New Roman CE"/>
                <w:sz w:val="22"/>
                <w:szCs w:val="22"/>
              </w:rPr>
            </w:pPr>
            <w:r w:rsidRPr="00883EC9">
              <w:rPr>
                <w:rFonts w:ascii="Times New Roman CE" w:hAnsi="Times New Roman CE" w:cs="Times New Roman CE"/>
                <w:sz w:val="22"/>
                <w:szCs w:val="22"/>
              </w:rPr>
              <w:t>876,7%</w:t>
            </w:r>
          </w:p>
        </w:tc>
      </w:tr>
    </w:tbl>
    <w:p w:rsidR="00570B82" w:rsidRPr="00883EC9" w:rsidRDefault="00570B82">
      <w:pPr>
        <w:pStyle w:val="Szvegtrzs2"/>
        <w:spacing w:before="80"/>
        <w:ind w:right="0"/>
      </w:pPr>
    </w:p>
    <w:p w:rsidR="00713325" w:rsidRPr="00883EC9" w:rsidRDefault="00713325" w:rsidP="00713325">
      <w:pPr>
        <w:pStyle w:val="Szvegtrzs3"/>
        <w:ind w:right="34"/>
        <w:rPr>
          <w:szCs w:val="24"/>
        </w:rPr>
      </w:pPr>
      <w:r w:rsidRPr="00883EC9">
        <w:rPr>
          <w:szCs w:val="24"/>
        </w:rPr>
        <w:t xml:space="preserve">Tapasztalataink szerint a </w:t>
      </w:r>
      <w:r w:rsidR="00F3539B">
        <w:rPr>
          <w:szCs w:val="24"/>
        </w:rPr>
        <w:t xml:space="preserve">fizetési felszólítások, valamint a </w:t>
      </w:r>
      <w:r w:rsidRPr="00883EC9">
        <w:rPr>
          <w:szCs w:val="24"/>
        </w:rPr>
        <w:t xml:space="preserve">korlátozási/kizárási eljárás elindítása és főként a tényleges korlátozás/kizárás ösztönzi a felhasználókat tartozásuk kiegyenlítésére. 2015. augusztus 1-jén – az SZMSZ szerint az Ügyfélszolgálat szervezetén belül - kezdte meg működését a korlátozási-kizárási csoport. A Pénzügy szervezetén belül 2016. augusztus 1-től 2 fő telefonos </w:t>
      </w:r>
      <w:r w:rsidR="00F0089B">
        <w:rPr>
          <w:szCs w:val="24"/>
        </w:rPr>
        <w:t>kintlévőség kezelőt alkalmazunk, továbbá újra növeltük a kiküldött fizetési felszólítások számát.</w:t>
      </w:r>
    </w:p>
    <w:p w:rsidR="00713325" w:rsidRPr="00883EC9" w:rsidRDefault="00713325" w:rsidP="00713325">
      <w:pPr>
        <w:pStyle w:val="Szvegtrzs2"/>
        <w:ind w:right="34"/>
      </w:pPr>
      <w:r w:rsidRPr="00883EC9">
        <w:rPr>
          <w:szCs w:val="24"/>
        </w:rPr>
        <w:t>A korlátozási-kizárási csoport elsődleges feladata a K2 felszólításban megjelölt 5 munkanapon belül a korlátozás vagy kizárás végrehajtása, illetve a tartozás rendezését követő 3 napon belül a szolgáltatás helyreállítása.</w:t>
      </w:r>
      <w:r w:rsidRPr="00883EC9">
        <w:t xml:space="preserve"> A csoport további feladata a korlátozott/kizárt felhasználási helyek időszakos ellenőrzése, az elhagyott, üresen álló ingatlanok feltérképezése, bekötéseik rendezése, valamint a hosszú ideje korlátozott és nagy összeggel tartozó felhasználási helyek esetében a lakossági felhasználók kizárása ott, ahol a szolgáltatás közkútról megoldható. Ezen esetekben a kintlévőség csökkentése mellett cél az is, hogy az adós tartozása ne növekedjen számottevően.  </w:t>
      </w:r>
    </w:p>
    <w:p w:rsidR="00601FE1" w:rsidRPr="00883EC9" w:rsidRDefault="00601FE1" w:rsidP="00601FE1">
      <w:pPr>
        <w:pStyle w:val="NormlWeb"/>
        <w:spacing w:before="0" w:beforeAutospacing="0"/>
        <w:jc w:val="both"/>
        <w:rPr>
          <w:rFonts w:ascii="Times New Roman" w:eastAsia="Times New Roman" w:hAnsi="Times New Roman"/>
          <w:szCs w:val="20"/>
        </w:rPr>
      </w:pPr>
      <w:r w:rsidRPr="00883EC9">
        <w:rPr>
          <w:rFonts w:ascii="Times New Roman" w:eastAsia="Times New Roman" w:hAnsi="Times New Roman"/>
          <w:szCs w:val="20"/>
        </w:rPr>
        <w:t>2017. január 1-től 2017. június 30-áig a pénzügytől kapott listák alapján a településeken összesen 731 felhasználási helyet, azon belül 667 lakossági felhasználót és 64 gazdasági társaságot kerestek fel korlátozás/kizárás céljából.</w:t>
      </w:r>
    </w:p>
    <w:p w:rsidR="00601FE1" w:rsidRPr="00883EC9" w:rsidRDefault="00601FE1" w:rsidP="00601FE1">
      <w:pPr>
        <w:pStyle w:val="NormlWeb"/>
        <w:spacing w:before="0" w:beforeAutospacing="0"/>
        <w:jc w:val="both"/>
        <w:rPr>
          <w:rFonts w:ascii="Times New Roman" w:eastAsia="Times New Roman" w:hAnsi="Times New Roman"/>
          <w:szCs w:val="20"/>
        </w:rPr>
      </w:pPr>
      <w:r w:rsidRPr="00883EC9">
        <w:rPr>
          <w:rFonts w:ascii="Times New Roman" w:eastAsia="Times New Roman" w:hAnsi="Times New Roman"/>
          <w:szCs w:val="20"/>
        </w:rPr>
        <w:t>Ebben az időszakban a korlátozási/kizárási listákon szereplő lakossági felhasználók összes tartozása 13.368.591 Ft volt, ebből 12.738.649 Ft került befizetésre (95,3%), a gazdasági társaságok összes tartozása 7.075.416 Ft volt, ebből 5.863.968 Ft került befizetésre (82,9%).</w:t>
      </w:r>
    </w:p>
    <w:p w:rsidR="00713325" w:rsidRPr="00883EC9" w:rsidRDefault="00713325" w:rsidP="00601FE1">
      <w:pPr>
        <w:tabs>
          <w:tab w:val="right" w:pos="6237"/>
        </w:tabs>
        <w:ind w:right="34"/>
        <w:jc w:val="both"/>
        <w:rPr>
          <w:sz w:val="23"/>
          <w:szCs w:val="23"/>
        </w:rPr>
      </w:pPr>
      <w:r w:rsidRPr="00883EC9">
        <w:rPr>
          <w:sz w:val="23"/>
          <w:szCs w:val="23"/>
        </w:rPr>
        <w:t xml:space="preserve">Mind nagyobb számban fordulnak a fogyasztók részletfizetési kérelemmel társaságunkhoz, de sok esetben ennek fizetését sem tudják teljesíteni. Ezek a részletfizetési eljárások is módosítják a lejárt kintlévőség korcsoportonkénti összegét. Növekszik azon jelentős fogyasztású közületek, intézmények száma is, amelyek a számlákat több hónapos késéssel fizetik, egy-egy felhasználó egyre nagyobb tartozást halmoz fel.  </w:t>
      </w:r>
    </w:p>
    <w:p w:rsidR="0059303D" w:rsidRDefault="00713325" w:rsidP="00601FE1">
      <w:pPr>
        <w:tabs>
          <w:tab w:val="right" w:pos="6237"/>
        </w:tabs>
        <w:ind w:right="34"/>
        <w:jc w:val="both"/>
        <w:rPr>
          <w:sz w:val="23"/>
          <w:szCs w:val="23"/>
        </w:rPr>
      </w:pPr>
      <w:r w:rsidRPr="00883EC9">
        <w:rPr>
          <w:sz w:val="23"/>
          <w:szCs w:val="23"/>
        </w:rPr>
        <w:t xml:space="preserve">Aki tartozását néhány hónapon belül nem tudja, vagy nem akarja kiegyenlíteni, a 180 napon túli tartozások összegét növeli, amely időpont után nagyon alacsony a befizetések aránya. </w:t>
      </w:r>
      <w:r w:rsidR="00D6706D" w:rsidRPr="00883EC9">
        <w:rPr>
          <w:sz w:val="23"/>
          <w:szCs w:val="23"/>
        </w:rPr>
        <w:t xml:space="preserve">A 30 napon túli </w:t>
      </w:r>
      <w:r w:rsidRPr="00883EC9">
        <w:rPr>
          <w:sz w:val="23"/>
          <w:szCs w:val="23"/>
        </w:rPr>
        <w:t xml:space="preserve">lejárt tartozások </w:t>
      </w:r>
      <w:r w:rsidR="00D6706D" w:rsidRPr="00883EC9">
        <w:rPr>
          <w:sz w:val="23"/>
          <w:szCs w:val="23"/>
        </w:rPr>
        <w:t xml:space="preserve">több mint </w:t>
      </w:r>
      <w:r w:rsidRPr="00883EC9">
        <w:rPr>
          <w:sz w:val="23"/>
          <w:szCs w:val="23"/>
        </w:rPr>
        <w:t xml:space="preserve">felét kitevő 365 napon túli tartozások összege elsősorban </w:t>
      </w:r>
      <w:r w:rsidR="00AD0CC2" w:rsidRPr="00883EC9">
        <w:rPr>
          <w:sz w:val="23"/>
          <w:szCs w:val="23"/>
        </w:rPr>
        <w:t xml:space="preserve">nagy összeggel tartozó, tartós likviditási gondjaik miatt jelentős késedelemmel fizető cégek, valamint az évek óta nem, vagy alig fizető magánszemély felhasználók 100 </w:t>
      </w:r>
      <w:proofErr w:type="spellStart"/>
      <w:r w:rsidR="00AD0CC2" w:rsidRPr="00883EC9">
        <w:rPr>
          <w:sz w:val="23"/>
          <w:szCs w:val="23"/>
        </w:rPr>
        <w:t>eFt</w:t>
      </w:r>
      <w:proofErr w:type="spellEnd"/>
      <w:r w:rsidR="00AD0CC2" w:rsidRPr="00883EC9">
        <w:rPr>
          <w:sz w:val="23"/>
          <w:szCs w:val="23"/>
        </w:rPr>
        <w:t xml:space="preserve"> feletti tartozásaib</w:t>
      </w:r>
      <w:r w:rsidRPr="00883EC9">
        <w:rPr>
          <w:sz w:val="23"/>
          <w:szCs w:val="23"/>
        </w:rPr>
        <w:t xml:space="preserve">ól ered. A velük szemben indított végrehajtási eljárások egy részében jelenleg tényleges pénzbevételt nem realizálunk. Jellemzően letiltható jövedelmük nincsen, vagy más letiltások miatt követelésünket sorba állítják. Esetükben - amennyiben rendelkeznek ingatlannal – jelzálogjogot jegyeztetünk be. </w:t>
      </w:r>
    </w:p>
    <w:p w:rsidR="00E8097E" w:rsidRPr="00883EC9" w:rsidRDefault="00E8097E" w:rsidP="008B5CC7">
      <w:pPr>
        <w:rPr>
          <w:sz w:val="23"/>
          <w:szCs w:val="23"/>
        </w:rPr>
      </w:pPr>
    </w:p>
    <w:p w:rsidR="00920BB3" w:rsidRPr="00883EC9" w:rsidRDefault="00920BB3" w:rsidP="00601FE1">
      <w:pPr>
        <w:tabs>
          <w:tab w:val="right" w:pos="6237"/>
        </w:tabs>
        <w:ind w:right="34"/>
        <w:jc w:val="both"/>
        <w:rPr>
          <w:sz w:val="23"/>
          <w:szCs w:val="23"/>
        </w:rPr>
      </w:pPr>
    </w:p>
    <w:p w:rsidR="00601FE1" w:rsidRPr="00883EC9" w:rsidRDefault="00601FE1" w:rsidP="00601FE1">
      <w:pPr>
        <w:tabs>
          <w:tab w:val="right" w:pos="6237"/>
        </w:tabs>
        <w:ind w:right="34"/>
        <w:rPr>
          <w:szCs w:val="24"/>
        </w:rPr>
      </w:pPr>
    </w:p>
    <w:p w:rsidR="00A63417" w:rsidRDefault="00A63417">
      <w:pPr>
        <w:tabs>
          <w:tab w:val="right" w:pos="6237"/>
        </w:tabs>
        <w:jc w:val="center"/>
        <w:rPr>
          <w:sz w:val="16"/>
        </w:rPr>
      </w:pPr>
    </w:p>
    <w:p w:rsidR="00E8097E" w:rsidRPr="00883EC9" w:rsidRDefault="00E8097E">
      <w:pPr>
        <w:tabs>
          <w:tab w:val="right" w:pos="6237"/>
        </w:tabs>
        <w:jc w:val="center"/>
        <w:rPr>
          <w:sz w:val="16"/>
        </w:rPr>
      </w:pPr>
      <w:r w:rsidRPr="00883EC9">
        <w:rPr>
          <w:sz w:val="16"/>
        </w:rPr>
        <w:t>*          *          *</w:t>
      </w:r>
    </w:p>
    <w:p w:rsidR="00E8097E" w:rsidRPr="00883EC9" w:rsidRDefault="00E8097E">
      <w:pPr>
        <w:tabs>
          <w:tab w:val="right" w:pos="6237"/>
        </w:tabs>
        <w:jc w:val="center"/>
        <w:rPr>
          <w:sz w:val="16"/>
        </w:rPr>
      </w:pPr>
    </w:p>
    <w:p w:rsidR="00E72B6D" w:rsidRPr="00883EC9" w:rsidRDefault="00E72B6D" w:rsidP="008B5CC7">
      <w:pPr>
        <w:tabs>
          <w:tab w:val="right" w:pos="6237"/>
        </w:tabs>
        <w:rPr>
          <w:sz w:val="16"/>
        </w:rPr>
      </w:pPr>
    </w:p>
    <w:p w:rsidR="00920BB3" w:rsidRPr="00E72B6D" w:rsidRDefault="00920BB3" w:rsidP="00FC4BB9">
      <w:pPr>
        <w:jc w:val="both"/>
        <w:rPr>
          <w:sz w:val="24"/>
          <w:szCs w:val="24"/>
        </w:rPr>
      </w:pPr>
      <w:r w:rsidRPr="00E72B6D">
        <w:rPr>
          <w:sz w:val="24"/>
          <w:szCs w:val="24"/>
        </w:rPr>
        <w:t xml:space="preserve">Társaságunk működését 2017. évben is alapvetően meghatározza a </w:t>
      </w:r>
      <w:proofErr w:type="spellStart"/>
      <w:r w:rsidRPr="00E72B6D">
        <w:rPr>
          <w:sz w:val="24"/>
          <w:szCs w:val="24"/>
        </w:rPr>
        <w:t>Vksztv</w:t>
      </w:r>
      <w:proofErr w:type="spellEnd"/>
      <w:r w:rsidRPr="00E72B6D">
        <w:rPr>
          <w:sz w:val="24"/>
          <w:szCs w:val="24"/>
        </w:rPr>
        <w:t xml:space="preserve">. által előírt </w:t>
      </w:r>
      <w:r w:rsidRPr="00E72B6D">
        <w:rPr>
          <w:b/>
          <w:bCs/>
          <w:sz w:val="24"/>
          <w:szCs w:val="24"/>
        </w:rPr>
        <w:t>keresztfinanszírozás</w:t>
      </w:r>
      <w:r w:rsidRPr="00E72B6D">
        <w:rPr>
          <w:b/>
          <w:bCs/>
          <w:i/>
          <w:iCs/>
          <w:sz w:val="24"/>
          <w:szCs w:val="24"/>
        </w:rPr>
        <w:t xml:space="preserve"> </w:t>
      </w:r>
      <w:r w:rsidRPr="00E72B6D">
        <w:rPr>
          <w:b/>
          <w:bCs/>
          <w:sz w:val="24"/>
          <w:szCs w:val="24"/>
        </w:rPr>
        <w:t>tilalma</w:t>
      </w:r>
      <w:r w:rsidRPr="00E72B6D">
        <w:rPr>
          <w:sz w:val="24"/>
          <w:szCs w:val="24"/>
        </w:rPr>
        <w:t>, amely alapján nem finanszírozhatók az elsődleges víziközmű-szolgáltatási tevékenységek eredményéből a másodlagos tevékenységek, sőt elsődleges tevékenységek között is érvényes ez az előírás.</w:t>
      </w:r>
    </w:p>
    <w:p w:rsidR="00920BB3" w:rsidRPr="00E72B6D" w:rsidRDefault="00920BB3" w:rsidP="00FC4BB9">
      <w:pPr>
        <w:tabs>
          <w:tab w:val="right" w:pos="6237"/>
        </w:tabs>
        <w:jc w:val="both"/>
        <w:rPr>
          <w:sz w:val="24"/>
          <w:szCs w:val="24"/>
        </w:rPr>
      </w:pPr>
    </w:p>
    <w:p w:rsidR="00920BB3" w:rsidRPr="00E72B6D" w:rsidRDefault="00920BB3" w:rsidP="00FC4BB9">
      <w:pPr>
        <w:tabs>
          <w:tab w:val="right" w:pos="6237"/>
        </w:tabs>
        <w:jc w:val="both"/>
        <w:rPr>
          <w:sz w:val="24"/>
          <w:szCs w:val="24"/>
        </w:rPr>
      </w:pPr>
      <w:r w:rsidRPr="00E72B6D">
        <w:rPr>
          <w:sz w:val="24"/>
          <w:szCs w:val="24"/>
        </w:rPr>
        <w:t xml:space="preserve">Fentiek figyelembevételével társaságunk elkészítette a 2017. évi </w:t>
      </w:r>
      <w:r w:rsidRPr="00E72B6D">
        <w:rPr>
          <w:b/>
          <w:sz w:val="24"/>
          <w:szCs w:val="24"/>
        </w:rPr>
        <w:t>üzleti tervét</w:t>
      </w:r>
      <w:r w:rsidRPr="00E72B6D">
        <w:rPr>
          <w:sz w:val="24"/>
          <w:szCs w:val="24"/>
        </w:rPr>
        <w:t xml:space="preserve">, amelyet az Igazgatóság a 3/2017.(II.10.) és a Felügyelő Bizottság a 3/2017.(II.10.) számú határozatában előírt módosításokkal egyhangúan elfogadott. </w:t>
      </w:r>
    </w:p>
    <w:p w:rsidR="00920BB3" w:rsidRPr="00E72B6D" w:rsidRDefault="00920BB3" w:rsidP="00FC4BB9">
      <w:pPr>
        <w:tabs>
          <w:tab w:val="right" w:pos="6237"/>
        </w:tabs>
        <w:jc w:val="both"/>
        <w:rPr>
          <w:sz w:val="24"/>
          <w:szCs w:val="24"/>
        </w:rPr>
      </w:pPr>
      <w:r w:rsidRPr="00E72B6D">
        <w:rPr>
          <w:sz w:val="24"/>
          <w:szCs w:val="24"/>
        </w:rPr>
        <w:t xml:space="preserve">A 2017. évi üzleti terv 1. számú módosítását </w:t>
      </w:r>
      <w:r w:rsidR="00F0089B">
        <w:rPr>
          <w:sz w:val="24"/>
          <w:szCs w:val="24"/>
        </w:rPr>
        <w:t>a</w:t>
      </w:r>
      <w:r w:rsidRPr="00E72B6D">
        <w:rPr>
          <w:sz w:val="24"/>
          <w:szCs w:val="24"/>
        </w:rPr>
        <w:t xml:space="preserve"> </w:t>
      </w:r>
      <w:r w:rsidR="00F0089B">
        <w:rPr>
          <w:sz w:val="24"/>
          <w:szCs w:val="24"/>
        </w:rPr>
        <w:t xml:space="preserve">bérfejlesztéshez kapcsolódó </w:t>
      </w:r>
      <w:r w:rsidRPr="00E72B6D">
        <w:rPr>
          <w:sz w:val="24"/>
          <w:szCs w:val="24"/>
        </w:rPr>
        <w:t>bértömeg növelés miatt</w:t>
      </w:r>
      <w:r w:rsidR="00FC4BB9">
        <w:rPr>
          <w:sz w:val="24"/>
          <w:szCs w:val="24"/>
        </w:rPr>
        <w:t xml:space="preserve"> </w:t>
      </w:r>
      <w:r w:rsidRPr="00E72B6D">
        <w:rPr>
          <w:sz w:val="24"/>
          <w:szCs w:val="24"/>
        </w:rPr>
        <w:t>2017.</w:t>
      </w:r>
      <w:r w:rsidR="00FC4BB9">
        <w:rPr>
          <w:sz w:val="24"/>
          <w:szCs w:val="24"/>
        </w:rPr>
        <w:t xml:space="preserve"> </w:t>
      </w:r>
      <w:r w:rsidRPr="00E72B6D">
        <w:rPr>
          <w:sz w:val="24"/>
          <w:szCs w:val="24"/>
        </w:rPr>
        <w:t xml:space="preserve">április 13-án terjesztettük az Igazgatóság és Felügyelőbizottság elé. </w:t>
      </w:r>
    </w:p>
    <w:p w:rsidR="00920BB3" w:rsidRPr="00E72B6D" w:rsidRDefault="00920BB3" w:rsidP="00FC4BB9">
      <w:pPr>
        <w:jc w:val="both"/>
        <w:rPr>
          <w:sz w:val="24"/>
          <w:szCs w:val="24"/>
        </w:rPr>
      </w:pPr>
      <w:r w:rsidRPr="00E72B6D">
        <w:rPr>
          <w:sz w:val="24"/>
          <w:szCs w:val="24"/>
        </w:rPr>
        <w:t xml:space="preserve">Az Igazgatóság és a Felügyelő Bizottság 2017. április 13-án tárgyalta és elfogadta társaságunk </w:t>
      </w:r>
      <w:r w:rsidRPr="00E72B6D">
        <w:rPr>
          <w:b/>
          <w:sz w:val="24"/>
          <w:szCs w:val="24"/>
        </w:rPr>
        <w:t xml:space="preserve">2016. </w:t>
      </w:r>
      <w:r w:rsidR="00FC4BB9">
        <w:rPr>
          <w:b/>
          <w:sz w:val="24"/>
          <w:szCs w:val="24"/>
        </w:rPr>
        <w:t>évi</w:t>
      </w:r>
      <w:r w:rsidRPr="00E72B6D">
        <w:rPr>
          <w:b/>
          <w:sz w:val="24"/>
          <w:szCs w:val="24"/>
        </w:rPr>
        <w:t xml:space="preserve"> beszámolóját,</w:t>
      </w:r>
      <w:r w:rsidRPr="00E72B6D">
        <w:rPr>
          <w:sz w:val="24"/>
          <w:szCs w:val="24"/>
        </w:rPr>
        <w:t xml:space="preserve"> valamint meghatározta az éves rendes közgyűlés időpontját és annak napirendi pontjait.</w:t>
      </w:r>
    </w:p>
    <w:p w:rsidR="00920BB3" w:rsidRPr="00E72B6D" w:rsidRDefault="00920BB3" w:rsidP="00FC4BB9">
      <w:pPr>
        <w:tabs>
          <w:tab w:val="right" w:pos="6237"/>
        </w:tabs>
        <w:jc w:val="both"/>
        <w:rPr>
          <w:sz w:val="24"/>
          <w:szCs w:val="24"/>
        </w:rPr>
      </w:pPr>
      <w:r w:rsidRPr="00E72B6D">
        <w:rPr>
          <w:sz w:val="24"/>
          <w:szCs w:val="24"/>
        </w:rPr>
        <w:t>A 2017.évi üzleti terv I. negyedéves értékelését elvégeztük, az erről szóló beszámolót a Felügyelő Bizottság a 18/2017 (VI.02.)</w:t>
      </w:r>
      <w:r w:rsidR="00FC4BB9">
        <w:rPr>
          <w:sz w:val="24"/>
          <w:szCs w:val="24"/>
        </w:rPr>
        <w:t>,</w:t>
      </w:r>
      <w:r w:rsidRPr="00E72B6D">
        <w:rPr>
          <w:sz w:val="24"/>
          <w:szCs w:val="24"/>
        </w:rPr>
        <w:t xml:space="preserve"> az Igazgatóság a 22/2017 (VI.02.) számú határozatában egyhangú</w:t>
      </w:r>
      <w:r w:rsidR="00FC4BB9">
        <w:rPr>
          <w:sz w:val="24"/>
          <w:szCs w:val="24"/>
        </w:rPr>
        <w:t>an</w:t>
      </w:r>
      <w:r w:rsidRPr="00E72B6D">
        <w:rPr>
          <w:sz w:val="24"/>
          <w:szCs w:val="24"/>
        </w:rPr>
        <w:t xml:space="preserve"> elfogadott.</w:t>
      </w:r>
    </w:p>
    <w:p w:rsidR="00920BB3" w:rsidRPr="00E72B6D" w:rsidRDefault="00920BB3" w:rsidP="00FC4BB9">
      <w:pPr>
        <w:tabs>
          <w:tab w:val="right" w:pos="6237"/>
        </w:tabs>
        <w:jc w:val="both"/>
        <w:rPr>
          <w:b/>
          <w:sz w:val="24"/>
          <w:szCs w:val="24"/>
        </w:rPr>
      </w:pPr>
    </w:p>
    <w:p w:rsidR="00920BB3" w:rsidRPr="00E72B6D" w:rsidRDefault="00920BB3" w:rsidP="00FC4BB9">
      <w:pPr>
        <w:jc w:val="both"/>
        <w:rPr>
          <w:sz w:val="24"/>
          <w:szCs w:val="24"/>
        </w:rPr>
      </w:pPr>
      <w:r w:rsidRPr="00E72B6D">
        <w:rPr>
          <w:b/>
          <w:sz w:val="24"/>
          <w:szCs w:val="24"/>
        </w:rPr>
        <w:t>Őriszentpéter, Kisrákos, Nagyrákos, Pankasz, Viszák, Ispánk, Bajánsenye és Kercaszomor</w:t>
      </w:r>
      <w:r w:rsidRPr="00E72B6D">
        <w:rPr>
          <w:sz w:val="24"/>
          <w:szCs w:val="24"/>
        </w:rPr>
        <w:t xml:space="preserve"> települések szennyvízelvezetési és </w:t>
      </w:r>
      <w:proofErr w:type="spellStart"/>
      <w:r w:rsidRPr="00E72B6D">
        <w:rPr>
          <w:sz w:val="24"/>
          <w:szCs w:val="24"/>
        </w:rPr>
        <w:t>-tisztítási</w:t>
      </w:r>
      <w:proofErr w:type="spellEnd"/>
      <w:r w:rsidRPr="00E72B6D">
        <w:rPr>
          <w:sz w:val="24"/>
          <w:szCs w:val="24"/>
        </w:rPr>
        <w:t xml:space="preserve"> rendszereinek közérdekű üzemeltetésére a MEKH 2015. augusztus 25-től társaságunkat jelölte ki. </w:t>
      </w:r>
      <w:r w:rsidR="00FC4BB9">
        <w:rPr>
          <w:sz w:val="24"/>
          <w:szCs w:val="24"/>
        </w:rPr>
        <w:t>A</w:t>
      </w:r>
      <w:r w:rsidRPr="00E72B6D">
        <w:rPr>
          <w:sz w:val="24"/>
          <w:szCs w:val="24"/>
        </w:rPr>
        <w:t xml:space="preserve"> rendszerekre vonatkozó működési engedély 2017.</w:t>
      </w:r>
      <w:r w:rsidR="00FC4BB9">
        <w:rPr>
          <w:sz w:val="24"/>
          <w:szCs w:val="24"/>
        </w:rPr>
        <w:t xml:space="preserve"> </w:t>
      </w:r>
      <w:r w:rsidRPr="00E72B6D">
        <w:rPr>
          <w:sz w:val="24"/>
          <w:szCs w:val="24"/>
        </w:rPr>
        <w:t xml:space="preserve">március </w:t>
      </w:r>
      <w:r w:rsidR="00FC4BB9">
        <w:rPr>
          <w:sz w:val="24"/>
          <w:szCs w:val="24"/>
        </w:rPr>
        <w:t>3-tól</w:t>
      </w:r>
      <w:r w:rsidRPr="00E72B6D">
        <w:rPr>
          <w:sz w:val="24"/>
          <w:szCs w:val="24"/>
        </w:rPr>
        <w:t xml:space="preserve"> hatályos. Az érintett települések használati díj</w:t>
      </w:r>
      <w:r w:rsidR="00FC4BB9">
        <w:rPr>
          <w:sz w:val="24"/>
          <w:szCs w:val="24"/>
        </w:rPr>
        <w:t>á</w:t>
      </w:r>
      <w:r w:rsidRPr="00E72B6D">
        <w:rPr>
          <w:sz w:val="24"/>
          <w:szCs w:val="24"/>
        </w:rPr>
        <w:t>ra vonatkozó elszámolási kötelezettségünket az előírtak szerint teljesítettük.</w:t>
      </w:r>
    </w:p>
    <w:p w:rsidR="00920BB3" w:rsidRPr="00E72B6D" w:rsidRDefault="00920BB3" w:rsidP="00FC4BB9">
      <w:pPr>
        <w:jc w:val="both"/>
        <w:rPr>
          <w:bCs/>
          <w:sz w:val="24"/>
          <w:szCs w:val="24"/>
        </w:rPr>
      </w:pPr>
      <w:r w:rsidRPr="00E72B6D">
        <w:rPr>
          <w:bCs/>
          <w:sz w:val="24"/>
          <w:szCs w:val="24"/>
        </w:rPr>
        <w:t xml:space="preserve">A Hivatal </w:t>
      </w:r>
      <w:r w:rsidRPr="00E72B6D">
        <w:rPr>
          <w:b/>
          <w:bCs/>
          <w:sz w:val="24"/>
          <w:szCs w:val="24"/>
        </w:rPr>
        <w:t>Ispánk, Szalafő</w:t>
      </w:r>
      <w:r w:rsidRPr="00E72B6D">
        <w:rPr>
          <w:bCs/>
          <w:sz w:val="24"/>
          <w:szCs w:val="24"/>
        </w:rPr>
        <w:t xml:space="preserve"> és </w:t>
      </w:r>
      <w:r w:rsidRPr="00E72B6D">
        <w:rPr>
          <w:b/>
          <w:bCs/>
          <w:sz w:val="24"/>
          <w:szCs w:val="24"/>
        </w:rPr>
        <w:t xml:space="preserve">Magyarszombatfa </w:t>
      </w:r>
      <w:r w:rsidRPr="00E72B6D">
        <w:rPr>
          <w:bCs/>
          <w:sz w:val="24"/>
          <w:szCs w:val="24"/>
        </w:rPr>
        <w:t xml:space="preserve">szennyvízelvezetési és –tisztítási rendszereinek közérdekű üzemeltetésére 2015. augusztus 25-től szintén Társaságunkat jelölte ki. A három település szennyvíztisztítását végző létesítmények a 2016. december 22-én kézhez kapott MEKH határozat értelmében nem minősülnek </w:t>
      </w:r>
      <w:proofErr w:type="spellStart"/>
      <w:r w:rsidRPr="00E72B6D">
        <w:rPr>
          <w:bCs/>
          <w:sz w:val="24"/>
          <w:szCs w:val="24"/>
        </w:rPr>
        <w:t>víziközműnek</w:t>
      </w:r>
      <w:proofErr w:type="spellEnd"/>
      <w:r w:rsidRPr="00E72B6D">
        <w:rPr>
          <w:bCs/>
          <w:sz w:val="24"/>
          <w:szCs w:val="24"/>
        </w:rPr>
        <w:t xml:space="preserve">, a csatornahálózatok pedig közműpótló </w:t>
      </w:r>
      <w:proofErr w:type="spellStart"/>
      <w:r w:rsidRPr="00E72B6D">
        <w:rPr>
          <w:bCs/>
          <w:sz w:val="24"/>
          <w:szCs w:val="24"/>
        </w:rPr>
        <w:t>vízilétesítményként</w:t>
      </w:r>
      <w:proofErr w:type="spellEnd"/>
      <w:r w:rsidRPr="00E72B6D">
        <w:rPr>
          <w:bCs/>
          <w:sz w:val="24"/>
          <w:szCs w:val="24"/>
        </w:rPr>
        <w:t xml:space="preserve"> üzemeltethetők. A határozattal összhangban módosult a vízjogi üzemeltetési engedély is, mely az Önkormányzatokat jelölte meg engedélyesnek.  A szolgáltatás folyamatosságának biztosítása, valamint a környezeti károk megelőzése érdekében táraságunk 2017. januárjában vállalkozási szerződés keretében szállította el és ártalmatlanította a nem közművel összegyűjtött háztartási szennyvizet.</w:t>
      </w:r>
    </w:p>
    <w:p w:rsidR="00920BB3" w:rsidRPr="00E72B6D" w:rsidRDefault="00920BB3" w:rsidP="00FC4BB9">
      <w:pPr>
        <w:jc w:val="both"/>
        <w:rPr>
          <w:sz w:val="24"/>
          <w:szCs w:val="24"/>
        </w:rPr>
      </w:pPr>
    </w:p>
    <w:p w:rsidR="00920BB3" w:rsidRPr="00DB70C0" w:rsidRDefault="00920BB3" w:rsidP="00FC4BB9">
      <w:pPr>
        <w:jc w:val="both"/>
        <w:rPr>
          <w:sz w:val="24"/>
          <w:szCs w:val="24"/>
        </w:rPr>
      </w:pPr>
      <w:r w:rsidRPr="00E72B6D">
        <w:rPr>
          <w:sz w:val="24"/>
          <w:szCs w:val="24"/>
        </w:rPr>
        <w:t xml:space="preserve">A 2016. évi </w:t>
      </w:r>
      <w:r w:rsidRPr="00E72B6D">
        <w:rPr>
          <w:b/>
          <w:sz w:val="24"/>
          <w:szCs w:val="24"/>
        </w:rPr>
        <w:t>lakossági csatornaszolgáltatás támogatásának</w:t>
      </w:r>
      <w:r w:rsidRPr="00E72B6D">
        <w:rPr>
          <w:sz w:val="24"/>
          <w:szCs w:val="24"/>
        </w:rPr>
        <w:t xml:space="preserve"> elszámolását elkészítettük (Csörötnek, </w:t>
      </w:r>
      <w:r w:rsidRPr="00DB70C0">
        <w:rPr>
          <w:sz w:val="24"/>
          <w:szCs w:val="24"/>
        </w:rPr>
        <w:t>Hegyhátszentjakab, Nagykölked, Szalafő), az elszámolást megküldtük az Önkormányzatoknak.</w:t>
      </w:r>
    </w:p>
    <w:p w:rsidR="00920BB3" w:rsidRPr="00DB70C0" w:rsidRDefault="00920BB3" w:rsidP="00FC4BB9">
      <w:pPr>
        <w:jc w:val="both"/>
        <w:rPr>
          <w:sz w:val="24"/>
          <w:szCs w:val="24"/>
        </w:rPr>
      </w:pPr>
      <w:r w:rsidRPr="00DB70C0">
        <w:rPr>
          <w:sz w:val="24"/>
          <w:szCs w:val="24"/>
        </w:rPr>
        <w:t xml:space="preserve">2017. évben a víz- és csatornaszolgáltatás állami költségvetési forrásból történő támogatásáról szóló rendelet alapján szolgáltatási területünkön Csörötnek Önkormányzat </w:t>
      </w:r>
      <w:r w:rsidR="00DB70C0">
        <w:rPr>
          <w:sz w:val="24"/>
          <w:szCs w:val="24"/>
        </w:rPr>
        <w:t xml:space="preserve">9 település nevében benyújtott pályázata </w:t>
      </w:r>
      <w:r w:rsidR="00DB70C0" w:rsidRPr="00DB70C0">
        <w:rPr>
          <w:sz w:val="24"/>
          <w:szCs w:val="24"/>
        </w:rPr>
        <w:t>7 169</w:t>
      </w:r>
      <w:r w:rsidR="00FC4BB9" w:rsidRPr="00DB70C0">
        <w:rPr>
          <w:sz w:val="24"/>
          <w:szCs w:val="24"/>
        </w:rPr>
        <w:t xml:space="preserve"> </w:t>
      </w:r>
      <w:proofErr w:type="spellStart"/>
      <w:r w:rsidR="00FC4BB9" w:rsidRPr="00DB70C0">
        <w:rPr>
          <w:sz w:val="24"/>
          <w:szCs w:val="24"/>
        </w:rPr>
        <w:t>e</w:t>
      </w:r>
      <w:r w:rsidRPr="00DB70C0">
        <w:rPr>
          <w:sz w:val="24"/>
          <w:szCs w:val="24"/>
        </w:rPr>
        <w:t>Ft</w:t>
      </w:r>
      <w:proofErr w:type="spellEnd"/>
      <w:r w:rsidRPr="00DB70C0">
        <w:rPr>
          <w:sz w:val="24"/>
          <w:szCs w:val="24"/>
        </w:rPr>
        <w:t xml:space="preserve">, Hegyhátszentjakab </w:t>
      </w:r>
      <w:r w:rsidR="00DB70C0">
        <w:rPr>
          <w:sz w:val="24"/>
          <w:szCs w:val="24"/>
        </w:rPr>
        <w:t xml:space="preserve">Önkormányzat pályázata </w:t>
      </w:r>
      <w:r w:rsidR="00DB70C0" w:rsidRPr="00DB70C0">
        <w:rPr>
          <w:sz w:val="24"/>
          <w:szCs w:val="24"/>
        </w:rPr>
        <w:t>1 753</w:t>
      </w:r>
      <w:r w:rsidR="00FC4BB9" w:rsidRPr="00DB70C0">
        <w:rPr>
          <w:sz w:val="24"/>
          <w:szCs w:val="24"/>
        </w:rPr>
        <w:t xml:space="preserve"> </w:t>
      </w:r>
      <w:proofErr w:type="spellStart"/>
      <w:r w:rsidR="00FC4BB9" w:rsidRPr="00DB70C0">
        <w:rPr>
          <w:sz w:val="24"/>
          <w:szCs w:val="24"/>
        </w:rPr>
        <w:t>e</w:t>
      </w:r>
      <w:r w:rsidR="00DB70C0" w:rsidRPr="00DB70C0">
        <w:rPr>
          <w:sz w:val="24"/>
          <w:szCs w:val="24"/>
        </w:rPr>
        <w:t>Ft</w:t>
      </w:r>
      <w:proofErr w:type="spellEnd"/>
      <w:r w:rsidR="00DB70C0" w:rsidRPr="00DB70C0">
        <w:rPr>
          <w:sz w:val="24"/>
          <w:szCs w:val="24"/>
        </w:rPr>
        <w:t xml:space="preserve"> támogatásban részesült.</w:t>
      </w:r>
    </w:p>
    <w:p w:rsidR="00DB70C0" w:rsidRPr="00E72B6D" w:rsidRDefault="00DB70C0" w:rsidP="00FC4BB9">
      <w:pPr>
        <w:jc w:val="both"/>
        <w:rPr>
          <w:sz w:val="24"/>
          <w:szCs w:val="24"/>
        </w:rPr>
      </w:pPr>
    </w:p>
    <w:p w:rsidR="00443600" w:rsidRDefault="00920BB3" w:rsidP="00FC4BB9">
      <w:pPr>
        <w:jc w:val="both"/>
        <w:rPr>
          <w:sz w:val="24"/>
          <w:szCs w:val="24"/>
        </w:rPr>
      </w:pPr>
      <w:r w:rsidRPr="00E72B6D">
        <w:rPr>
          <w:b/>
          <w:bCs/>
          <w:sz w:val="24"/>
          <w:szCs w:val="24"/>
        </w:rPr>
        <w:t>TÁMOP-6.1.2/11/1</w:t>
      </w:r>
      <w:r w:rsidRPr="00E72B6D">
        <w:rPr>
          <w:sz w:val="24"/>
          <w:szCs w:val="24"/>
        </w:rPr>
        <w:t xml:space="preserve"> Egészségre nevelő és szemléletformáló életmód programok – lokális színterek – </w:t>
      </w:r>
      <w:proofErr w:type="spellStart"/>
      <w:r w:rsidRPr="00E72B6D">
        <w:rPr>
          <w:sz w:val="24"/>
          <w:szCs w:val="24"/>
        </w:rPr>
        <w:t>konvergenica</w:t>
      </w:r>
      <w:proofErr w:type="spellEnd"/>
      <w:r w:rsidRPr="00E72B6D">
        <w:rPr>
          <w:sz w:val="24"/>
          <w:szCs w:val="24"/>
        </w:rPr>
        <w:t xml:space="preserve"> régiókban pályázat 3. fenntartási jelentését 2017. február benyújtottuk, a jelentés befogadásáról szóló visszaigazolást megkaptuk.</w:t>
      </w:r>
    </w:p>
    <w:p w:rsidR="00920BB3" w:rsidRPr="00E72B6D" w:rsidRDefault="00920BB3" w:rsidP="008B5CC7">
      <w:pPr>
        <w:rPr>
          <w:sz w:val="24"/>
          <w:szCs w:val="24"/>
        </w:rPr>
      </w:pPr>
      <w:r w:rsidRPr="00E72B6D">
        <w:rPr>
          <w:b/>
          <w:sz w:val="24"/>
          <w:szCs w:val="24"/>
        </w:rPr>
        <w:t>TÁMOP-2.1.3C-12/1</w:t>
      </w:r>
      <w:r w:rsidRPr="00E72B6D">
        <w:rPr>
          <w:sz w:val="24"/>
          <w:szCs w:val="24"/>
        </w:rPr>
        <w:t xml:space="preserve"> Munkahelyi képzések támogatása nagyvállalkozások számára a konvergencia régiókban pályázat fenntartási időszakának vége 2018. november 3. Ezen időpontig vállalásunk alapján a pályázatban résztvevő 124 főből 75 fő továbbfoglalkoztatása szükséges. 2017.</w:t>
      </w:r>
      <w:r w:rsidR="00443600">
        <w:rPr>
          <w:sz w:val="24"/>
          <w:szCs w:val="24"/>
        </w:rPr>
        <w:t xml:space="preserve"> </w:t>
      </w:r>
      <w:r w:rsidRPr="00E72B6D">
        <w:rPr>
          <w:sz w:val="24"/>
          <w:szCs w:val="24"/>
        </w:rPr>
        <w:t xml:space="preserve">június 1-jén az EMMI helyszíni ellenőrzést tartott, </w:t>
      </w:r>
      <w:r w:rsidR="00443600">
        <w:rPr>
          <w:sz w:val="24"/>
          <w:szCs w:val="24"/>
        </w:rPr>
        <w:t>a</w:t>
      </w:r>
      <w:r w:rsidRPr="00E72B6D">
        <w:rPr>
          <w:sz w:val="24"/>
          <w:szCs w:val="24"/>
        </w:rPr>
        <w:t>melynek során mindent rendben találtak.</w:t>
      </w:r>
    </w:p>
    <w:p w:rsidR="00920BB3" w:rsidRPr="00E72B6D" w:rsidRDefault="00920BB3" w:rsidP="00FC4BB9">
      <w:pPr>
        <w:jc w:val="both"/>
        <w:rPr>
          <w:sz w:val="24"/>
          <w:szCs w:val="24"/>
        </w:rPr>
      </w:pPr>
      <w:r w:rsidRPr="00E72B6D">
        <w:rPr>
          <w:sz w:val="24"/>
          <w:szCs w:val="24"/>
        </w:rPr>
        <w:t xml:space="preserve">Megjelent a </w:t>
      </w:r>
      <w:r w:rsidRPr="00E72B6D">
        <w:rPr>
          <w:b/>
          <w:sz w:val="24"/>
          <w:szCs w:val="24"/>
        </w:rPr>
        <w:t>GINOP-6.1.5-17</w:t>
      </w:r>
      <w:r w:rsidRPr="00E72B6D">
        <w:rPr>
          <w:sz w:val="24"/>
          <w:szCs w:val="24"/>
        </w:rPr>
        <w:t xml:space="preserve"> Munkahelyi képzések nagyvállalatok munkavállalói részére elnevezésű pályázati felhívás, melyről a vezetők tájékoztatást kaptak és 2017.I. negyedévben megkezdődött a képzési igények felmérése. A pályázat megírására ajánlatot kértünk és a kiválasztott céggel a </w:t>
      </w:r>
      <w:r w:rsidRPr="00E72B6D">
        <w:rPr>
          <w:sz w:val="24"/>
          <w:szCs w:val="24"/>
        </w:rPr>
        <w:lastRenderedPageBreak/>
        <w:t>szerződés megkötésre került. 2017.04.26-án kaptunk tájékoztatást arról, hogy a pályázati felhívás módosítása miatt a beadás határozatlan időre felfüggesztésre kerül.</w:t>
      </w:r>
    </w:p>
    <w:p w:rsidR="00920BB3" w:rsidRPr="00A21885" w:rsidRDefault="00920BB3" w:rsidP="00FC4BB9">
      <w:pPr>
        <w:jc w:val="both"/>
        <w:rPr>
          <w:sz w:val="22"/>
          <w:szCs w:val="22"/>
        </w:rPr>
      </w:pPr>
    </w:p>
    <w:p w:rsidR="00920BB3" w:rsidRPr="00E72B6D" w:rsidRDefault="00920BB3" w:rsidP="00FC4BB9">
      <w:pPr>
        <w:jc w:val="both"/>
        <w:rPr>
          <w:sz w:val="24"/>
          <w:szCs w:val="24"/>
          <w:lang w:eastAsia="zh-CN"/>
        </w:rPr>
      </w:pPr>
      <w:r w:rsidRPr="00E72B6D">
        <w:rPr>
          <w:sz w:val="24"/>
          <w:szCs w:val="24"/>
        </w:rPr>
        <w:t xml:space="preserve">Az </w:t>
      </w:r>
      <w:r w:rsidRPr="00E72B6D">
        <w:rPr>
          <w:b/>
          <w:bCs/>
          <w:sz w:val="24"/>
          <w:szCs w:val="24"/>
        </w:rPr>
        <w:t>integrált vállalatirányítási rendszer</w:t>
      </w:r>
      <w:r w:rsidRPr="00E72B6D">
        <w:rPr>
          <w:sz w:val="24"/>
          <w:szCs w:val="24"/>
        </w:rPr>
        <w:t xml:space="preserve"> működése során tapasztalt </w:t>
      </w:r>
      <w:r w:rsidRPr="00E72B6D">
        <w:rPr>
          <w:sz w:val="24"/>
          <w:szCs w:val="24"/>
          <w:lang w:eastAsia="zh-CN"/>
        </w:rPr>
        <w:t xml:space="preserve">hosszú riport futási idők miatt Társaságunk külső szakértő bevonásával elvégezte az adatbázis vizsgálatát. A vizsgálat fejlesztői oldalon több hibát, hiányosságot tárt fel. A problémák megoldása érdekében felsővezetői szintű egyeztetést kezdeményeztünk, </w:t>
      </w:r>
      <w:r w:rsidR="00443600">
        <w:rPr>
          <w:sz w:val="24"/>
          <w:szCs w:val="24"/>
          <w:lang w:eastAsia="zh-CN"/>
        </w:rPr>
        <w:t>a</w:t>
      </w:r>
      <w:r w:rsidRPr="00E72B6D">
        <w:rPr>
          <w:sz w:val="24"/>
          <w:szCs w:val="24"/>
          <w:lang w:eastAsia="zh-CN"/>
        </w:rPr>
        <w:t>melyre 2017. májusban került sor.</w:t>
      </w:r>
      <w:r w:rsidR="00A63417" w:rsidRPr="00A63417">
        <w:rPr>
          <w:sz w:val="24"/>
          <w:szCs w:val="24"/>
        </w:rPr>
        <w:t xml:space="preserve"> </w:t>
      </w:r>
      <w:r w:rsidR="00A63417">
        <w:rPr>
          <w:sz w:val="24"/>
          <w:szCs w:val="24"/>
        </w:rPr>
        <w:t xml:space="preserve"> </w:t>
      </w:r>
      <w:r w:rsidR="00A63417" w:rsidRPr="00E72B6D">
        <w:rPr>
          <w:sz w:val="24"/>
          <w:szCs w:val="24"/>
        </w:rPr>
        <w:t xml:space="preserve">Hosszabb távon továbbra is problémát jelent az archiválás. Társaságunk a program bevezetőjével folyamatosan </w:t>
      </w:r>
      <w:r w:rsidR="00A63417">
        <w:rPr>
          <w:sz w:val="24"/>
          <w:szCs w:val="24"/>
        </w:rPr>
        <w:t>egyeztet a működésbeli problémák okairól és azo</w:t>
      </w:r>
      <w:r w:rsidR="00A63417" w:rsidRPr="00E72B6D">
        <w:rPr>
          <w:sz w:val="24"/>
          <w:szCs w:val="24"/>
        </w:rPr>
        <w:t>k megoldásáról</w:t>
      </w:r>
    </w:p>
    <w:p w:rsidR="00A63417" w:rsidRDefault="00920BB3" w:rsidP="00FC4BB9">
      <w:pPr>
        <w:jc w:val="both"/>
        <w:rPr>
          <w:sz w:val="24"/>
          <w:szCs w:val="24"/>
        </w:rPr>
      </w:pPr>
      <w:r w:rsidRPr="00E72B6D">
        <w:rPr>
          <w:sz w:val="24"/>
          <w:szCs w:val="24"/>
        </w:rPr>
        <w:t xml:space="preserve">A társaság az adatszolgáltatási kötelezettségeinek és a saját, belső információs igényeinek teljesítésére bevezetendő </w:t>
      </w:r>
      <w:r w:rsidRPr="00E72B6D">
        <w:rPr>
          <w:b/>
          <w:sz w:val="24"/>
          <w:szCs w:val="24"/>
        </w:rPr>
        <w:t>adattárház rendszer</w:t>
      </w:r>
      <w:r w:rsidRPr="00E72B6D">
        <w:rPr>
          <w:sz w:val="24"/>
          <w:szCs w:val="24"/>
        </w:rPr>
        <w:t xml:space="preserve"> tesztelési időszakának lezárását a 2016. március 9-én megtartott egyeztetésen elfogadta. Az új rendszer működése során továbbra is azt tapasztaljuk, hogy a nagy mennyiségű adat kezelése miatt a rendszer lassú.  A program bevezetőjével lezajlott egyeztetéseket követően megtörtént a rendszer tartalék szerverre való átköltöztetése. Ennek során az adattárház dedikált erőforrásokat kapott, így használata nem befolyásolja a többi rendszer működését. A frissítések idejének csökkentése érdekében további </w:t>
      </w:r>
      <w:r w:rsidR="00443600">
        <w:rPr>
          <w:sz w:val="24"/>
          <w:szCs w:val="24"/>
        </w:rPr>
        <w:t>-</w:t>
      </w:r>
      <w:r w:rsidRPr="00E72B6D">
        <w:rPr>
          <w:sz w:val="24"/>
          <w:szCs w:val="24"/>
        </w:rPr>
        <w:t xml:space="preserve"> erősebb - hardver üzembe helyezése szükséges</w:t>
      </w:r>
    </w:p>
    <w:p w:rsidR="00A63417" w:rsidRDefault="00A63417" w:rsidP="00FC4BB9">
      <w:pPr>
        <w:jc w:val="both"/>
        <w:rPr>
          <w:sz w:val="24"/>
          <w:szCs w:val="24"/>
        </w:rPr>
      </w:pPr>
    </w:p>
    <w:p w:rsidR="00920BB3" w:rsidRPr="00E72B6D" w:rsidRDefault="00920BB3" w:rsidP="00FC4BB9">
      <w:pPr>
        <w:jc w:val="both"/>
        <w:rPr>
          <w:sz w:val="24"/>
          <w:szCs w:val="24"/>
        </w:rPr>
      </w:pPr>
      <w:r w:rsidRPr="00E72B6D">
        <w:rPr>
          <w:sz w:val="24"/>
          <w:szCs w:val="24"/>
        </w:rPr>
        <w:t xml:space="preserve">A Hivatal által 2016. július 18-án megkezdett </w:t>
      </w:r>
      <w:r w:rsidRPr="00E72B6D">
        <w:rPr>
          <w:b/>
          <w:sz w:val="24"/>
          <w:szCs w:val="24"/>
        </w:rPr>
        <w:t xml:space="preserve">átfogó ellenőrzés </w:t>
      </w:r>
      <w:r w:rsidRPr="00E72B6D">
        <w:rPr>
          <w:sz w:val="24"/>
          <w:szCs w:val="24"/>
        </w:rPr>
        <w:t xml:space="preserve">lezárult. Az ellenőrzés jegyzőkönyveinek minősített változata 2017. február 24-én érkezett meg Társaságunkhoz. Az </w:t>
      </w:r>
      <w:r w:rsidRPr="00E72B6D">
        <w:rPr>
          <w:b/>
          <w:sz w:val="24"/>
          <w:szCs w:val="24"/>
        </w:rPr>
        <w:t>átfogó ellenőrzés során bírság kiszabására nem került sor</w:t>
      </w:r>
      <w:r w:rsidRPr="00E72B6D">
        <w:rPr>
          <w:sz w:val="24"/>
          <w:szCs w:val="24"/>
        </w:rPr>
        <w:t>, az erről szóló határozatot 2017. március 16-án a Hivatal megküldte részünkre. AVKEFFO_2017/162-7 határozatában előírt vagyonleltár felülvizsgálatot Társaságunk elvégezte, a helyesbített vagyonleltár határidőre megküldésre került.</w:t>
      </w:r>
    </w:p>
    <w:p w:rsidR="00920BB3" w:rsidRPr="00A21885" w:rsidRDefault="00920BB3" w:rsidP="00FC4BB9">
      <w:pPr>
        <w:jc w:val="both"/>
        <w:rPr>
          <w:sz w:val="22"/>
          <w:szCs w:val="22"/>
        </w:rPr>
      </w:pPr>
    </w:p>
    <w:p w:rsidR="00920BB3" w:rsidRPr="008B5CC7" w:rsidRDefault="00920BB3" w:rsidP="00FC4BB9">
      <w:pPr>
        <w:jc w:val="both"/>
        <w:rPr>
          <w:sz w:val="23"/>
          <w:szCs w:val="23"/>
        </w:rPr>
      </w:pPr>
      <w:r w:rsidRPr="008B5CC7">
        <w:rPr>
          <w:sz w:val="23"/>
          <w:szCs w:val="23"/>
        </w:rPr>
        <w:t xml:space="preserve">A </w:t>
      </w:r>
      <w:proofErr w:type="spellStart"/>
      <w:r w:rsidRPr="008B5CC7">
        <w:rPr>
          <w:sz w:val="23"/>
          <w:szCs w:val="23"/>
        </w:rPr>
        <w:t>Vksztv</w:t>
      </w:r>
      <w:proofErr w:type="spellEnd"/>
      <w:r w:rsidRPr="008B5CC7">
        <w:rPr>
          <w:sz w:val="23"/>
          <w:szCs w:val="23"/>
        </w:rPr>
        <w:t xml:space="preserve"> 65. §</w:t>
      </w:r>
      <w:proofErr w:type="spellStart"/>
      <w:r w:rsidRPr="008B5CC7">
        <w:rPr>
          <w:sz w:val="23"/>
          <w:szCs w:val="23"/>
        </w:rPr>
        <w:t>-a</w:t>
      </w:r>
      <w:proofErr w:type="spellEnd"/>
      <w:r w:rsidRPr="008B5CC7">
        <w:rPr>
          <w:sz w:val="23"/>
          <w:szCs w:val="23"/>
        </w:rPr>
        <w:t xml:space="preserve"> szerint </w:t>
      </w:r>
      <w:r w:rsidRPr="008B5CC7">
        <w:rPr>
          <w:b/>
          <w:bCs/>
          <w:sz w:val="23"/>
          <w:szCs w:val="23"/>
        </w:rPr>
        <w:t xml:space="preserve">a közműves ivóvízellátás, valamint a közműves szennyvízelvezetés és </w:t>
      </w:r>
      <w:proofErr w:type="spellStart"/>
      <w:r w:rsidRPr="008B5CC7">
        <w:rPr>
          <w:b/>
          <w:bCs/>
          <w:sz w:val="23"/>
          <w:szCs w:val="23"/>
        </w:rPr>
        <w:t>-tisztítás</w:t>
      </w:r>
      <w:proofErr w:type="spellEnd"/>
      <w:r w:rsidRPr="008B5CC7">
        <w:rPr>
          <w:sz w:val="23"/>
          <w:szCs w:val="23"/>
        </w:rPr>
        <w:t xml:space="preserve"> </w:t>
      </w:r>
      <w:r w:rsidRPr="008B5CC7">
        <w:rPr>
          <w:b/>
          <w:bCs/>
          <w:sz w:val="23"/>
          <w:szCs w:val="23"/>
        </w:rPr>
        <w:t>díját</w:t>
      </w:r>
      <w:r w:rsidRPr="008B5CC7">
        <w:rPr>
          <w:sz w:val="23"/>
          <w:szCs w:val="23"/>
        </w:rPr>
        <w:t xml:space="preserve"> a MEKH javaslata alapján a víziközmű-szolgáltatásért felelős miniszter rendeletben állapítja meg</w:t>
      </w:r>
      <w:r w:rsidR="00CC2B56" w:rsidRPr="008B5CC7">
        <w:rPr>
          <w:sz w:val="23"/>
          <w:szCs w:val="23"/>
        </w:rPr>
        <w:t xml:space="preserve">. </w:t>
      </w:r>
      <w:r w:rsidRPr="008B5CC7">
        <w:rPr>
          <w:sz w:val="23"/>
          <w:szCs w:val="23"/>
        </w:rPr>
        <w:t xml:space="preserve">A díjakkal kapcsolatos </w:t>
      </w:r>
      <w:r w:rsidR="00443600" w:rsidRPr="008B5CC7">
        <w:rPr>
          <w:sz w:val="23"/>
          <w:szCs w:val="23"/>
        </w:rPr>
        <w:t xml:space="preserve">gazdasági </w:t>
      </w:r>
      <w:r w:rsidRPr="008B5CC7">
        <w:rPr>
          <w:sz w:val="23"/>
          <w:szCs w:val="23"/>
        </w:rPr>
        <w:t xml:space="preserve">adatszolgáltatásokat </w:t>
      </w:r>
      <w:r w:rsidR="00CC2B56" w:rsidRPr="008B5CC7">
        <w:rPr>
          <w:sz w:val="23"/>
          <w:szCs w:val="23"/>
        </w:rPr>
        <w:t>társaságunk</w:t>
      </w:r>
      <w:r w:rsidRPr="008B5CC7">
        <w:rPr>
          <w:sz w:val="23"/>
          <w:szCs w:val="23"/>
        </w:rPr>
        <w:t xml:space="preserve"> az előírt - 2017. június 15-ei </w:t>
      </w:r>
      <w:r w:rsidR="00443600" w:rsidRPr="008B5CC7">
        <w:rPr>
          <w:sz w:val="23"/>
          <w:szCs w:val="23"/>
        </w:rPr>
        <w:t xml:space="preserve">- </w:t>
      </w:r>
      <w:r w:rsidRPr="008B5CC7">
        <w:rPr>
          <w:sz w:val="23"/>
          <w:szCs w:val="23"/>
        </w:rPr>
        <w:t>határidőre teljesítette a Hivatal részére. Az adatszolgáltatással kapcsolatos észrevételekről és módosítást igénylő tételeiről 2017.</w:t>
      </w:r>
      <w:r w:rsidR="00443600" w:rsidRPr="008B5CC7">
        <w:rPr>
          <w:sz w:val="23"/>
          <w:szCs w:val="23"/>
        </w:rPr>
        <w:t xml:space="preserve"> </w:t>
      </w:r>
      <w:r w:rsidRPr="008B5CC7">
        <w:rPr>
          <w:sz w:val="23"/>
          <w:szCs w:val="23"/>
        </w:rPr>
        <w:t>július 10-én kaptunk értesítést a Hivataltól, melyre a választ az előír</w:t>
      </w:r>
      <w:r w:rsidR="00FC4BB9" w:rsidRPr="008B5CC7">
        <w:rPr>
          <w:sz w:val="23"/>
          <w:szCs w:val="23"/>
        </w:rPr>
        <w:t>t</w:t>
      </w:r>
      <w:r w:rsidRPr="008B5CC7">
        <w:rPr>
          <w:sz w:val="23"/>
          <w:szCs w:val="23"/>
        </w:rPr>
        <w:t xml:space="preserve"> határidőre megküldtük.</w:t>
      </w:r>
    </w:p>
    <w:p w:rsidR="00920BB3" w:rsidRPr="008B5CC7" w:rsidRDefault="00920BB3" w:rsidP="00FC4BB9">
      <w:pPr>
        <w:jc w:val="both"/>
        <w:rPr>
          <w:sz w:val="23"/>
          <w:szCs w:val="23"/>
        </w:rPr>
      </w:pPr>
    </w:p>
    <w:p w:rsidR="00920BB3" w:rsidRPr="008B5CC7" w:rsidRDefault="00920BB3" w:rsidP="00FC4BB9">
      <w:pPr>
        <w:jc w:val="both"/>
        <w:rPr>
          <w:sz w:val="23"/>
          <w:szCs w:val="23"/>
        </w:rPr>
      </w:pPr>
      <w:r w:rsidRPr="008B5CC7">
        <w:rPr>
          <w:sz w:val="23"/>
          <w:szCs w:val="23"/>
        </w:rPr>
        <w:t xml:space="preserve">Az </w:t>
      </w:r>
      <w:r w:rsidRPr="008B5CC7">
        <w:rPr>
          <w:b/>
          <w:sz w:val="23"/>
          <w:szCs w:val="23"/>
        </w:rPr>
        <w:t>Uszoda</w:t>
      </w:r>
      <w:r w:rsidRPr="008B5CC7">
        <w:rPr>
          <w:sz w:val="23"/>
          <w:szCs w:val="23"/>
        </w:rPr>
        <w:t xml:space="preserve"> részbeni rekonstrukciót követően 2016. december 5-én kinyitott. A 2017. évi terv ezért egész éves üzemeltetésre vonatkozó adatokat tartalmaz. Az idei évben is szükséges a fürdőszolgáltatás veszteségének finanszírozása, valamint </w:t>
      </w:r>
      <w:r w:rsidR="00F266EC" w:rsidRPr="008B5CC7">
        <w:rPr>
          <w:sz w:val="23"/>
          <w:szCs w:val="23"/>
        </w:rPr>
        <w:t>a folyamatban lévő</w:t>
      </w:r>
      <w:r w:rsidRPr="008B5CC7">
        <w:rPr>
          <w:sz w:val="23"/>
          <w:szCs w:val="23"/>
        </w:rPr>
        <w:t xml:space="preserve"> </w:t>
      </w:r>
      <w:r w:rsidR="00F266EC" w:rsidRPr="008B5CC7">
        <w:rPr>
          <w:sz w:val="23"/>
          <w:szCs w:val="23"/>
        </w:rPr>
        <w:t xml:space="preserve">TAO </w:t>
      </w:r>
      <w:r w:rsidRPr="008B5CC7">
        <w:rPr>
          <w:sz w:val="23"/>
          <w:szCs w:val="23"/>
        </w:rPr>
        <w:t xml:space="preserve">beruházás tekintetében a tulajdonviszonyok rendezése. Ennek érdekében Társaságunk elkészített egy, az uszoda </w:t>
      </w:r>
      <w:r w:rsidR="00F266EC" w:rsidRPr="008B5CC7">
        <w:rPr>
          <w:sz w:val="23"/>
          <w:szCs w:val="23"/>
        </w:rPr>
        <w:t>vagyonátadására és</w:t>
      </w:r>
      <w:r w:rsidRPr="008B5CC7">
        <w:rPr>
          <w:sz w:val="23"/>
          <w:szCs w:val="23"/>
        </w:rPr>
        <w:t xml:space="preserve"> üzemeltetésére vonatkozó anyagot.</w:t>
      </w:r>
    </w:p>
    <w:p w:rsidR="00920BB3" w:rsidRPr="008B5CC7" w:rsidRDefault="00920BB3" w:rsidP="00FC4BB9">
      <w:pPr>
        <w:jc w:val="both"/>
        <w:rPr>
          <w:sz w:val="23"/>
          <w:szCs w:val="23"/>
        </w:rPr>
      </w:pPr>
      <w:r w:rsidRPr="008B5CC7">
        <w:rPr>
          <w:sz w:val="23"/>
          <w:szCs w:val="23"/>
        </w:rPr>
        <w:t>A</w:t>
      </w:r>
      <w:r w:rsidR="00340E0F" w:rsidRPr="008B5CC7">
        <w:rPr>
          <w:sz w:val="23"/>
          <w:szCs w:val="23"/>
        </w:rPr>
        <w:t xml:space="preserve">z uszoda bővítési munkái miatt lezárt </w:t>
      </w:r>
      <w:r w:rsidR="00F266EC" w:rsidRPr="008B5CC7">
        <w:rPr>
          <w:sz w:val="23"/>
          <w:szCs w:val="23"/>
        </w:rPr>
        <w:t>szabadtéri</w:t>
      </w:r>
      <w:r w:rsidR="00340E0F" w:rsidRPr="008B5CC7">
        <w:rPr>
          <w:sz w:val="23"/>
          <w:szCs w:val="23"/>
        </w:rPr>
        <w:t xml:space="preserve"> te</w:t>
      </w:r>
      <w:r w:rsidRPr="008B5CC7">
        <w:rPr>
          <w:sz w:val="23"/>
          <w:szCs w:val="23"/>
        </w:rPr>
        <w:t xml:space="preserve">rület </w:t>
      </w:r>
      <w:r w:rsidR="00FF1004" w:rsidRPr="008B5CC7">
        <w:rPr>
          <w:sz w:val="23"/>
          <w:szCs w:val="23"/>
        </w:rPr>
        <w:t>egy része</w:t>
      </w:r>
      <w:r w:rsidRPr="008B5CC7">
        <w:rPr>
          <w:sz w:val="23"/>
          <w:szCs w:val="23"/>
        </w:rPr>
        <w:t xml:space="preserve"> visszaadásra került, a Termálfürdő </w:t>
      </w:r>
      <w:r w:rsidR="00340E0F" w:rsidRPr="008B5CC7">
        <w:rPr>
          <w:sz w:val="23"/>
          <w:szCs w:val="23"/>
        </w:rPr>
        <w:t xml:space="preserve">így </w:t>
      </w:r>
      <w:r w:rsidRPr="008B5CC7">
        <w:rPr>
          <w:sz w:val="23"/>
          <w:szCs w:val="23"/>
        </w:rPr>
        <w:t>2017.</w:t>
      </w:r>
      <w:r w:rsidR="00340E0F" w:rsidRPr="008B5CC7">
        <w:rPr>
          <w:sz w:val="23"/>
          <w:szCs w:val="23"/>
        </w:rPr>
        <w:t xml:space="preserve"> </w:t>
      </w:r>
      <w:r w:rsidRPr="008B5CC7">
        <w:rPr>
          <w:sz w:val="23"/>
          <w:szCs w:val="23"/>
        </w:rPr>
        <w:t>júli</w:t>
      </w:r>
      <w:r w:rsidR="00340E0F" w:rsidRPr="008B5CC7">
        <w:rPr>
          <w:sz w:val="23"/>
          <w:szCs w:val="23"/>
        </w:rPr>
        <w:t>u</w:t>
      </w:r>
      <w:r w:rsidRPr="008B5CC7">
        <w:rPr>
          <w:sz w:val="23"/>
          <w:szCs w:val="23"/>
        </w:rPr>
        <w:t>s 1-jén megnyitott.</w:t>
      </w:r>
    </w:p>
    <w:p w:rsidR="005C76A8" w:rsidRDefault="005C76A8" w:rsidP="00FC4BB9">
      <w:pPr>
        <w:jc w:val="both"/>
        <w:rPr>
          <w:sz w:val="24"/>
          <w:szCs w:val="24"/>
        </w:rPr>
      </w:pPr>
    </w:p>
    <w:p w:rsidR="00920BB3" w:rsidRPr="008B5CC7" w:rsidRDefault="00920BB3" w:rsidP="00FC4BB9">
      <w:pPr>
        <w:jc w:val="both"/>
        <w:rPr>
          <w:sz w:val="23"/>
          <w:szCs w:val="23"/>
        </w:rPr>
      </w:pPr>
      <w:r w:rsidRPr="008B5CC7">
        <w:rPr>
          <w:sz w:val="23"/>
          <w:szCs w:val="23"/>
        </w:rPr>
        <w:t xml:space="preserve">Társaságunk működési területén a vizsgált időszakban jelentős, a folyamatos üzemeltetést befolyásoló esemény egyik üzletágban sem volt. Stratégiai célunk továbbra is az üzembiztonság, a likviditás fenntartása, az elfogadott üzleti tervnek megfelelő tervszerű, gazdaságos működés, a folyamatos fejlesztés - együttműködve az ellátásért felelős önkormányzatokkal -, a tervszerű fenntartási munkák elvégzése, a váratlan meghibásodások gyors elhárítása mellett a környezet megóvása. </w:t>
      </w:r>
      <w:r w:rsidR="00A63417" w:rsidRPr="008B5CC7">
        <w:rPr>
          <w:sz w:val="23"/>
          <w:szCs w:val="23"/>
        </w:rPr>
        <w:t>Tovább</w:t>
      </w:r>
      <w:r w:rsidR="002F632D">
        <w:rPr>
          <w:sz w:val="23"/>
          <w:szCs w:val="23"/>
        </w:rPr>
        <w:t>á</w:t>
      </w:r>
      <w:r w:rsidR="00A63417" w:rsidRPr="008B5CC7">
        <w:rPr>
          <w:sz w:val="23"/>
          <w:szCs w:val="23"/>
        </w:rPr>
        <w:t>, mint felelős és elhivatott</w:t>
      </w:r>
      <w:r w:rsidR="002F632D">
        <w:rPr>
          <w:sz w:val="23"/>
          <w:szCs w:val="23"/>
        </w:rPr>
        <w:t xml:space="preserve"> </w:t>
      </w:r>
      <w:proofErr w:type="spellStart"/>
      <w:r w:rsidR="002F632D">
        <w:rPr>
          <w:sz w:val="23"/>
          <w:szCs w:val="23"/>
        </w:rPr>
        <w:t>ví</w:t>
      </w:r>
      <w:r w:rsidR="00A63417" w:rsidRPr="008B5CC7">
        <w:rPr>
          <w:sz w:val="23"/>
          <w:szCs w:val="23"/>
        </w:rPr>
        <w:t>ziközmű</w:t>
      </w:r>
      <w:proofErr w:type="spellEnd"/>
      <w:r w:rsidR="00A63417" w:rsidRPr="008B5CC7">
        <w:rPr>
          <w:sz w:val="23"/>
          <w:szCs w:val="23"/>
        </w:rPr>
        <w:t xml:space="preserve"> szolgáltató kiemelt célunk a vízveszteség – lehetőségeinkhez mért – csökkentése és az energiafelhasználás optimalizálása. Mindezek mellett jelentős</w:t>
      </w:r>
      <w:r w:rsidRPr="008B5CC7">
        <w:rPr>
          <w:sz w:val="23"/>
          <w:szCs w:val="23"/>
        </w:rPr>
        <w:t xml:space="preserve"> feladatunk a fent hivatkozott törvények által meghatározott feladatok végrehajtása.</w:t>
      </w:r>
    </w:p>
    <w:p w:rsidR="00E72B6D" w:rsidRDefault="00E72B6D" w:rsidP="00FC4BB9">
      <w:pPr>
        <w:jc w:val="both"/>
        <w:rPr>
          <w:sz w:val="24"/>
          <w:szCs w:val="24"/>
        </w:rPr>
      </w:pPr>
    </w:p>
    <w:p w:rsidR="00E72B6D" w:rsidRDefault="00E72B6D" w:rsidP="00FC4BB9">
      <w:pPr>
        <w:jc w:val="both"/>
        <w:rPr>
          <w:sz w:val="24"/>
          <w:szCs w:val="24"/>
        </w:rPr>
      </w:pPr>
    </w:p>
    <w:p w:rsidR="00E72B6D" w:rsidRDefault="00E72B6D" w:rsidP="00FC4BB9">
      <w:pPr>
        <w:tabs>
          <w:tab w:val="center" w:pos="6237"/>
        </w:tabs>
        <w:jc w:val="both"/>
        <w:rPr>
          <w:sz w:val="24"/>
        </w:rPr>
      </w:pPr>
      <w:r>
        <w:rPr>
          <w:sz w:val="24"/>
        </w:rPr>
        <w:tab/>
        <w:t xml:space="preserve">Dr. </w:t>
      </w:r>
      <w:proofErr w:type="spellStart"/>
      <w:r>
        <w:rPr>
          <w:sz w:val="24"/>
        </w:rPr>
        <w:t>Kohuth</w:t>
      </w:r>
      <w:proofErr w:type="spellEnd"/>
      <w:r>
        <w:rPr>
          <w:sz w:val="24"/>
        </w:rPr>
        <w:t xml:space="preserve"> Viktor</w:t>
      </w:r>
    </w:p>
    <w:p w:rsidR="00E72B6D" w:rsidRDefault="00E72B6D" w:rsidP="00FC4BB9">
      <w:pPr>
        <w:tabs>
          <w:tab w:val="center" w:pos="6237"/>
        </w:tabs>
        <w:jc w:val="both"/>
        <w:rPr>
          <w:sz w:val="24"/>
        </w:rPr>
      </w:pPr>
      <w:r>
        <w:rPr>
          <w:sz w:val="24"/>
        </w:rPr>
        <w:tab/>
      </w:r>
      <w:proofErr w:type="gramStart"/>
      <w:r>
        <w:rPr>
          <w:sz w:val="24"/>
        </w:rPr>
        <w:t>vezérigazgató</w:t>
      </w:r>
      <w:proofErr w:type="gramEnd"/>
    </w:p>
    <w:p w:rsidR="00E72B6D" w:rsidRPr="00E72B6D" w:rsidRDefault="00E72B6D" w:rsidP="00883EC9">
      <w:pPr>
        <w:jc w:val="both"/>
        <w:rPr>
          <w:sz w:val="24"/>
          <w:szCs w:val="24"/>
        </w:rPr>
      </w:pPr>
    </w:p>
    <w:sectPr w:rsidR="00E72B6D" w:rsidRPr="00E72B6D" w:rsidSect="00EB434F">
      <w:footerReference w:type="default" r:id="rId14"/>
      <w:pgSz w:w="11907" w:h="16840"/>
      <w:pgMar w:top="1134" w:right="1276" w:bottom="1418" w:left="1134" w:header="709" w:footer="90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0DE" w:rsidRDefault="009C00DE">
      <w:r>
        <w:separator/>
      </w:r>
    </w:p>
  </w:endnote>
  <w:endnote w:type="continuationSeparator" w:id="0">
    <w:p w:rsidR="009C00DE" w:rsidRDefault="009C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altName w:val="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CE">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0DE" w:rsidRDefault="009C00DE">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10</w:t>
    </w:r>
    <w:r>
      <w:rPr>
        <w:rStyle w:val="Oldalszm"/>
      </w:rPr>
      <w:fldChar w:fldCharType="end"/>
    </w:r>
  </w:p>
  <w:p w:rsidR="009C00DE" w:rsidRDefault="009C00DE">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0DE" w:rsidRDefault="009C00DE" w:rsidP="00A85196">
    <w:pPr>
      <w:pStyle w:val="llb"/>
      <w:tabs>
        <w:tab w:val="clear" w:pos="4536"/>
        <w:tab w:val="clear" w:pos="9072"/>
        <w:tab w:val="left" w:pos="717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0DE" w:rsidRDefault="009C00DE" w:rsidP="00A85196">
    <w:pPr>
      <w:pStyle w:val="llb"/>
      <w:jc w:val="right"/>
    </w:pPr>
  </w:p>
  <w:p w:rsidR="009C00DE" w:rsidRDefault="009C00DE" w:rsidP="005E629C">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583449"/>
      <w:docPartObj>
        <w:docPartGallery w:val="Page Numbers (Bottom of Page)"/>
        <w:docPartUnique/>
      </w:docPartObj>
    </w:sdtPr>
    <w:sdtEndPr/>
    <w:sdtContent>
      <w:p w:rsidR="009C00DE" w:rsidRDefault="009C00DE" w:rsidP="00A85196">
        <w:pPr>
          <w:pStyle w:val="llb"/>
          <w:pBdr>
            <w:top w:val="single" w:sz="4" w:space="1" w:color="auto"/>
          </w:pBdr>
          <w:jc w:val="right"/>
        </w:pPr>
        <w:r>
          <w:fldChar w:fldCharType="begin"/>
        </w:r>
        <w:r>
          <w:instrText>PAGE   \* MERGEFORMAT</w:instrText>
        </w:r>
        <w:r>
          <w:fldChar w:fldCharType="separate"/>
        </w:r>
        <w:r w:rsidR="00D3463E">
          <w:rPr>
            <w:noProof/>
          </w:rPr>
          <w:t>22</w:t>
        </w:r>
        <w:r>
          <w:fldChar w:fldCharType="end"/>
        </w:r>
      </w:p>
    </w:sdtContent>
  </w:sdt>
  <w:p w:rsidR="009C00DE" w:rsidRDefault="009C00DE" w:rsidP="00A85196">
    <w:pPr>
      <w:pStyle w:val="llb"/>
      <w:tabs>
        <w:tab w:val="clear" w:pos="4536"/>
        <w:tab w:val="clear" w:pos="9072"/>
        <w:tab w:val="left" w:pos="71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0DE" w:rsidRDefault="009C00DE">
      <w:r>
        <w:separator/>
      </w:r>
    </w:p>
  </w:footnote>
  <w:footnote w:type="continuationSeparator" w:id="0">
    <w:p w:rsidR="009C00DE" w:rsidRDefault="009C0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0DE" w:rsidRDefault="009C00DE" w:rsidP="00DD2CAB">
    <w:pPr>
      <w:pStyle w:val="lfej"/>
      <w:tabs>
        <w:tab w:val="clear" w:pos="9072"/>
      </w:tabs>
      <w:ind w:right="-1"/>
      <w:rPr>
        <w:sz w:val="24"/>
        <w:u w:val="single"/>
      </w:rPr>
    </w:pPr>
    <w:r>
      <w:rPr>
        <w:sz w:val="24"/>
        <w:u w:val="single"/>
      </w:rPr>
      <w:t xml:space="preserve">VASIVÍZ </w:t>
    </w:r>
    <w:proofErr w:type="spellStart"/>
    <w:r>
      <w:rPr>
        <w:sz w:val="24"/>
        <w:u w:val="single"/>
      </w:rPr>
      <w:t>ZRt</w:t>
    </w:r>
    <w:proofErr w:type="spellEnd"/>
    <w:r>
      <w:rPr>
        <w:sz w:val="24"/>
        <w:u w:val="single"/>
      </w:rPr>
      <w:t>.                                                                      2017. évi üzleti terv I. félévi értékelése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0DE" w:rsidRDefault="009C00DE">
    <w:pPr>
      <w:pStyle w:val="lfej"/>
    </w:pPr>
    <w:r>
      <w:rPr>
        <w:sz w:val="24"/>
        <w:u w:val="single"/>
      </w:rPr>
      <w:t xml:space="preserve">VASIVÍZ </w:t>
    </w:r>
    <w:proofErr w:type="spellStart"/>
    <w:r>
      <w:rPr>
        <w:sz w:val="24"/>
        <w:u w:val="single"/>
      </w:rPr>
      <w:t>ZRt</w:t>
    </w:r>
    <w:proofErr w:type="spellEnd"/>
    <w:r>
      <w:rPr>
        <w:sz w:val="24"/>
        <w:u w:val="single"/>
      </w:rPr>
      <w:t>.                                                                      2017. évi üzleti terv I. félévi értékelése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24697C6"/>
    <w:lvl w:ilvl="0">
      <w:numFmt w:val="bullet"/>
      <w:lvlText w:val="*"/>
      <w:lvlJc w:val="left"/>
      <w:pPr>
        <w:ind w:left="0" w:firstLine="0"/>
      </w:pPr>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pPr>
      <w:rPr>
        <w:rFonts w:ascii="Symbol" w:hAnsi="Symbol"/>
      </w:rPr>
    </w:lvl>
  </w:abstractNum>
  <w:abstractNum w:abstractNumId="2" w15:restartNumberingAfterBreak="0">
    <w:nsid w:val="00000007"/>
    <w:multiLevelType w:val="singleLevel"/>
    <w:tmpl w:val="00000007"/>
    <w:name w:val="WW8Num10"/>
    <w:lvl w:ilvl="0">
      <w:start w:val="1"/>
      <w:numFmt w:val="decimal"/>
      <w:lvlText w:val="%1."/>
      <w:lvlJc w:val="left"/>
      <w:pPr>
        <w:tabs>
          <w:tab w:val="num" w:pos="720"/>
        </w:tabs>
      </w:pPr>
    </w:lvl>
  </w:abstractNum>
  <w:abstractNum w:abstractNumId="3" w15:restartNumberingAfterBreak="0">
    <w:nsid w:val="0000000A"/>
    <w:multiLevelType w:val="singleLevel"/>
    <w:tmpl w:val="0000000A"/>
    <w:name w:val="WW8Num18"/>
    <w:lvl w:ilvl="0">
      <w:start w:val="1"/>
      <w:numFmt w:val="bullet"/>
      <w:lvlText w:val=""/>
      <w:lvlJc w:val="left"/>
      <w:pPr>
        <w:tabs>
          <w:tab w:val="num" w:pos="720"/>
        </w:tabs>
      </w:pPr>
      <w:rPr>
        <w:rFonts w:ascii="Symbol" w:hAnsi="Symbol"/>
        <w:sz w:val="20"/>
      </w:rPr>
    </w:lvl>
  </w:abstractNum>
  <w:abstractNum w:abstractNumId="4" w15:restartNumberingAfterBreak="0">
    <w:nsid w:val="07E80515"/>
    <w:multiLevelType w:val="hybridMultilevel"/>
    <w:tmpl w:val="9A7E51F4"/>
    <w:lvl w:ilvl="0" w:tplc="2550DC1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60B5110"/>
    <w:multiLevelType w:val="hybridMultilevel"/>
    <w:tmpl w:val="766455AC"/>
    <w:lvl w:ilvl="0" w:tplc="F8A6AC96">
      <w:start w:val="54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52A72C9"/>
    <w:multiLevelType w:val="hybridMultilevel"/>
    <w:tmpl w:val="099AD5F6"/>
    <w:lvl w:ilvl="0" w:tplc="04E067F2">
      <w:start w:val="508"/>
      <w:numFmt w:val="bullet"/>
      <w:lvlText w:val=""/>
      <w:lvlJc w:val="left"/>
      <w:pPr>
        <w:tabs>
          <w:tab w:val="num" w:pos="720"/>
        </w:tabs>
        <w:ind w:left="720" w:hanging="360"/>
      </w:pPr>
      <w:rPr>
        <w:rFonts w:ascii="Symbol" w:eastAsia="Times New Roman" w:hAnsi="Symbol" w:cs="Times New Roman" w:hint="default"/>
        <w:b/>
        <w:i/>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D911B6"/>
    <w:multiLevelType w:val="hybridMultilevel"/>
    <w:tmpl w:val="D5A4AD96"/>
    <w:lvl w:ilvl="0" w:tplc="069CFD30">
      <w:start w:val="7"/>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E91E35"/>
    <w:multiLevelType w:val="hybridMultilevel"/>
    <w:tmpl w:val="F5DA4ADA"/>
    <w:lvl w:ilvl="0" w:tplc="6B4004AE">
      <w:start w:val="69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71C6B8C"/>
    <w:multiLevelType w:val="hybridMultilevel"/>
    <w:tmpl w:val="8D269484"/>
    <w:lvl w:ilvl="0" w:tplc="B55C096A">
      <w:start w:val="201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C1404E"/>
    <w:multiLevelType w:val="hybridMultilevel"/>
    <w:tmpl w:val="225C8098"/>
    <w:lvl w:ilvl="0" w:tplc="C9F8B542">
      <w:start w:val="2017"/>
      <w:numFmt w:val="bullet"/>
      <w:lvlText w:val="-"/>
      <w:lvlJc w:val="left"/>
      <w:pPr>
        <w:ind w:left="780" w:hanging="360"/>
      </w:pPr>
      <w:rPr>
        <w:rFonts w:ascii="Times New Roman" w:eastAsia="Times New Roman" w:hAnsi="Times New Roman" w:cs="Times New Roman" w:hint="default"/>
        <w:b w:val="0"/>
        <w:i w:val="0"/>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1" w15:restartNumberingAfterBreak="0">
    <w:nsid w:val="454409DB"/>
    <w:multiLevelType w:val="hybridMultilevel"/>
    <w:tmpl w:val="1E2856A0"/>
    <w:lvl w:ilvl="0" w:tplc="076E605C">
      <w:numFmt w:val="bullet"/>
      <w:lvlText w:val="-"/>
      <w:lvlJc w:val="left"/>
      <w:pPr>
        <w:tabs>
          <w:tab w:val="num" w:pos="502"/>
        </w:tabs>
        <w:ind w:left="502" w:hanging="360"/>
      </w:pPr>
      <w:rPr>
        <w:rFonts w:ascii="Times New Roman" w:eastAsia="Times New Roman" w:hAnsi="Times New Roman" w:cs="Times New Roman" w:hint="default"/>
        <w:i/>
      </w:rPr>
    </w:lvl>
    <w:lvl w:ilvl="1" w:tplc="040E0003" w:tentative="1">
      <w:start w:val="1"/>
      <w:numFmt w:val="bullet"/>
      <w:lvlText w:val="o"/>
      <w:lvlJc w:val="left"/>
      <w:pPr>
        <w:tabs>
          <w:tab w:val="num" w:pos="1222"/>
        </w:tabs>
        <w:ind w:left="1222" w:hanging="360"/>
      </w:pPr>
      <w:rPr>
        <w:rFonts w:ascii="Courier New" w:hAnsi="Courier New" w:hint="default"/>
      </w:rPr>
    </w:lvl>
    <w:lvl w:ilvl="2" w:tplc="040E0005" w:tentative="1">
      <w:start w:val="1"/>
      <w:numFmt w:val="bullet"/>
      <w:lvlText w:val=""/>
      <w:lvlJc w:val="left"/>
      <w:pPr>
        <w:tabs>
          <w:tab w:val="num" w:pos="1942"/>
        </w:tabs>
        <w:ind w:left="1942" w:hanging="360"/>
      </w:pPr>
      <w:rPr>
        <w:rFonts w:ascii="Wingdings" w:hAnsi="Wingdings" w:hint="default"/>
      </w:rPr>
    </w:lvl>
    <w:lvl w:ilvl="3" w:tplc="040E0001" w:tentative="1">
      <w:start w:val="1"/>
      <w:numFmt w:val="bullet"/>
      <w:lvlText w:val=""/>
      <w:lvlJc w:val="left"/>
      <w:pPr>
        <w:tabs>
          <w:tab w:val="num" w:pos="2662"/>
        </w:tabs>
        <w:ind w:left="2662" w:hanging="360"/>
      </w:pPr>
      <w:rPr>
        <w:rFonts w:ascii="Symbol" w:hAnsi="Symbol" w:hint="default"/>
      </w:rPr>
    </w:lvl>
    <w:lvl w:ilvl="4" w:tplc="040E0003" w:tentative="1">
      <w:start w:val="1"/>
      <w:numFmt w:val="bullet"/>
      <w:lvlText w:val="o"/>
      <w:lvlJc w:val="left"/>
      <w:pPr>
        <w:tabs>
          <w:tab w:val="num" w:pos="3382"/>
        </w:tabs>
        <w:ind w:left="3382" w:hanging="360"/>
      </w:pPr>
      <w:rPr>
        <w:rFonts w:ascii="Courier New" w:hAnsi="Courier New" w:hint="default"/>
      </w:rPr>
    </w:lvl>
    <w:lvl w:ilvl="5" w:tplc="040E0005" w:tentative="1">
      <w:start w:val="1"/>
      <w:numFmt w:val="bullet"/>
      <w:lvlText w:val=""/>
      <w:lvlJc w:val="left"/>
      <w:pPr>
        <w:tabs>
          <w:tab w:val="num" w:pos="4102"/>
        </w:tabs>
        <w:ind w:left="4102" w:hanging="360"/>
      </w:pPr>
      <w:rPr>
        <w:rFonts w:ascii="Wingdings" w:hAnsi="Wingdings" w:hint="default"/>
      </w:rPr>
    </w:lvl>
    <w:lvl w:ilvl="6" w:tplc="040E0001" w:tentative="1">
      <w:start w:val="1"/>
      <w:numFmt w:val="bullet"/>
      <w:lvlText w:val=""/>
      <w:lvlJc w:val="left"/>
      <w:pPr>
        <w:tabs>
          <w:tab w:val="num" w:pos="4822"/>
        </w:tabs>
        <w:ind w:left="4822" w:hanging="360"/>
      </w:pPr>
      <w:rPr>
        <w:rFonts w:ascii="Symbol" w:hAnsi="Symbol" w:hint="default"/>
      </w:rPr>
    </w:lvl>
    <w:lvl w:ilvl="7" w:tplc="040E0003" w:tentative="1">
      <w:start w:val="1"/>
      <w:numFmt w:val="bullet"/>
      <w:lvlText w:val="o"/>
      <w:lvlJc w:val="left"/>
      <w:pPr>
        <w:tabs>
          <w:tab w:val="num" w:pos="5542"/>
        </w:tabs>
        <w:ind w:left="5542" w:hanging="360"/>
      </w:pPr>
      <w:rPr>
        <w:rFonts w:ascii="Courier New" w:hAnsi="Courier New" w:hint="default"/>
      </w:rPr>
    </w:lvl>
    <w:lvl w:ilvl="8" w:tplc="040E0005" w:tentative="1">
      <w:start w:val="1"/>
      <w:numFmt w:val="bullet"/>
      <w:lvlText w:val=""/>
      <w:lvlJc w:val="left"/>
      <w:pPr>
        <w:tabs>
          <w:tab w:val="num" w:pos="6262"/>
        </w:tabs>
        <w:ind w:left="6262" w:hanging="360"/>
      </w:pPr>
      <w:rPr>
        <w:rFonts w:ascii="Wingdings" w:hAnsi="Wingdings" w:hint="default"/>
      </w:rPr>
    </w:lvl>
  </w:abstractNum>
  <w:abstractNum w:abstractNumId="12" w15:restartNumberingAfterBreak="0">
    <w:nsid w:val="4E857CE5"/>
    <w:multiLevelType w:val="hybridMultilevel"/>
    <w:tmpl w:val="613A644E"/>
    <w:lvl w:ilvl="0" w:tplc="CF78DB0E">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598F7A9A"/>
    <w:multiLevelType w:val="hybridMultilevel"/>
    <w:tmpl w:val="6CF6AE22"/>
    <w:lvl w:ilvl="0" w:tplc="57E2D754">
      <w:numFmt w:val="bullet"/>
      <w:lvlText w:val="-"/>
      <w:lvlJc w:val="left"/>
      <w:pPr>
        <w:tabs>
          <w:tab w:val="num" w:pos="1065"/>
        </w:tabs>
        <w:ind w:left="1065" w:hanging="705"/>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8B2F21"/>
    <w:multiLevelType w:val="singleLevel"/>
    <w:tmpl w:val="DB1091BE"/>
    <w:lvl w:ilvl="0">
      <w:start w:val="7"/>
      <w:numFmt w:val="bullet"/>
      <w:lvlText w:val="-"/>
      <w:lvlJc w:val="left"/>
      <w:pPr>
        <w:tabs>
          <w:tab w:val="num" w:pos="927"/>
        </w:tabs>
        <w:ind w:left="927" w:hanging="360"/>
      </w:pPr>
      <w:rPr>
        <w:rFonts w:hint="default"/>
      </w:rPr>
    </w:lvl>
  </w:abstractNum>
  <w:abstractNum w:abstractNumId="15" w15:restartNumberingAfterBreak="0">
    <w:nsid w:val="5E9C56A2"/>
    <w:multiLevelType w:val="hybridMultilevel"/>
    <w:tmpl w:val="43D822A4"/>
    <w:lvl w:ilvl="0" w:tplc="958A7A38">
      <w:start w:val="69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3E17A82"/>
    <w:multiLevelType w:val="hybridMultilevel"/>
    <w:tmpl w:val="0E148386"/>
    <w:lvl w:ilvl="0" w:tplc="21703AF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409557C"/>
    <w:multiLevelType w:val="hybridMultilevel"/>
    <w:tmpl w:val="B4302F4C"/>
    <w:lvl w:ilvl="0" w:tplc="5FB4D7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7401B73"/>
    <w:multiLevelType w:val="hybridMultilevel"/>
    <w:tmpl w:val="E51AB83E"/>
    <w:lvl w:ilvl="0" w:tplc="178CD0B2">
      <w:start w:val="69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A4D367E"/>
    <w:multiLevelType w:val="hybridMultilevel"/>
    <w:tmpl w:val="E5360708"/>
    <w:lvl w:ilvl="0" w:tplc="4042988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B0962E1"/>
    <w:multiLevelType w:val="hybridMultilevel"/>
    <w:tmpl w:val="475AB554"/>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13"/>
  </w:num>
  <w:num w:numId="2">
    <w:abstractNumId w:val="9"/>
  </w:num>
  <w:num w:numId="3">
    <w:abstractNumId w:val="11"/>
  </w:num>
  <w:num w:numId="4">
    <w:abstractNumId w:val="6"/>
  </w:num>
  <w:num w:numId="5">
    <w:abstractNumId w:val="7"/>
  </w:num>
  <w:num w:numId="6">
    <w:abstractNumId w:val="18"/>
  </w:num>
  <w:num w:numId="7">
    <w:abstractNumId w:val="15"/>
  </w:num>
  <w:num w:numId="8">
    <w:abstractNumId w:val="8"/>
  </w:num>
  <w:num w:numId="9">
    <w:abstractNumId w:val="5"/>
  </w:num>
  <w:num w:numId="10">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11">
    <w:abstractNumId w:val="0"/>
    <w:lvlOverride w:ilvl="0">
      <w:lvl w:ilvl="0">
        <w:numFmt w:val="bullet"/>
        <w:lvlText w:val="-"/>
        <w:legacy w:legacy="1" w:legacySpace="0" w:legacyIndent="0"/>
        <w:lvlJc w:val="left"/>
        <w:pPr>
          <w:ind w:left="0" w:firstLine="0"/>
        </w:pPr>
      </w:lvl>
    </w:lvlOverride>
  </w:num>
  <w:num w:numId="12">
    <w:abstractNumId w:val="20"/>
  </w:num>
  <w:num w:numId="13">
    <w:abstractNumId w:val="17"/>
  </w:num>
  <w:num w:numId="14">
    <w:abstractNumId w:val="16"/>
  </w:num>
  <w:num w:numId="15">
    <w:abstractNumId w:val="19"/>
  </w:num>
  <w:num w:numId="16">
    <w:abstractNumId w:val="4"/>
  </w:num>
  <w:num w:numId="17">
    <w:abstractNumId w:val="14"/>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89"/>
    <w:rsid w:val="000044D0"/>
    <w:rsid w:val="00005171"/>
    <w:rsid w:val="000125A4"/>
    <w:rsid w:val="00012CD7"/>
    <w:rsid w:val="00017258"/>
    <w:rsid w:val="0001730C"/>
    <w:rsid w:val="00024526"/>
    <w:rsid w:val="00025007"/>
    <w:rsid w:val="00027857"/>
    <w:rsid w:val="0004154F"/>
    <w:rsid w:val="00052689"/>
    <w:rsid w:val="0005599D"/>
    <w:rsid w:val="00061129"/>
    <w:rsid w:val="000611BE"/>
    <w:rsid w:val="00075DB3"/>
    <w:rsid w:val="000A0C27"/>
    <w:rsid w:val="000B24C8"/>
    <w:rsid w:val="000B7DA5"/>
    <w:rsid w:val="000C338B"/>
    <w:rsid w:val="000C433F"/>
    <w:rsid w:val="000C54FA"/>
    <w:rsid w:val="000C655E"/>
    <w:rsid w:val="000C7D2E"/>
    <w:rsid w:val="000D4223"/>
    <w:rsid w:val="000D5976"/>
    <w:rsid w:val="000D698B"/>
    <w:rsid w:val="000E3EDE"/>
    <w:rsid w:val="000E4DAF"/>
    <w:rsid w:val="000F2454"/>
    <w:rsid w:val="000F2B17"/>
    <w:rsid w:val="00101F5A"/>
    <w:rsid w:val="001033E1"/>
    <w:rsid w:val="00106B0A"/>
    <w:rsid w:val="00110861"/>
    <w:rsid w:val="00115472"/>
    <w:rsid w:val="00121BE7"/>
    <w:rsid w:val="001246B4"/>
    <w:rsid w:val="00124846"/>
    <w:rsid w:val="00137EF5"/>
    <w:rsid w:val="00154C6D"/>
    <w:rsid w:val="001576C0"/>
    <w:rsid w:val="00160654"/>
    <w:rsid w:val="0016152C"/>
    <w:rsid w:val="00161867"/>
    <w:rsid w:val="00164D46"/>
    <w:rsid w:val="00167211"/>
    <w:rsid w:val="00171FBA"/>
    <w:rsid w:val="001811EC"/>
    <w:rsid w:val="00183444"/>
    <w:rsid w:val="00184722"/>
    <w:rsid w:val="0019526C"/>
    <w:rsid w:val="00197EA3"/>
    <w:rsid w:val="001A0E60"/>
    <w:rsid w:val="001A5E78"/>
    <w:rsid w:val="001B2BD3"/>
    <w:rsid w:val="001B6D3F"/>
    <w:rsid w:val="001B74D5"/>
    <w:rsid w:val="001C2CF5"/>
    <w:rsid w:val="001D0169"/>
    <w:rsid w:val="001D03B7"/>
    <w:rsid w:val="001D1978"/>
    <w:rsid w:val="001D4BBB"/>
    <w:rsid w:val="001E08FC"/>
    <w:rsid w:val="001E29F4"/>
    <w:rsid w:val="001E7151"/>
    <w:rsid w:val="001F1BCB"/>
    <w:rsid w:val="001F3DA2"/>
    <w:rsid w:val="001F622E"/>
    <w:rsid w:val="00200682"/>
    <w:rsid w:val="00200B1A"/>
    <w:rsid w:val="00204111"/>
    <w:rsid w:val="00205F77"/>
    <w:rsid w:val="002101BE"/>
    <w:rsid w:val="002177B9"/>
    <w:rsid w:val="00222902"/>
    <w:rsid w:val="00230874"/>
    <w:rsid w:val="00232B5B"/>
    <w:rsid w:val="00234777"/>
    <w:rsid w:val="00234C41"/>
    <w:rsid w:val="002368D9"/>
    <w:rsid w:val="0024068B"/>
    <w:rsid w:val="002408CA"/>
    <w:rsid w:val="00244EA0"/>
    <w:rsid w:val="00250910"/>
    <w:rsid w:val="00256C04"/>
    <w:rsid w:val="0026360E"/>
    <w:rsid w:val="00263B8A"/>
    <w:rsid w:val="00284B14"/>
    <w:rsid w:val="00290503"/>
    <w:rsid w:val="00291F45"/>
    <w:rsid w:val="00293F6B"/>
    <w:rsid w:val="00296EE1"/>
    <w:rsid w:val="002A0EB1"/>
    <w:rsid w:val="002B14EE"/>
    <w:rsid w:val="002B1ED2"/>
    <w:rsid w:val="002B2F8F"/>
    <w:rsid w:val="002B509E"/>
    <w:rsid w:val="002C402F"/>
    <w:rsid w:val="002C563E"/>
    <w:rsid w:val="002C5DC6"/>
    <w:rsid w:val="002E6438"/>
    <w:rsid w:val="002E7985"/>
    <w:rsid w:val="002F632D"/>
    <w:rsid w:val="00314A09"/>
    <w:rsid w:val="003151BB"/>
    <w:rsid w:val="003271F0"/>
    <w:rsid w:val="003332D3"/>
    <w:rsid w:val="0034082F"/>
    <w:rsid w:val="00340E0F"/>
    <w:rsid w:val="00342B15"/>
    <w:rsid w:val="003434C8"/>
    <w:rsid w:val="00344435"/>
    <w:rsid w:val="0035198C"/>
    <w:rsid w:val="00354811"/>
    <w:rsid w:val="003556A0"/>
    <w:rsid w:val="003570A2"/>
    <w:rsid w:val="00364583"/>
    <w:rsid w:val="00370483"/>
    <w:rsid w:val="0037053B"/>
    <w:rsid w:val="003878CD"/>
    <w:rsid w:val="00392DAF"/>
    <w:rsid w:val="00397823"/>
    <w:rsid w:val="003A4436"/>
    <w:rsid w:val="003B7F80"/>
    <w:rsid w:val="003D0FEE"/>
    <w:rsid w:val="003D240F"/>
    <w:rsid w:val="003D5388"/>
    <w:rsid w:val="003E2852"/>
    <w:rsid w:val="003E5057"/>
    <w:rsid w:val="003F214D"/>
    <w:rsid w:val="003F21BA"/>
    <w:rsid w:val="003F44AF"/>
    <w:rsid w:val="003F5ACC"/>
    <w:rsid w:val="003F6442"/>
    <w:rsid w:val="00401EC0"/>
    <w:rsid w:val="004045E9"/>
    <w:rsid w:val="00406ACF"/>
    <w:rsid w:val="00407CCB"/>
    <w:rsid w:val="0041049D"/>
    <w:rsid w:val="00413700"/>
    <w:rsid w:val="00422622"/>
    <w:rsid w:val="00425049"/>
    <w:rsid w:val="0042587E"/>
    <w:rsid w:val="004265FB"/>
    <w:rsid w:val="00433FCD"/>
    <w:rsid w:val="004359FC"/>
    <w:rsid w:val="0044104D"/>
    <w:rsid w:val="00443600"/>
    <w:rsid w:val="00444FE4"/>
    <w:rsid w:val="00445D3F"/>
    <w:rsid w:val="0045021B"/>
    <w:rsid w:val="00451654"/>
    <w:rsid w:val="0045281F"/>
    <w:rsid w:val="00454DCD"/>
    <w:rsid w:val="00455F7F"/>
    <w:rsid w:val="004638E0"/>
    <w:rsid w:val="00486086"/>
    <w:rsid w:val="004975F5"/>
    <w:rsid w:val="004A358B"/>
    <w:rsid w:val="004B03B1"/>
    <w:rsid w:val="004B1D1A"/>
    <w:rsid w:val="004C56DE"/>
    <w:rsid w:val="004D0231"/>
    <w:rsid w:val="004D6626"/>
    <w:rsid w:val="004E1662"/>
    <w:rsid w:val="004F2277"/>
    <w:rsid w:val="004F4FB3"/>
    <w:rsid w:val="00501EB2"/>
    <w:rsid w:val="00502B0D"/>
    <w:rsid w:val="005314E0"/>
    <w:rsid w:val="00532AF7"/>
    <w:rsid w:val="00545BFE"/>
    <w:rsid w:val="00545DB1"/>
    <w:rsid w:val="00545E7D"/>
    <w:rsid w:val="00546043"/>
    <w:rsid w:val="005468A2"/>
    <w:rsid w:val="005521C6"/>
    <w:rsid w:val="00553763"/>
    <w:rsid w:val="005572C9"/>
    <w:rsid w:val="00566B88"/>
    <w:rsid w:val="00570B82"/>
    <w:rsid w:val="00572036"/>
    <w:rsid w:val="00572359"/>
    <w:rsid w:val="00573C65"/>
    <w:rsid w:val="00575CF1"/>
    <w:rsid w:val="00585917"/>
    <w:rsid w:val="0059303D"/>
    <w:rsid w:val="005970FF"/>
    <w:rsid w:val="005A65B7"/>
    <w:rsid w:val="005B7543"/>
    <w:rsid w:val="005C09C0"/>
    <w:rsid w:val="005C5A1E"/>
    <w:rsid w:val="005C76A8"/>
    <w:rsid w:val="005C7830"/>
    <w:rsid w:val="005D1186"/>
    <w:rsid w:val="005D13B4"/>
    <w:rsid w:val="005D371C"/>
    <w:rsid w:val="005D6435"/>
    <w:rsid w:val="005D71F6"/>
    <w:rsid w:val="005E0B0F"/>
    <w:rsid w:val="005E4AD3"/>
    <w:rsid w:val="005E629C"/>
    <w:rsid w:val="005E7889"/>
    <w:rsid w:val="005F5800"/>
    <w:rsid w:val="005F5912"/>
    <w:rsid w:val="005F593D"/>
    <w:rsid w:val="005F7DFA"/>
    <w:rsid w:val="00601FE1"/>
    <w:rsid w:val="00604712"/>
    <w:rsid w:val="00613F9A"/>
    <w:rsid w:val="00622E01"/>
    <w:rsid w:val="0062388A"/>
    <w:rsid w:val="006341BA"/>
    <w:rsid w:val="0064300A"/>
    <w:rsid w:val="006430E4"/>
    <w:rsid w:val="00645370"/>
    <w:rsid w:val="00645781"/>
    <w:rsid w:val="00645B0E"/>
    <w:rsid w:val="006475D2"/>
    <w:rsid w:val="00657460"/>
    <w:rsid w:val="00657870"/>
    <w:rsid w:val="00664482"/>
    <w:rsid w:val="00671A4B"/>
    <w:rsid w:val="0067550C"/>
    <w:rsid w:val="00675ABD"/>
    <w:rsid w:val="00677212"/>
    <w:rsid w:val="006912C1"/>
    <w:rsid w:val="006914B1"/>
    <w:rsid w:val="00694573"/>
    <w:rsid w:val="006A50DC"/>
    <w:rsid w:val="006B0B55"/>
    <w:rsid w:val="006B18BB"/>
    <w:rsid w:val="006B37B7"/>
    <w:rsid w:val="006C5E9B"/>
    <w:rsid w:val="006C6282"/>
    <w:rsid w:val="006D3466"/>
    <w:rsid w:val="006E154D"/>
    <w:rsid w:val="006E2DB4"/>
    <w:rsid w:val="006E3B31"/>
    <w:rsid w:val="006E52D9"/>
    <w:rsid w:val="006E6207"/>
    <w:rsid w:val="006F059A"/>
    <w:rsid w:val="006F6B3C"/>
    <w:rsid w:val="007016A0"/>
    <w:rsid w:val="00713325"/>
    <w:rsid w:val="00714841"/>
    <w:rsid w:val="00714C7C"/>
    <w:rsid w:val="007152EE"/>
    <w:rsid w:val="00720B38"/>
    <w:rsid w:val="007257B4"/>
    <w:rsid w:val="00726732"/>
    <w:rsid w:val="00727DA1"/>
    <w:rsid w:val="00734FEF"/>
    <w:rsid w:val="00746C6D"/>
    <w:rsid w:val="00750532"/>
    <w:rsid w:val="00750D4B"/>
    <w:rsid w:val="00751DB2"/>
    <w:rsid w:val="00752563"/>
    <w:rsid w:val="00752C68"/>
    <w:rsid w:val="00756298"/>
    <w:rsid w:val="007606D6"/>
    <w:rsid w:val="007619DB"/>
    <w:rsid w:val="007654A1"/>
    <w:rsid w:val="007669B3"/>
    <w:rsid w:val="00766EB8"/>
    <w:rsid w:val="00774045"/>
    <w:rsid w:val="00774392"/>
    <w:rsid w:val="007760E4"/>
    <w:rsid w:val="00790B9C"/>
    <w:rsid w:val="00790FBA"/>
    <w:rsid w:val="007979F3"/>
    <w:rsid w:val="007A2EBA"/>
    <w:rsid w:val="007B255D"/>
    <w:rsid w:val="007B6302"/>
    <w:rsid w:val="007B6594"/>
    <w:rsid w:val="007D6489"/>
    <w:rsid w:val="007F0EC0"/>
    <w:rsid w:val="007F696B"/>
    <w:rsid w:val="007F7A04"/>
    <w:rsid w:val="00802F8B"/>
    <w:rsid w:val="00805556"/>
    <w:rsid w:val="00814E2A"/>
    <w:rsid w:val="00820ED3"/>
    <w:rsid w:val="00825833"/>
    <w:rsid w:val="00825F36"/>
    <w:rsid w:val="00827889"/>
    <w:rsid w:val="00831D40"/>
    <w:rsid w:val="00834B34"/>
    <w:rsid w:val="00841DA4"/>
    <w:rsid w:val="00842F30"/>
    <w:rsid w:val="00845EB6"/>
    <w:rsid w:val="00847BD2"/>
    <w:rsid w:val="00854F12"/>
    <w:rsid w:val="00863A83"/>
    <w:rsid w:val="008666CC"/>
    <w:rsid w:val="008749C6"/>
    <w:rsid w:val="008800D7"/>
    <w:rsid w:val="00883E96"/>
    <w:rsid w:val="00883EC9"/>
    <w:rsid w:val="00887B7B"/>
    <w:rsid w:val="0089000D"/>
    <w:rsid w:val="00893FD9"/>
    <w:rsid w:val="008A19B9"/>
    <w:rsid w:val="008B5CC7"/>
    <w:rsid w:val="008B7CC4"/>
    <w:rsid w:val="008C2D78"/>
    <w:rsid w:val="008D1729"/>
    <w:rsid w:val="008D18B6"/>
    <w:rsid w:val="008D2873"/>
    <w:rsid w:val="008D5752"/>
    <w:rsid w:val="008E27D2"/>
    <w:rsid w:val="008F292A"/>
    <w:rsid w:val="008F3AD9"/>
    <w:rsid w:val="00906496"/>
    <w:rsid w:val="00906E22"/>
    <w:rsid w:val="00907071"/>
    <w:rsid w:val="009152B1"/>
    <w:rsid w:val="00916444"/>
    <w:rsid w:val="009174FA"/>
    <w:rsid w:val="00920BB3"/>
    <w:rsid w:val="009214F4"/>
    <w:rsid w:val="00923C6C"/>
    <w:rsid w:val="009268CF"/>
    <w:rsid w:val="00932EBD"/>
    <w:rsid w:val="00933EA1"/>
    <w:rsid w:val="0093718B"/>
    <w:rsid w:val="0094012A"/>
    <w:rsid w:val="00945D70"/>
    <w:rsid w:val="00947E70"/>
    <w:rsid w:val="0095261C"/>
    <w:rsid w:val="00954467"/>
    <w:rsid w:val="009624D2"/>
    <w:rsid w:val="009632E5"/>
    <w:rsid w:val="00966DCD"/>
    <w:rsid w:val="00983081"/>
    <w:rsid w:val="009969E3"/>
    <w:rsid w:val="00996BA2"/>
    <w:rsid w:val="009A7229"/>
    <w:rsid w:val="009B2B41"/>
    <w:rsid w:val="009C00DE"/>
    <w:rsid w:val="009C1E4D"/>
    <w:rsid w:val="009C4800"/>
    <w:rsid w:val="009C5E0C"/>
    <w:rsid w:val="009F0180"/>
    <w:rsid w:val="009F7572"/>
    <w:rsid w:val="00A01949"/>
    <w:rsid w:val="00A033C4"/>
    <w:rsid w:val="00A14736"/>
    <w:rsid w:val="00A21885"/>
    <w:rsid w:val="00A21E21"/>
    <w:rsid w:val="00A2240F"/>
    <w:rsid w:val="00A36156"/>
    <w:rsid w:val="00A37052"/>
    <w:rsid w:val="00A41830"/>
    <w:rsid w:val="00A41925"/>
    <w:rsid w:val="00A42808"/>
    <w:rsid w:val="00A47BF8"/>
    <w:rsid w:val="00A50B89"/>
    <w:rsid w:val="00A54AD7"/>
    <w:rsid w:val="00A569CC"/>
    <w:rsid w:val="00A611D0"/>
    <w:rsid w:val="00A63417"/>
    <w:rsid w:val="00A659F9"/>
    <w:rsid w:val="00A67B20"/>
    <w:rsid w:val="00A7433D"/>
    <w:rsid w:val="00A748EA"/>
    <w:rsid w:val="00A74C94"/>
    <w:rsid w:val="00A802BD"/>
    <w:rsid w:val="00A82139"/>
    <w:rsid w:val="00A85196"/>
    <w:rsid w:val="00A857EB"/>
    <w:rsid w:val="00A91FCA"/>
    <w:rsid w:val="00AA0182"/>
    <w:rsid w:val="00AA5B39"/>
    <w:rsid w:val="00AA5C94"/>
    <w:rsid w:val="00AB05DD"/>
    <w:rsid w:val="00AB4491"/>
    <w:rsid w:val="00AC4E22"/>
    <w:rsid w:val="00AC5326"/>
    <w:rsid w:val="00AD0CC2"/>
    <w:rsid w:val="00AD3D26"/>
    <w:rsid w:val="00AE37B9"/>
    <w:rsid w:val="00AE3943"/>
    <w:rsid w:val="00AE6156"/>
    <w:rsid w:val="00AF09D4"/>
    <w:rsid w:val="00AF144E"/>
    <w:rsid w:val="00AF24C6"/>
    <w:rsid w:val="00B03288"/>
    <w:rsid w:val="00B050B4"/>
    <w:rsid w:val="00B12CC6"/>
    <w:rsid w:val="00B12F4B"/>
    <w:rsid w:val="00B13BBD"/>
    <w:rsid w:val="00B2371E"/>
    <w:rsid w:val="00B2460A"/>
    <w:rsid w:val="00B27A6C"/>
    <w:rsid w:val="00B30205"/>
    <w:rsid w:val="00B31207"/>
    <w:rsid w:val="00B3381E"/>
    <w:rsid w:val="00B34AF8"/>
    <w:rsid w:val="00B4516E"/>
    <w:rsid w:val="00B53FA1"/>
    <w:rsid w:val="00B56C4A"/>
    <w:rsid w:val="00B6591C"/>
    <w:rsid w:val="00B70FB2"/>
    <w:rsid w:val="00B77D2B"/>
    <w:rsid w:val="00B87780"/>
    <w:rsid w:val="00B908E3"/>
    <w:rsid w:val="00B91791"/>
    <w:rsid w:val="00BA023A"/>
    <w:rsid w:val="00BA0352"/>
    <w:rsid w:val="00BA0541"/>
    <w:rsid w:val="00BA3C33"/>
    <w:rsid w:val="00BA4447"/>
    <w:rsid w:val="00BB121E"/>
    <w:rsid w:val="00BB45B7"/>
    <w:rsid w:val="00BE396F"/>
    <w:rsid w:val="00BE78D6"/>
    <w:rsid w:val="00BF703A"/>
    <w:rsid w:val="00C001FE"/>
    <w:rsid w:val="00C0429D"/>
    <w:rsid w:val="00C06459"/>
    <w:rsid w:val="00C3471A"/>
    <w:rsid w:val="00C544F3"/>
    <w:rsid w:val="00C55953"/>
    <w:rsid w:val="00C567E8"/>
    <w:rsid w:val="00C673FF"/>
    <w:rsid w:val="00C771A9"/>
    <w:rsid w:val="00C91876"/>
    <w:rsid w:val="00C9731F"/>
    <w:rsid w:val="00CA322F"/>
    <w:rsid w:val="00CA44EB"/>
    <w:rsid w:val="00CB09B3"/>
    <w:rsid w:val="00CB2871"/>
    <w:rsid w:val="00CB582F"/>
    <w:rsid w:val="00CB6AB5"/>
    <w:rsid w:val="00CC2B56"/>
    <w:rsid w:val="00CC39B8"/>
    <w:rsid w:val="00CC45CF"/>
    <w:rsid w:val="00CD328D"/>
    <w:rsid w:val="00CE216D"/>
    <w:rsid w:val="00CE2970"/>
    <w:rsid w:val="00CE34A1"/>
    <w:rsid w:val="00CF0867"/>
    <w:rsid w:val="00CF641E"/>
    <w:rsid w:val="00CF6CD3"/>
    <w:rsid w:val="00D02BE1"/>
    <w:rsid w:val="00D04D17"/>
    <w:rsid w:val="00D113E0"/>
    <w:rsid w:val="00D12A9E"/>
    <w:rsid w:val="00D15C9E"/>
    <w:rsid w:val="00D20A11"/>
    <w:rsid w:val="00D23067"/>
    <w:rsid w:val="00D2714A"/>
    <w:rsid w:val="00D3046A"/>
    <w:rsid w:val="00D3463E"/>
    <w:rsid w:val="00D36928"/>
    <w:rsid w:val="00D51269"/>
    <w:rsid w:val="00D54075"/>
    <w:rsid w:val="00D5597F"/>
    <w:rsid w:val="00D654D8"/>
    <w:rsid w:val="00D6706D"/>
    <w:rsid w:val="00D71178"/>
    <w:rsid w:val="00D72F6E"/>
    <w:rsid w:val="00D73280"/>
    <w:rsid w:val="00D814D1"/>
    <w:rsid w:val="00D81B6D"/>
    <w:rsid w:val="00D8565A"/>
    <w:rsid w:val="00D863EB"/>
    <w:rsid w:val="00D93556"/>
    <w:rsid w:val="00D955C2"/>
    <w:rsid w:val="00D95C32"/>
    <w:rsid w:val="00D96EE6"/>
    <w:rsid w:val="00D9735E"/>
    <w:rsid w:val="00DB2A64"/>
    <w:rsid w:val="00DB5C7E"/>
    <w:rsid w:val="00DB70C0"/>
    <w:rsid w:val="00DD00F3"/>
    <w:rsid w:val="00DD2BEA"/>
    <w:rsid w:val="00DD2CAB"/>
    <w:rsid w:val="00DD3D50"/>
    <w:rsid w:val="00DD7FB1"/>
    <w:rsid w:val="00DE4792"/>
    <w:rsid w:val="00DE7BA0"/>
    <w:rsid w:val="00DF0DB3"/>
    <w:rsid w:val="00DF270C"/>
    <w:rsid w:val="00E0468C"/>
    <w:rsid w:val="00E04B40"/>
    <w:rsid w:val="00E05237"/>
    <w:rsid w:val="00E06B96"/>
    <w:rsid w:val="00E119B6"/>
    <w:rsid w:val="00E15DCF"/>
    <w:rsid w:val="00E161E5"/>
    <w:rsid w:val="00E17648"/>
    <w:rsid w:val="00E2056B"/>
    <w:rsid w:val="00E23E68"/>
    <w:rsid w:val="00E25ACF"/>
    <w:rsid w:val="00E3335C"/>
    <w:rsid w:val="00E37A5F"/>
    <w:rsid w:val="00E4030D"/>
    <w:rsid w:val="00E42013"/>
    <w:rsid w:val="00E42436"/>
    <w:rsid w:val="00E42BAA"/>
    <w:rsid w:val="00E445DB"/>
    <w:rsid w:val="00E47B63"/>
    <w:rsid w:val="00E50E1D"/>
    <w:rsid w:val="00E510D7"/>
    <w:rsid w:val="00E549A8"/>
    <w:rsid w:val="00E5711E"/>
    <w:rsid w:val="00E61B1D"/>
    <w:rsid w:val="00E7059C"/>
    <w:rsid w:val="00E72B6D"/>
    <w:rsid w:val="00E75E1A"/>
    <w:rsid w:val="00E8097E"/>
    <w:rsid w:val="00E80DC1"/>
    <w:rsid w:val="00E81D26"/>
    <w:rsid w:val="00E85A77"/>
    <w:rsid w:val="00E87708"/>
    <w:rsid w:val="00E906F1"/>
    <w:rsid w:val="00EA51AD"/>
    <w:rsid w:val="00EB063B"/>
    <w:rsid w:val="00EB3B2E"/>
    <w:rsid w:val="00EB434F"/>
    <w:rsid w:val="00EB6109"/>
    <w:rsid w:val="00EC0229"/>
    <w:rsid w:val="00EC037A"/>
    <w:rsid w:val="00EC16AD"/>
    <w:rsid w:val="00EC2501"/>
    <w:rsid w:val="00EC758D"/>
    <w:rsid w:val="00EC7CA4"/>
    <w:rsid w:val="00ED1601"/>
    <w:rsid w:val="00ED5B45"/>
    <w:rsid w:val="00EE6E8A"/>
    <w:rsid w:val="00EF23DF"/>
    <w:rsid w:val="00F0089B"/>
    <w:rsid w:val="00F00F48"/>
    <w:rsid w:val="00F02E3C"/>
    <w:rsid w:val="00F103F7"/>
    <w:rsid w:val="00F11666"/>
    <w:rsid w:val="00F121A2"/>
    <w:rsid w:val="00F15F33"/>
    <w:rsid w:val="00F266EC"/>
    <w:rsid w:val="00F32BFF"/>
    <w:rsid w:val="00F3539B"/>
    <w:rsid w:val="00F35CCE"/>
    <w:rsid w:val="00F37471"/>
    <w:rsid w:val="00F43292"/>
    <w:rsid w:val="00F4681E"/>
    <w:rsid w:val="00F54435"/>
    <w:rsid w:val="00F54D5A"/>
    <w:rsid w:val="00F56401"/>
    <w:rsid w:val="00F63FA5"/>
    <w:rsid w:val="00F74573"/>
    <w:rsid w:val="00F87179"/>
    <w:rsid w:val="00F915F5"/>
    <w:rsid w:val="00F93451"/>
    <w:rsid w:val="00F94A79"/>
    <w:rsid w:val="00FA5719"/>
    <w:rsid w:val="00FB22BD"/>
    <w:rsid w:val="00FC20FE"/>
    <w:rsid w:val="00FC2FD1"/>
    <w:rsid w:val="00FC4BB9"/>
    <w:rsid w:val="00FC4DCF"/>
    <w:rsid w:val="00FD5E72"/>
    <w:rsid w:val="00FE0EBA"/>
    <w:rsid w:val="00FE10CA"/>
    <w:rsid w:val="00FE30AA"/>
    <w:rsid w:val="00FF1004"/>
    <w:rsid w:val="00FF10FE"/>
    <w:rsid w:val="00FF12CC"/>
    <w:rsid w:val="00FF4069"/>
    <w:rsid w:val="00FF5F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3D940F8F-E2FF-4F0D-B9CE-F81DE1B1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qFormat/>
    <w:pPr>
      <w:keepNext/>
      <w:widowControl w:val="0"/>
      <w:tabs>
        <w:tab w:val="left" w:pos="851"/>
      </w:tabs>
      <w:ind w:left="709"/>
      <w:jc w:val="both"/>
      <w:outlineLvl w:val="0"/>
    </w:pPr>
    <w:rPr>
      <w:snapToGrid w:val="0"/>
      <w:sz w:val="24"/>
    </w:rPr>
  </w:style>
  <w:style w:type="paragraph" w:styleId="Cmsor2">
    <w:name w:val="heading 2"/>
    <w:basedOn w:val="Norml"/>
    <w:next w:val="Norml"/>
    <w:qFormat/>
    <w:pPr>
      <w:keepNext/>
      <w:outlineLvl w:val="1"/>
    </w:pPr>
    <w:rPr>
      <w:snapToGrid w:val="0"/>
      <w:color w:val="000000"/>
      <w:sz w:val="24"/>
    </w:rPr>
  </w:style>
  <w:style w:type="paragraph" w:styleId="Cmsor3">
    <w:name w:val="heading 3"/>
    <w:basedOn w:val="Norml"/>
    <w:next w:val="Norml"/>
    <w:qFormat/>
    <w:pPr>
      <w:keepNext/>
      <w:outlineLvl w:val="2"/>
    </w:pPr>
    <w:rPr>
      <w:i/>
      <w:snapToGrid w:val="0"/>
      <w:color w:val="000000"/>
      <w:sz w:val="24"/>
    </w:rPr>
  </w:style>
  <w:style w:type="paragraph" w:styleId="Cmsor4">
    <w:name w:val="heading 4"/>
    <w:basedOn w:val="Norml"/>
    <w:next w:val="Norml"/>
    <w:qFormat/>
    <w:pPr>
      <w:keepNext/>
      <w:numPr>
        <w:ilvl w:val="12"/>
      </w:numPr>
      <w:tabs>
        <w:tab w:val="right" w:pos="3402"/>
        <w:tab w:val="right" w:pos="5103"/>
        <w:tab w:val="right" w:pos="6804"/>
      </w:tabs>
      <w:jc w:val="both"/>
      <w:outlineLvl w:val="3"/>
    </w:pPr>
    <w:rPr>
      <w:b/>
      <w:i/>
      <w:sz w:val="24"/>
    </w:rPr>
  </w:style>
  <w:style w:type="paragraph" w:styleId="Cmsor5">
    <w:name w:val="heading 5"/>
    <w:basedOn w:val="Norml"/>
    <w:next w:val="Norml"/>
    <w:qFormat/>
    <w:pPr>
      <w:keepNext/>
      <w:numPr>
        <w:ilvl w:val="12"/>
      </w:numPr>
      <w:tabs>
        <w:tab w:val="left" w:pos="284"/>
        <w:tab w:val="right" w:pos="4536"/>
        <w:tab w:val="right" w:pos="6804"/>
        <w:tab w:val="right" w:pos="8789"/>
      </w:tabs>
      <w:jc w:val="both"/>
      <w:outlineLvl w:val="4"/>
    </w:pPr>
    <w:rPr>
      <w:sz w:val="24"/>
    </w:rPr>
  </w:style>
  <w:style w:type="paragraph" w:styleId="Cmsor6">
    <w:name w:val="heading 6"/>
    <w:basedOn w:val="Norml"/>
    <w:next w:val="Norml"/>
    <w:qFormat/>
    <w:pPr>
      <w:keepNext/>
      <w:tabs>
        <w:tab w:val="left" w:pos="851"/>
      </w:tabs>
      <w:ind w:left="1418"/>
      <w:jc w:val="both"/>
      <w:outlineLvl w:val="5"/>
    </w:pPr>
    <w:rPr>
      <w:sz w:val="24"/>
    </w:rPr>
  </w:style>
  <w:style w:type="paragraph" w:styleId="Cmsor7">
    <w:name w:val="heading 7"/>
    <w:basedOn w:val="Norml"/>
    <w:next w:val="Norml"/>
    <w:qFormat/>
    <w:pPr>
      <w:keepNext/>
      <w:tabs>
        <w:tab w:val="left" w:pos="851"/>
      </w:tabs>
      <w:ind w:left="709" w:firstLine="709"/>
      <w:jc w:val="both"/>
      <w:outlineLvl w:val="6"/>
    </w:pPr>
    <w:rPr>
      <w:sz w:val="24"/>
    </w:rPr>
  </w:style>
  <w:style w:type="paragraph" w:styleId="Cmsor8">
    <w:name w:val="heading 8"/>
    <w:basedOn w:val="Norml"/>
    <w:next w:val="Norml"/>
    <w:qFormat/>
    <w:pPr>
      <w:keepNext/>
      <w:jc w:val="both"/>
      <w:outlineLvl w:val="7"/>
    </w:pPr>
    <w:rPr>
      <w:b/>
      <w:i/>
      <w:sz w:val="28"/>
    </w:rPr>
  </w:style>
  <w:style w:type="paragraph" w:styleId="Cmsor9">
    <w:name w:val="heading 9"/>
    <w:basedOn w:val="Norml"/>
    <w:next w:val="Norml"/>
    <w:qFormat/>
    <w:pPr>
      <w:keepNext/>
      <w:tabs>
        <w:tab w:val="right" w:pos="6237"/>
      </w:tabs>
      <w:ind w:left="709"/>
      <w:outlineLvl w:val="8"/>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emiHidden/>
  </w:style>
  <w:style w:type="paragraph" w:styleId="Szvegtrzsbehzssal">
    <w:name w:val="Body Text Indent"/>
    <w:basedOn w:val="Norml"/>
    <w:semiHidden/>
    <w:pPr>
      <w:tabs>
        <w:tab w:val="left" w:pos="567"/>
        <w:tab w:val="left" w:pos="1134"/>
        <w:tab w:val="right" w:pos="3686"/>
        <w:tab w:val="right" w:pos="5103"/>
        <w:tab w:val="right" w:pos="6946"/>
      </w:tabs>
      <w:ind w:firstLine="1"/>
      <w:jc w:val="both"/>
    </w:pPr>
    <w:rPr>
      <w:sz w:val="24"/>
    </w:rPr>
  </w:style>
  <w:style w:type="paragraph" w:styleId="Szvegtrzs">
    <w:name w:val="Body Text"/>
    <w:basedOn w:val="Norml"/>
    <w:semiHidden/>
    <w:pPr>
      <w:jc w:val="both"/>
    </w:pPr>
    <w:rPr>
      <w:sz w:val="24"/>
    </w:rPr>
  </w:style>
  <w:style w:type="paragraph" w:styleId="Szvegtrzs2">
    <w:name w:val="Body Text 2"/>
    <w:basedOn w:val="Norml"/>
    <w:semiHidden/>
    <w:pPr>
      <w:numPr>
        <w:ilvl w:val="12"/>
      </w:numPr>
      <w:tabs>
        <w:tab w:val="right" w:pos="3402"/>
        <w:tab w:val="right" w:pos="5103"/>
        <w:tab w:val="right" w:pos="6804"/>
      </w:tabs>
      <w:ind w:right="-143"/>
      <w:jc w:val="both"/>
    </w:pPr>
    <w:rPr>
      <w:sz w:val="24"/>
    </w:rPr>
  </w:style>
  <w:style w:type="paragraph" w:styleId="Szvegtrzs3">
    <w:name w:val="Body Text 3"/>
    <w:basedOn w:val="Norml"/>
    <w:semiHidden/>
    <w:pPr>
      <w:ind w:right="282"/>
      <w:jc w:val="both"/>
    </w:pPr>
    <w:rPr>
      <w:sz w:val="24"/>
    </w:rPr>
  </w:style>
  <w:style w:type="paragraph" w:styleId="lfej">
    <w:name w:val="header"/>
    <w:basedOn w:val="Norml"/>
    <w:semiHidden/>
    <w:pPr>
      <w:tabs>
        <w:tab w:val="center" w:pos="4536"/>
        <w:tab w:val="right" w:pos="9072"/>
      </w:tabs>
    </w:pPr>
  </w:style>
  <w:style w:type="paragraph" w:styleId="Szvegtrzsbehzssal2">
    <w:name w:val="Body Text Indent 2"/>
    <w:basedOn w:val="Norml"/>
    <w:semiHidden/>
    <w:pPr>
      <w:tabs>
        <w:tab w:val="left" w:pos="709"/>
        <w:tab w:val="right" w:pos="5103"/>
        <w:tab w:val="right" w:pos="6804"/>
      </w:tabs>
      <w:ind w:left="851" w:hanging="851"/>
      <w:jc w:val="both"/>
    </w:pPr>
    <w:rPr>
      <w:sz w:val="24"/>
    </w:rPr>
  </w:style>
  <w:style w:type="paragraph" w:styleId="Dokumentumtrkp">
    <w:name w:val="Document Map"/>
    <w:basedOn w:val="Norml"/>
    <w:semiHidden/>
    <w:pPr>
      <w:shd w:val="clear" w:color="auto" w:fill="000080"/>
    </w:pPr>
    <w:rPr>
      <w:rFonts w:ascii="Tahoma" w:hAnsi="Tahoma"/>
    </w:rPr>
  </w:style>
  <w:style w:type="paragraph" w:customStyle="1" w:styleId="Szvegtrzs31">
    <w:name w:val="Szövegtörzs 31"/>
    <w:basedOn w:val="Norml"/>
    <w:pPr>
      <w:widowControl w:val="0"/>
      <w:overflowPunct w:val="0"/>
      <w:autoSpaceDE w:val="0"/>
      <w:autoSpaceDN w:val="0"/>
      <w:adjustRightInd w:val="0"/>
      <w:jc w:val="both"/>
      <w:textAlignment w:val="baseline"/>
    </w:pPr>
    <w:rPr>
      <w:sz w:val="24"/>
      <w14:shadow w14:blurRad="50800" w14:dist="38100" w14:dir="2700000" w14:sx="100000" w14:sy="100000" w14:kx="0" w14:ky="0" w14:algn="tl">
        <w14:srgbClr w14:val="000000">
          <w14:alpha w14:val="60000"/>
        </w14:srgbClr>
      </w14:shadow>
    </w:rPr>
  </w:style>
  <w:style w:type="paragraph" w:customStyle="1" w:styleId="xl28">
    <w:name w:val="xl28"/>
    <w:basedOn w:val="Norml"/>
    <w:uiPriority w:val="99"/>
    <w:pPr>
      <w:spacing w:before="100" w:beforeAutospacing="1" w:after="100" w:afterAutospacing="1"/>
    </w:pPr>
    <w:rPr>
      <w:rFonts w:eastAsia="Arial Unicode MS"/>
      <w:sz w:val="24"/>
      <w:szCs w:val="24"/>
    </w:rPr>
  </w:style>
  <w:style w:type="paragraph" w:customStyle="1" w:styleId="xl45">
    <w:name w:val="xl45"/>
    <w:basedOn w:val="Norml"/>
    <w:pPr>
      <w:spacing w:before="100" w:beforeAutospacing="1" w:after="100" w:afterAutospacing="1"/>
    </w:pPr>
    <w:rPr>
      <w:rFonts w:eastAsia="Arial Unicode MS" w:cs="Arial Unicode MS"/>
      <w:i/>
      <w:iCs/>
      <w:sz w:val="22"/>
      <w:szCs w:val="22"/>
    </w:rPr>
  </w:style>
  <w:style w:type="paragraph" w:customStyle="1" w:styleId="xl30">
    <w:name w:val="xl30"/>
    <w:basedOn w:val="Norml"/>
    <w:pPr>
      <w:spacing w:before="100" w:beforeAutospacing="1" w:after="100" w:afterAutospacing="1"/>
    </w:pPr>
    <w:rPr>
      <w:rFonts w:eastAsia="Arial Unicode MS" w:cs="Arial Unicode MS"/>
      <w:sz w:val="22"/>
      <w:szCs w:val="22"/>
    </w:rPr>
  </w:style>
  <w:style w:type="paragraph" w:styleId="Szvegtrzsbehzssal3">
    <w:name w:val="Body Text Indent 3"/>
    <w:basedOn w:val="Norml"/>
    <w:link w:val="Szvegtrzsbehzssal3Char"/>
    <w:semiHidden/>
    <w:pPr>
      <w:ind w:left="284" w:hanging="142"/>
      <w:jc w:val="both"/>
    </w:pPr>
    <w:rPr>
      <w:sz w:val="24"/>
    </w:rPr>
  </w:style>
  <w:style w:type="character" w:styleId="Jegyzethivatkozs">
    <w:name w:val="annotation reference"/>
    <w:semiHidden/>
    <w:rPr>
      <w:sz w:val="16"/>
      <w:szCs w:val="16"/>
    </w:rPr>
  </w:style>
  <w:style w:type="paragraph" w:styleId="Jegyzetszveg">
    <w:name w:val="annotation text"/>
    <w:basedOn w:val="Norml"/>
    <w:semiHidden/>
  </w:style>
  <w:style w:type="paragraph" w:styleId="NormlWeb">
    <w:name w:val="Normal (Web)"/>
    <w:basedOn w:val="Norml"/>
    <w:semiHidden/>
    <w:pPr>
      <w:spacing w:before="100" w:beforeAutospacing="1"/>
    </w:pPr>
    <w:rPr>
      <w:rFonts w:ascii="Arial Unicode MS" w:eastAsia="Arial Unicode MS" w:hAnsi="Arial Unicode MS"/>
      <w:sz w:val="24"/>
      <w:szCs w:val="24"/>
    </w:rPr>
  </w:style>
  <w:style w:type="character" w:styleId="Kiemels2">
    <w:name w:val="Strong"/>
    <w:qFormat/>
    <w:rPr>
      <w:b/>
      <w:bCs/>
    </w:rPr>
  </w:style>
  <w:style w:type="paragraph" w:customStyle="1" w:styleId="font5">
    <w:name w:val="font5"/>
    <w:basedOn w:val="Norml"/>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Norml"/>
    <w:pPr>
      <w:spacing w:before="100" w:beforeAutospacing="1" w:after="100" w:afterAutospacing="1"/>
    </w:pPr>
    <w:rPr>
      <w:rFonts w:ascii="Tahoma" w:eastAsia="Arial Unicode MS" w:hAnsi="Tahoma" w:cs="Tahoma"/>
      <w:b/>
      <w:bCs/>
      <w:color w:val="000000"/>
      <w:sz w:val="16"/>
      <w:szCs w:val="16"/>
    </w:rPr>
  </w:style>
  <w:style w:type="paragraph" w:customStyle="1" w:styleId="xl29">
    <w:name w:val="xl29"/>
    <w:basedOn w:val="Norml"/>
    <w:pPr>
      <w:spacing w:before="100" w:beforeAutospacing="1" w:after="100" w:afterAutospacing="1"/>
    </w:pPr>
    <w:rPr>
      <w:rFonts w:eastAsia="Arial Unicode MS" w:cs="Arial Unicode MS"/>
      <w:sz w:val="24"/>
      <w:szCs w:val="24"/>
    </w:rPr>
  </w:style>
  <w:style w:type="paragraph" w:customStyle="1" w:styleId="xl31">
    <w:name w:val="xl31"/>
    <w:basedOn w:val="Norml"/>
    <w:pPr>
      <w:spacing w:before="100" w:beforeAutospacing="1" w:after="100" w:afterAutospacing="1"/>
    </w:pPr>
    <w:rPr>
      <w:rFonts w:eastAsia="Arial Unicode MS" w:cs="Arial Unicode MS"/>
      <w:sz w:val="24"/>
      <w:szCs w:val="24"/>
    </w:rPr>
  </w:style>
  <w:style w:type="paragraph" w:customStyle="1" w:styleId="xl32">
    <w:name w:val="xl32"/>
    <w:basedOn w:val="Norml"/>
    <w:pPr>
      <w:pBdr>
        <w:bottom w:val="single" w:sz="4" w:space="0" w:color="auto"/>
      </w:pBdr>
      <w:spacing w:before="100" w:beforeAutospacing="1" w:after="100" w:afterAutospacing="1"/>
      <w:jc w:val="center"/>
    </w:pPr>
    <w:rPr>
      <w:rFonts w:eastAsia="Arial Unicode MS" w:cs="Arial Unicode MS"/>
      <w:sz w:val="24"/>
      <w:szCs w:val="24"/>
    </w:rPr>
  </w:style>
  <w:style w:type="paragraph" w:customStyle="1" w:styleId="xl33">
    <w:name w:val="xl33"/>
    <w:basedOn w:val="Norml"/>
    <w:pPr>
      <w:spacing w:before="100" w:beforeAutospacing="1" w:after="100" w:afterAutospacing="1"/>
    </w:pPr>
    <w:rPr>
      <w:rFonts w:eastAsia="Arial Unicode MS" w:cs="Arial Unicode MS"/>
      <w:sz w:val="24"/>
      <w:szCs w:val="24"/>
    </w:rPr>
  </w:style>
  <w:style w:type="paragraph" w:customStyle="1" w:styleId="xl34">
    <w:name w:val="xl34"/>
    <w:basedOn w:val="Norml"/>
    <w:pPr>
      <w:spacing w:before="100" w:beforeAutospacing="1" w:after="100" w:afterAutospacing="1"/>
    </w:pPr>
    <w:rPr>
      <w:rFonts w:eastAsia="Arial Unicode MS" w:cs="Arial Unicode MS"/>
      <w:sz w:val="24"/>
      <w:szCs w:val="24"/>
    </w:rPr>
  </w:style>
  <w:style w:type="paragraph" w:customStyle="1" w:styleId="xl35">
    <w:name w:val="xl35"/>
    <w:basedOn w:val="Norml"/>
    <w:pPr>
      <w:spacing w:before="100" w:beforeAutospacing="1" w:after="100" w:afterAutospacing="1"/>
    </w:pPr>
    <w:rPr>
      <w:rFonts w:eastAsia="Arial Unicode MS" w:cs="Arial Unicode MS"/>
      <w:sz w:val="24"/>
      <w:szCs w:val="24"/>
    </w:rPr>
  </w:style>
  <w:style w:type="paragraph" w:customStyle="1" w:styleId="xl24">
    <w:name w:val="xl24"/>
    <w:basedOn w:val="Norml"/>
    <w:pPr>
      <w:spacing w:before="100" w:beforeAutospacing="1" w:after="100" w:afterAutospacing="1"/>
    </w:pPr>
    <w:rPr>
      <w:rFonts w:ascii="Arial" w:eastAsia="Arial Unicode MS" w:hAnsi="Arial" w:cs="Arial Unicode MS"/>
      <w:b/>
      <w:bCs/>
      <w:sz w:val="24"/>
      <w:szCs w:val="24"/>
    </w:rPr>
  </w:style>
  <w:style w:type="paragraph" w:customStyle="1" w:styleId="xl26">
    <w:name w:val="xl26"/>
    <w:basedOn w:val="Norml"/>
    <w:pPr>
      <w:spacing w:before="100" w:beforeAutospacing="1" w:after="100" w:afterAutospacing="1"/>
    </w:pPr>
    <w:rPr>
      <w:rFonts w:ascii="Arial Unicode MS" w:eastAsia="Arial Unicode MS" w:hAnsi="Arial Unicode MS" w:cs="Arial Unicode MS"/>
      <w:b/>
      <w:bCs/>
      <w:sz w:val="24"/>
      <w:szCs w:val="24"/>
    </w:rPr>
  </w:style>
  <w:style w:type="paragraph" w:customStyle="1" w:styleId="xl25">
    <w:name w:val="xl25"/>
    <w:basedOn w:val="Norml"/>
    <w:pPr>
      <w:spacing w:before="100" w:beforeAutospacing="1" w:after="100" w:afterAutospacing="1"/>
    </w:pPr>
    <w:rPr>
      <w:rFonts w:ascii="Arial Unicode MS" w:eastAsia="Arial Unicode MS" w:hAnsi="Arial Unicode MS" w:cs="Arial Unicode MS"/>
      <w:b/>
      <w:bCs/>
      <w:sz w:val="24"/>
      <w:szCs w:val="24"/>
    </w:rPr>
  </w:style>
  <w:style w:type="paragraph" w:styleId="Szvegblokk">
    <w:name w:val="Block Text"/>
    <w:basedOn w:val="Norml"/>
    <w:semiHidden/>
    <w:pPr>
      <w:ind w:left="567" w:right="142" w:hanging="141"/>
      <w:jc w:val="both"/>
    </w:pPr>
    <w:rPr>
      <w:sz w:val="24"/>
    </w:rPr>
  </w:style>
  <w:style w:type="paragraph" w:customStyle="1" w:styleId="szovegtorzs">
    <w:name w:val="_szovegtorzs"/>
    <w:basedOn w:val="Norml"/>
    <w:pPr>
      <w:tabs>
        <w:tab w:val="left" w:pos="284"/>
      </w:tabs>
      <w:overflowPunct w:val="0"/>
      <w:autoSpaceDE w:val="0"/>
      <w:autoSpaceDN w:val="0"/>
      <w:adjustRightInd w:val="0"/>
      <w:spacing w:line="240" w:lineRule="atLeast"/>
      <w:ind w:firstLine="284"/>
      <w:jc w:val="both"/>
    </w:pPr>
  </w:style>
  <w:style w:type="paragraph" w:customStyle="1" w:styleId="Alaprtelmezs">
    <w:name w:val="Alapértelmezés"/>
    <w:pPr>
      <w:widowControl w:val="0"/>
      <w:suppressAutoHyphens/>
    </w:pPr>
    <w:rPr>
      <w:rFonts w:ascii="MS Sans Serif" w:eastAsia="Arial" w:hAnsi="MS Sans Serif"/>
      <w:kern w:val="1"/>
      <w:szCs w:val="24"/>
      <w:lang w:eastAsia="ar-SA"/>
    </w:rPr>
  </w:style>
  <w:style w:type="paragraph" w:customStyle="1" w:styleId="xl36">
    <w:name w:val="xl36"/>
    <w:basedOn w:val="Norml"/>
    <w:pPr>
      <w:pBdr>
        <w:bottom w:val="single" w:sz="4" w:space="0" w:color="auto"/>
      </w:pBdr>
      <w:spacing w:before="100" w:beforeAutospacing="1" w:after="100" w:afterAutospacing="1"/>
      <w:jc w:val="right"/>
    </w:pPr>
    <w:rPr>
      <w:sz w:val="22"/>
      <w:szCs w:val="22"/>
    </w:rPr>
  </w:style>
  <w:style w:type="paragraph" w:customStyle="1" w:styleId="xl37">
    <w:name w:val="xl37"/>
    <w:basedOn w:val="Norml"/>
    <w:pPr>
      <w:spacing w:before="100" w:beforeAutospacing="1" w:after="100" w:afterAutospacing="1"/>
    </w:pPr>
    <w:rPr>
      <w:sz w:val="22"/>
      <w:szCs w:val="22"/>
    </w:rPr>
  </w:style>
  <w:style w:type="paragraph" w:customStyle="1" w:styleId="xl38">
    <w:name w:val="xl38"/>
    <w:basedOn w:val="Norml"/>
    <w:pPr>
      <w:pBdr>
        <w:bottom w:val="single" w:sz="4" w:space="0" w:color="auto"/>
      </w:pBdr>
      <w:spacing w:before="100" w:beforeAutospacing="1" w:after="100" w:afterAutospacing="1"/>
    </w:pPr>
    <w:rPr>
      <w:sz w:val="22"/>
      <w:szCs w:val="22"/>
    </w:rPr>
  </w:style>
  <w:style w:type="paragraph" w:customStyle="1" w:styleId="xl39">
    <w:name w:val="xl39"/>
    <w:basedOn w:val="Norml"/>
    <w:pPr>
      <w:pBdr>
        <w:top w:val="single" w:sz="4" w:space="0" w:color="auto"/>
        <w:bottom w:val="single" w:sz="4" w:space="0" w:color="auto"/>
      </w:pBdr>
      <w:spacing w:before="100" w:beforeAutospacing="1" w:after="100" w:afterAutospacing="1"/>
    </w:pPr>
    <w:rPr>
      <w:b/>
      <w:bCs/>
      <w:i/>
      <w:iCs/>
      <w:sz w:val="22"/>
      <w:szCs w:val="22"/>
    </w:rPr>
  </w:style>
  <w:style w:type="paragraph" w:customStyle="1" w:styleId="xl40">
    <w:name w:val="xl40"/>
    <w:basedOn w:val="Norml"/>
    <w:pPr>
      <w:pBdr>
        <w:top w:val="single" w:sz="4" w:space="0" w:color="auto"/>
        <w:bottom w:val="single" w:sz="4" w:space="0" w:color="auto"/>
      </w:pBdr>
      <w:spacing w:before="100" w:beforeAutospacing="1" w:after="100" w:afterAutospacing="1"/>
    </w:pPr>
    <w:rPr>
      <w:b/>
      <w:bCs/>
      <w:i/>
      <w:iCs/>
      <w:sz w:val="22"/>
      <w:szCs w:val="22"/>
    </w:rPr>
  </w:style>
  <w:style w:type="paragraph" w:customStyle="1" w:styleId="xl41">
    <w:name w:val="xl41"/>
    <w:basedOn w:val="Norml"/>
    <w:pPr>
      <w:pBdr>
        <w:top w:val="single" w:sz="4" w:space="0" w:color="auto"/>
        <w:bottom w:val="single" w:sz="4" w:space="0" w:color="auto"/>
      </w:pBdr>
      <w:spacing w:before="100" w:beforeAutospacing="1" w:after="100" w:afterAutospacing="1"/>
    </w:pPr>
    <w:rPr>
      <w:b/>
      <w:bCs/>
      <w:i/>
      <w:iCs/>
      <w:sz w:val="22"/>
      <w:szCs w:val="22"/>
    </w:rPr>
  </w:style>
  <w:style w:type="paragraph" w:customStyle="1" w:styleId="xl42">
    <w:name w:val="xl42"/>
    <w:basedOn w:val="Norml"/>
    <w:pPr>
      <w:spacing w:before="100" w:beforeAutospacing="1" w:after="100" w:afterAutospacing="1"/>
    </w:pPr>
    <w:rPr>
      <w:sz w:val="22"/>
      <w:szCs w:val="22"/>
    </w:rPr>
  </w:style>
  <w:style w:type="paragraph" w:customStyle="1" w:styleId="xl43">
    <w:name w:val="xl43"/>
    <w:basedOn w:val="Norml"/>
    <w:pPr>
      <w:spacing w:before="100" w:beforeAutospacing="1" w:after="100" w:afterAutospacing="1"/>
      <w:jc w:val="right"/>
    </w:pPr>
    <w:rPr>
      <w:sz w:val="22"/>
      <w:szCs w:val="22"/>
    </w:rPr>
  </w:style>
  <w:style w:type="paragraph" w:customStyle="1" w:styleId="xl44">
    <w:name w:val="xl44"/>
    <w:basedOn w:val="Norml"/>
    <w:pPr>
      <w:pBdr>
        <w:top w:val="single" w:sz="4" w:space="0" w:color="auto"/>
        <w:bottom w:val="single" w:sz="4" w:space="0" w:color="auto"/>
      </w:pBdr>
      <w:spacing w:before="100" w:beforeAutospacing="1" w:after="100" w:afterAutospacing="1"/>
      <w:textAlignment w:val="center"/>
    </w:pPr>
    <w:rPr>
      <w:i/>
      <w:iCs/>
      <w:sz w:val="22"/>
      <w:szCs w:val="22"/>
    </w:rPr>
  </w:style>
  <w:style w:type="paragraph" w:customStyle="1" w:styleId="xl46">
    <w:name w:val="xl46"/>
    <w:basedOn w:val="Norml"/>
    <w:pPr>
      <w:spacing w:before="100" w:beforeAutospacing="1" w:after="100" w:afterAutospacing="1"/>
      <w:jc w:val="center"/>
      <w:textAlignment w:val="center"/>
    </w:pPr>
    <w:rPr>
      <w:b/>
      <w:bCs/>
      <w:sz w:val="22"/>
      <w:szCs w:val="22"/>
    </w:rPr>
  </w:style>
  <w:style w:type="paragraph" w:customStyle="1" w:styleId="xl47">
    <w:name w:val="xl47"/>
    <w:basedOn w:val="Norml"/>
    <w:pPr>
      <w:spacing w:before="100" w:beforeAutospacing="1" w:after="100" w:afterAutospacing="1"/>
      <w:jc w:val="center"/>
      <w:textAlignment w:val="center"/>
    </w:pPr>
    <w:rPr>
      <w:b/>
      <w:bCs/>
      <w:sz w:val="22"/>
      <w:szCs w:val="22"/>
    </w:rPr>
  </w:style>
  <w:style w:type="paragraph" w:customStyle="1" w:styleId="xl48">
    <w:name w:val="xl48"/>
    <w:basedOn w:val="Norml"/>
    <w:pPr>
      <w:spacing w:before="100" w:beforeAutospacing="1" w:after="100" w:afterAutospacing="1"/>
    </w:pPr>
    <w:rPr>
      <w:i/>
      <w:iCs/>
      <w:sz w:val="22"/>
      <w:szCs w:val="22"/>
    </w:rPr>
  </w:style>
  <w:style w:type="paragraph" w:customStyle="1" w:styleId="xl49">
    <w:name w:val="xl49"/>
    <w:basedOn w:val="Norml"/>
    <w:pPr>
      <w:spacing w:before="100" w:beforeAutospacing="1" w:after="100" w:afterAutospacing="1"/>
      <w:jc w:val="right"/>
    </w:pPr>
    <w:rPr>
      <w:i/>
      <w:iCs/>
      <w:sz w:val="22"/>
      <w:szCs w:val="22"/>
    </w:rPr>
  </w:style>
  <w:style w:type="paragraph" w:customStyle="1" w:styleId="xl50">
    <w:name w:val="xl50"/>
    <w:basedOn w:val="Norml"/>
    <w:pPr>
      <w:spacing w:before="100" w:beforeAutospacing="1" w:after="100" w:afterAutospacing="1"/>
    </w:pPr>
    <w:rPr>
      <w:i/>
      <w:iCs/>
      <w:sz w:val="22"/>
      <w:szCs w:val="22"/>
    </w:rPr>
  </w:style>
  <w:style w:type="paragraph" w:customStyle="1" w:styleId="xl51">
    <w:name w:val="xl51"/>
    <w:basedOn w:val="Norml"/>
    <w:pPr>
      <w:spacing w:before="100" w:beforeAutospacing="1" w:after="100" w:afterAutospacing="1"/>
    </w:pPr>
    <w:rPr>
      <w:i/>
      <w:iCs/>
      <w:sz w:val="22"/>
      <w:szCs w:val="22"/>
    </w:rPr>
  </w:style>
  <w:style w:type="paragraph" w:customStyle="1" w:styleId="xl52">
    <w:name w:val="xl52"/>
    <w:basedOn w:val="Norml"/>
    <w:pPr>
      <w:spacing w:before="100" w:beforeAutospacing="1" w:after="100" w:afterAutospacing="1"/>
    </w:pPr>
    <w:rPr>
      <w:sz w:val="22"/>
      <w:szCs w:val="22"/>
    </w:rPr>
  </w:style>
  <w:style w:type="paragraph" w:customStyle="1" w:styleId="xl53">
    <w:name w:val="xl53"/>
    <w:basedOn w:val="Norml"/>
    <w:pPr>
      <w:spacing w:before="100" w:beforeAutospacing="1" w:after="100" w:afterAutospacing="1"/>
    </w:pPr>
    <w:rPr>
      <w:sz w:val="24"/>
      <w:szCs w:val="24"/>
    </w:rPr>
  </w:style>
  <w:style w:type="paragraph" w:customStyle="1" w:styleId="xl54">
    <w:name w:val="xl54"/>
    <w:basedOn w:val="Norml"/>
    <w:pPr>
      <w:pBdr>
        <w:bottom w:val="single" w:sz="4" w:space="0" w:color="auto"/>
      </w:pBdr>
      <w:spacing w:before="100" w:beforeAutospacing="1" w:after="100" w:afterAutospacing="1"/>
    </w:pPr>
    <w:rPr>
      <w:sz w:val="22"/>
      <w:szCs w:val="22"/>
    </w:rPr>
  </w:style>
  <w:style w:type="paragraph" w:customStyle="1" w:styleId="xl55">
    <w:name w:val="xl55"/>
    <w:basedOn w:val="Norml"/>
    <w:pPr>
      <w:spacing w:before="100" w:beforeAutospacing="1" w:after="100" w:afterAutospacing="1"/>
    </w:pPr>
    <w:rPr>
      <w:i/>
      <w:iCs/>
      <w:sz w:val="22"/>
      <w:szCs w:val="22"/>
    </w:rPr>
  </w:style>
  <w:style w:type="paragraph" w:customStyle="1" w:styleId="xl56">
    <w:name w:val="xl56"/>
    <w:basedOn w:val="Norml"/>
    <w:pPr>
      <w:pBdr>
        <w:top w:val="single" w:sz="4" w:space="0" w:color="auto"/>
        <w:bottom w:val="single" w:sz="4" w:space="0" w:color="auto"/>
      </w:pBdr>
      <w:spacing w:before="100" w:beforeAutospacing="1" w:after="100" w:afterAutospacing="1"/>
    </w:pPr>
    <w:rPr>
      <w:b/>
      <w:bCs/>
      <w:i/>
      <w:iCs/>
      <w:sz w:val="22"/>
      <w:szCs w:val="22"/>
    </w:rPr>
  </w:style>
  <w:style w:type="character" w:customStyle="1" w:styleId="WW8Num15z0">
    <w:name w:val="WW8Num15z0"/>
    <w:rPr>
      <w:rFonts w:ascii="Symbol" w:hAnsi="Symbol"/>
      <w:sz w:val="20"/>
    </w:rPr>
  </w:style>
  <w:style w:type="paragraph" w:styleId="Kpalrs">
    <w:name w:val="caption"/>
    <w:basedOn w:val="Norml"/>
    <w:next w:val="Norml"/>
    <w:qFormat/>
    <w:pPr>
      <w:ind w:right="-142"/>
      <w:jc w:val="both"/>
    </w:pPr>
    <w:rPr>
      <w:i/>
      <w:iCs/>
      <w:sz w:val="22"/>
    </w:rPr>
  </w:style>
  <w:style w:type="character" w:customStyle="1" w:styleId="WW8Num6z0">
    <w:name w:val="WW8Num6z0"/>
    <w:rPr>
      <w:rFonts w:ascii="Symbol" w:hAnsi="Symbol"/>
      <w:sz w:val="20"/>
    </w:rPr>
  </w:style>
  <w:style w:type="character" w:styleId="Hiperhivatkozs">
    <w:name w:val="Hyperlink"/>
    <w:uiPriority w:val="99"/>
    <w:rPr>
      <w:color w:val="0000FF"/>
      <w:u w:val="single"/>
    </w:rPr>
  </w:style>
  <w:style w:type="paragraph" w:customStyle="1" w:styleId="Felcim">
    <w:name w:val="Felcim"/>
    <w:basedOn w:val="Norml"/>
    <w:pPr>
      <w:tabs>
        <w:tab w:val="left" w:pos="1134"/>
      </w:tabs>
      <w:jc w:val="both"/>
    </w:pPr>
    <w:rPr>
      <w:rFonts w:ascii="Arial" w:hAnsi="Arial"/>
      <w:sz w:val="24"/>
    </w:rPr>
  </w:style>
  <w:style w:type="character" w:styleId="Mrltotthiperhivatkozs">
    <w:name w:val="FollowedHyperlink"/>
    <w:semiHidden/>
    <w:rPr>
      <w:color w:val="800080"/>
      <w:u w:val="single"/>
    </w:rPr>
  </w:style>
  <w:style w:type="paragraph" w:styleId="Lista">
    <w:name w:val="List"/>
    <w:basedOn w:val="Szvegtrzs"/>
    <w:semiHidden/>
    <w:pPr>
      <w:widowControl w:val="0"/>
      <w:suppressAutoHyphens/>
      <w:spacing w:after="120"/>
      <w:jc w:val="left"/>
    </w:pPr>
    <w:rPr>
      <w:rFonts w:eastAsia="Arial Unicode MS" w:cs="Tahoma"/>
      <w:kern w:val="1"/>
      <w:szCs w:val="24"/>
    </w:rPr>
  </w:style>
  <w:style w:type="paragraph" w:customStyle="1" w:styleId="n">
    <w:name w:val="n"/>
    <w:basedOn w:val="Norml"/>
    <w:pPr>
      <w:widowControl w:val="0"/>
      <w:suppressAutoHyphens/>
      <w:jc w:val="both"/>
    </w:pPr>
    <w:rPr>
      <w:rFonts w:eastAsia="Arial Unicode MS" w:cs="Tahoma"/>
      <w:kern w:val="1"/>
      <w:sz w:val="24"/>
      <w:szCs w:val="24"/>
    </w:rPr>
  </w:style>
  <w:style w:type="paragraph" w:styleId="TJ1">
    <w:name w:val="toc 1"/>
    <w:basedOn w:val="Norml"/>
    <w:next w:val="Norml"/>
    <w:autoRedefine/>
    <w:uiPriority w:val="39"/>
    <w:rsid w:val="009F7572"/>
    <w:pPr>
      <w:tabs>
        <w:tab w:val="right" w:leader="dot" w:pos="9356"/>
      </w:tabs>
    </w:pPr>
    <w:rPr>
      <w:b/>
      <w:bCs/>
      <w:i/>
      <w:iCs/>
      <w:caps/>
      <w:smallCaps/>
      <w:noProof/>
      <w:sz w:val="22"/>
      <w:szCs w:val="22"/>
    </w:rPr>
  </w:style>
  <w:style w:type="paragraph" w:styleId="TJ2">
    <w:name w:val="toc 2"/>
    <w:basedOn w:val="Norml"/>
    <w:next w:val="Norml"/>
    <w:autoRedefine/>
    <w:uiPriority w:val="39"/>
    <w:pPr>
      <w:tabs>
        <w:tab w:val="right" w:leader="dot" w:pos="9356"/>
      </w:tabs>
      <w:ind w:left="142"/>
    </w:pPr>
    <w:rPr>
      <w:b/>
      <w:bCs/>
      <w:i/>
      <w:iCs/>
      <w:noProof/>
      <w:sz w:val="21"/>
      <w:szCs w:val="24"/>
    </w:rPr>
  </w:style>
  <w:style w:type="paragraph" w:styleId="TJ3">
    <w:name w:val="toc 3"/>
    <w:basedOn w:val="Norml"/>
    <w:next w:val="Norml"/>
    <w:autoRedefine/>
    <w:uiPriority w:val="39"/>
    <w:pPr>
      <w:ind w:left="400"/>
    </w:pPr>
    <w:rPr>
      <w:szCs w:val="24"/>
    </w:rPr>
  </w:style>
  <w:style w:type="paragraph" w:styleId="TJ4">
    <w:name w:val="toc 4"/>
    <w:basedOn w:val="Norml"/>
    <w:next w:val="Norml"/>
    <w:autoRedefine/>
    <w:semiHidden/>
    <w:pPr>
      <w:ind w:left="600"/>
    </w:pPr>
    <w:rPr>
      <w:szCs w:val="24"/>
    </w:rPr>
  </w:style>
  <w:style w:type="paragraph" w:styleId="TJ5">
    <w:name w:val="toc 5"/>
    <w:basedOn w:val="Norml"/>
    <w:next w:val="Norml"/>
    <w:autoRedefine/>
    <w:semiHidden/>
    <w:pPr>
      <w:ind w:left="800"/>
    </w:pPr>
    <w:rPr>
      <w:szCs w:val="24"/>
    </w:rPr>
  </w:style>
  <w:style w:type="paragraph" w:styleId="TJ6">
    <w:name w:val="toc 6"/>
    <w:basedOn w:val="Norml"/>
    <w:next w:val="Norml"/>
    <w:autoRedefine/>
    <w:semiHidden/>
    <w:pPr>
      <w:ind w:left="1000"/>
    </w:pPr>
    <w:rPr>
      <w:szCs w:val="24"/>
    </w:rPr>
  </w:style>
  <w:style w:type="paragraph" w:styleId="TJ7">
    <w:name w:val="toc 7"/>
    <w:basedOn w:val="Norml"/>
    <w:next w:val="Norml"/>
    <w:autoRedefine/>
    <w:semiHidden/>
    <w:pPr>
      <w:ind w:left="1200"/>
    </w:pPr>
    <w:rPr>
      <w:szCs w:val="24"/>
    </w:rPr>
  </w:style>
  <w:style w:type="paragraph" w:styleId="TJ8">
    <w:name w:val="toc 8"/>
    <w:basedOn w:val="Norml"/>
    <w:next w:val="Norml"/>
    <w:autoRedefine/>
    <w:semiHidden/>
    <w:pPr>
      <w:ind w:left="1400"/>
    </w:pPr>
    <w:rPr>
      <w:szCs w:val="24"/>
    </w:rPr>
  </w:style>
  <w:style w:type="paragraph" w:styleId="TJ9">
    <w:name w:val="toc 9"/>
    <w:basedOn w:val="Norml"/>
    <w:next w:val="Norml"/>
    <w:autoRedefine/>
    <w:semiHidden/>
    <w:pPr>
      <w:ind w:left="1600"/>
    </w:pPr>
    <w:rPr>
      <w:szCs w:val="24"/>
    </w:rPr>
  </w:style>
  <w:style w:type="paragraph" w:customStyle="1" w:styleId="xl116">
    <w:name w:val="xl116"/>
    <w:basedOn w:val="Norml"/>
    <w:pPr>
      <w:spacing w:before="100" w:beforeAutospacing="1" w:after="100" w:afterAutospacing="1"/>
    </w:pPr>
    <w:rPr>
      <w:sz w:val="24"/>
      <w:szCs w:val="24"/>
    </w:rPr>
  </w:style>
  <w:style w:type="paragraph" w:customStyle="1" w:styleId="xl117">
    <w:name w:val="xl117"/>
    <w:basedOn w:val="Norml"/>
    <w:pPr>
      <w:spacing w:before="100" w:beforeAutospacing="1" w:after="100" w:afterAutospacing="1"/>
    </w:pPr>
    <w:rPr>
      <w:sz w:val="24"/>
      <w:szCs w:val="24"/>
    </w:rPr>
  </w:style>
  <w:style w:type="paragraph" w:customStyle="1" w:styleId="xl118">
    <w:name w:val="xl118"/>
    <w:basedOn w:val="Norml"/>
    <w:pPr>
      <w:pBdr>
        <w:bottom w:val="single" w:sz="4" w:space="0" w:color="auto"/>
      </w:pBdr>
      <w:spacing w:before="100" w:beforeAutospacing="1" w:after="100" w:afterAutospacing="1"/>
    </w:pPr>
    <w:rPr>
      <w:sz w:val="24"/>
      <w:szCs w:val="24"/>
    </w:rPr>
  </w:style>
  <w:style w:type="paragraph" w:customStyle="1" w:styleId="xl119">
    <w:name w:val="xl119"/>
    <w:basedOn w:val="Norml"/>
    <w:pPr>
      <w:pBdr>
        <w:bottom w:val="single" w:sz="4" w:space="0" w:color="auto"/>
      </w:pBdr>
      <w:spacing w:before="100" w:beforeAutospacing="1" w:after="100" w:afterAutospacing="1"/>
      <w:jc w:val="right"/>
    </w:pPr>
    <w:rPr>
      <w:sz w:val="24"/>
      <w:szCs w:val="24"/>
    </w:rPr>
  </w:style>
  <w:style w:type="paragraph" w:customStyle="1" w:styleId="xl120">
    <w:name w:val="xl120"/>
    <w:basedOn w:val="Norml"/>
    <w:pPr>
      <w:spacing w:before="100" w:beforeAutospacing="1" w:after="100" w:afterAutospacing="1"/>
    </w:pPr>
    <w:rPr>
      <w:sz w:val="24"/>
      <w:szCs w:val="24"/>
    </w:rPr>
  </w:style>
  <w:style w:type="paragraph" w:customStyle="1" w:styleId="xl121">
    <w:name w:val="xl121"/>
    <w:basedOn w:val="Norml"/>
    <w:pPr>
      <w:spacing w:before="100" w:beforeAutospacing="1" w:after="100" w:afterAutospacing="1"/>
    </w:pPr>
    <w:rPr>
      <w:sz w:val="22"/>
      <w:szCs w:val="22"/>
    </w:rPr>
  </w:style>
  <w:style w:type="paragraph" w:customStyle="1" w:styleId="xl122">
    <w:name w:val="xl122"/>
    <w:basedOn w:val="Norml"/>
    <w:pPr>
      <w:spacing w:before="100" w:beforeAutospacing="1" w:after="100" w:afterAutospacing="1"/>
    </w:pPr>
    <w:rPr>
      <w:sz w:val="22"/>
      <w:szCs w:val="22"/>
    </w:rPr>
  </w:style>
  <w:style w:type="paragraph" w:customStyle="1" w:styleId="xl123">
    <w:name w:val="xl123"/>
    <w:basedOn w:val="Norml"/>
    <w:pPr>
      <w:spacing w:before="100" w:beforeAutospacing="1" w:after="100" w:afterAutospacing="1"/>
    </w:pPr>
    <w:rPr>
      <w:sz w:val="22"/>
      <w:szCs w:val="22"/>
    </w:rPr>
  </w:style>
  <w:style w:type="paragraph" w:customStyle="1" w:styleId="xl124">
    <w:name w:val="xl124"/>
    <w:basedOn w:val="Norml"/>
    <w:pPr>
      <w:spacing w:before="100" w:beforeAutospacing="1" w:after="100" w:afterAutospacing="1"/>
      <w:jc w:val="right"/>
    </w:pPr>
    <w:rPr>
      <w:sz w:val="22"/>
      <w:szCs w:val="22"/>
    </w:rPr>
  </w:style>
  <w:style w:type="paragraph" w:customStyle="1" w:styleId="xl125">
    <w:name w:val="xl125"/>
    <w:basedOn w:val="Norml"/>
    <w:pPr>
      <w:pBdr>
        <w:bottom w:val="single" w:sz="4" w:space="0" w:color="auto"/>
      </w:pBdr>
      <w:spacing w:before="100" w:beforeAutospacing="1" w:after="100" w:afterAutospacing="1"/>
      <w:jc w:val="center"/>
      <w:textAlignment w:val="center"/>
    </w:pPr>
    <w:rPr>
      <w:i/>
      <w:iCs/>
      <w:sz w:val="22"/>
      <w:szCs w:val="22"/>
    </w:rPr>
  </w:style>
  <w:style w:type="paragraph" w:customStyle="1" w:styleId="xl126">
    <w:name w:val="xl126"/>
    <w:basedOn w:val="Norml"/>
    <w:pPr>
      <w:spacing w:before="100" w:beforeAutospacing="1" w:after="100" w:afterAutospacing="1"/>
      <w:jc w:val="right"/>
    </w:pPr>
    <w:rPr>
      <w:sz w:val="22"/>
      <w:szCs w:val="22"/>
    </w:rPr>
  </w:style>
  <w:style w:type="paragraph" w:customStyle="1" w:styleId="xl127">
    <w:name w:val="xl127"/>
    <w:basedOn w:val="Norml"/>
    <w:pPr>
      <w:spacing w:before="100" w:beforeAutospacing="1" w:after="100" w:afterAutospacing="1"/>
    </w:pPr>
    <w:rPr>
      <w:sz w:val="21"/>
      <w:szCs w:val="21"/>
    </w:rPr>
  </w:style>
  <w:style w:type="paragraph" w:customStyle="1" w:styleId="xl128">
    <w:name w:val="xl128"/>
    <w:basedOn w:val="Norml"/>
    <w:pPr>
      <w:spacing w:before="100" w:beforeAutospacing="1" w:after="100" w:afterAutospacing="1"/>
    </w:pPr>
    <w:rPr>
      <w:sz w:val="21"/>
      <w:szCs w:val="21"/>
    </w:rPr>
  </w:style>
  <w:style w:type="paragraph" w:customStyle="1" w:styleId="xl129">
    <w:name w:val="xl129"/>
    <w:basedOn w:val="Norml"/>
    <w:pPr>
      <w:pBdr>
        <w:top w:val="single" w:sz="4" w:space="0" w:color="auto"/>
      </w:pBdr>
      <w:spacing w:before="100" w:beforeAutospacing="1" w:after="100" w:afterAutospacing="1"/>
      <w:jc w:val="center"/>
      <w:textAlignment w:val="center"/>
    </w:pPr>
    <w:rPr>
      <w:i/>
      <w:iCs/>
      <w:sz w:val="22"/>
      <w:szCs w:val="22"/>
    </w:rPr>
  </w:style>
  <w:style w:type="paragraph" w:customStyle="1" w:styleId="xl130">
    <w:name w:val="xl130"/>
    <w:basedOn w:val="Norml"/>
    <w:pPr>
      <w:pBdr>
        <w:top w:val="single" w:sz="4" w:space="0" w:color="auto"/>
        <w:bottom w:val="single" w:sz="4" w:space="0" w:color="auto"/>
      </w:pBdr>
      <w:spacing w:before="100" w:beforeAutospacing="1" w:after="100" w:afterAutospacing="1"/>
      <w:jc w:val="center"/>
    </w:pPr>
    <w:rPr>
      <w:i/>
      <w:iCs/>
      <w:sz w:val="24"/>
      <w:szCs w:val="24"/>
    </w:rPr>
  </w:style>
  <w:style w:type="paragraph" w:customStyle="1" w:styleId="xl131">
    <w:name w:val="xl131"/>
    <w:basedOn w:val="Norml"/>
    <w:pPr>
      <w:pBdr>
        <w:top w:val="single" w:sz="4" w:space="0" w:color="auto"/>
      </w:pBdr>
      <w:spacing w:before="100" w:beforeAutospacing="1" w:after="100" w:afterAutospacing="1"/>
      <w:textAlignment w:val="center"/>
    </w:pPr>
    <w:rPr>
      <w:i/>
      <w:iCs/>
      <w:sz w:val="22"/>
      <w:szCs w:val="22"/>
    </w:rPr>
  </w:style>
  <w:style w:type="paragraph" w:customStyle="1" w:styleId="xl132">
    <w:name w:val="xl132"/>
    <w:basedOn w:val="Norml"/>
    <w:pPr>
      <w:pBdr>
        <w:bottom w:val="single" w:sz="4" w:space="0" w:color="auto"/>
      </w:pBdr>
      <w:spacing w:before="100" w:beforeAutospacing="1" w:after="100" w:afterAutospacing="1"/>
      <w:textAlignment w:val="center"/>
    </w:pPr>
    <w:rPr>
      <w:i/>
      <w:iCs/>
      <w:sz w:val="22"/>
      <w:szCs w:val="22"/>
    </w:rPr>
  </w:style>
  <w:style w:type="character" w:customStyle="1" w:styleId="WW8Num4z0">
    <w:name w:val="WW8Num4z0"/>
    <w:rPr>
      <w:rFonts w:ascii="Symbol" w:hAnsi="Symbol"/>
    </w:rPr>
  </w:style>
  <w:style w:type="paragraph" w:customStyle="1" w:styleId="BodyText31">
    <w:name w:val="Body Text 31"/>
    <w:basedOn w:val="Norml"/>
    <w:pPr>
      <w:widowControl w:val="0"/>
      <w:overflowPunct w:val="0"/>
      <w:autoSpaceDE w:val="0"/>
      <w:autoSpaceDN w:val="0"/>
      <w:adjustRightInd w:val="0"/>
      <w:jc w:val="both"/>
      <w:textAlignment w:val="baseline"/>
    </w:pPr>
    <w:rPr>
      <w:sz w:val="24"/>
      <w14:shadow w14:blurRad="50800" w14:dist="38100" w14:dir="2700000" w14:sx="100000" w14:sy="100000" w14:kx="0" w14:ky="0" w14:algn="tl">
        <w14:srgbClr w14:val="000000">
          <w14:alpha w14:val="60000"/>
        </w14:srgbClr>
      </w14:shadow>
    </w:rPr>
  </w:style>
  <w:style w:type="paragraph" w:customStyle="1" w:styleId="jelents2">
    <w:name w:val="jelentés 2"/>
    <w:basedOn w:val="Szvegtrzsbehzssal"/>
    <w:pPr>
      <w:widowControl w:val="0"/>
      <w:tabs>
        <w:tab w:val="clear" w:pos="567"/>
        <w:tab w:val="clear" w:pos="1134"/>
        <w:tab w:val="clear" w:pos="3686"/>
        <w:tab w:val="clear" w:pos="5103"/>
        <w:tab w:val="clear" w:pos="6946"/>
      </w:tabs>
      <w:suppressAutoHyphens/>
      <w:spacing w:after="57"/>
      <w:ind w:firstLine="0"/>
      <w:jc w:val="left"/>
    </w:pPr>
    <w:rPr>
      <w:rFonts w:eastAsia="Lucida Sans Unicode" w:cs="Tahoma"/>
      <w:b/>
      <w:i/>
      <w:kern w:val="1"/>
      <w:sz w:val="28"/>
      <w:szCs w:val="24"/>
    </w:rPr>
  </w:style>
  <w:style w:type="paragraph" w:customStyle="1" w:styleId="xl114">
    <w:name w:val="xl114"/>
    <w:basedOn w:val="Norml"/>
    <w:pPr>
      <w:spacing w:before="100" w:beforeAutospacing="1" w:after="100" w:afterAutospacing="1"/>
    </w:pPr>
    <w:rPr>
      <w:i/>
      <w:iCs/>
      <w:sz w:val="22"/>
      <w:szCs w:val="22"/>
    </w:rPr>
  </w:style>
  <w:style w:type="paragraph" w:customStyle="1" w:styleId="xl115">
    <w:name w:val="xl115"/>
    <w:basedOn w:val="Norml"/>
    <w:pPr>
      <w:pBdr>
        <w:top w:val="single" w:sz="4" w:space="0" w:color="auto"/>
        <w:bottom w:val="single" w:sz="4" w:space="0" w:color="auto"/>
      </w:pBdr>
      <w:spacing w:before="100" w:beforeAutospacing="1" w:after="100" w:afterAutospacing="1"/>
    </w:pPr>
    <w:rPr>
      <w:i/>
      <w:iCs/>
      <w:sz w:val="22"/>
      <w:szCs w:val="22"/>
    </w:rPr>
  </w:style>
  <w:style w:type="paragraph" w:styleId="Nincstrkz">
    <w:name w:val="No Spacing"/>
    <w:uiPriority w:val="1"/>
    <w:qFormat/>
    <w:rPr>
      <w:sz w:val="22"/>
      <w:szCs w:val="22"/>
      <w:lang w:eastAsia="en-US"/>
    </w:rPr>
  </w:style>
  <w:style w:type="paragraph" w:styleId="Buborkszveg">
    <w:name w:val="Balloon Text"/>
    <w:basedOn w:val="Norml"/>
    <w:semiHidden/>
    <w:rPr>
      <w:rFonts w:ascii="Tahoma" w:hAnsi="Tahoma" w:cs="Tahoma"/>
      <w:sz w:val="16"/>
      <w:szCs w:val="16"/>
    </w:rPr>
  </w:style>
  <w:style w:type="paragraph" w:customStyle="1" w:styleId="xl133">
    <w:name w:val="xl133"/>
    <w:basedOn w:val="Norml"/>
    <w:pPr>
      <w:pBdr>
        <w:bottom w:val="single" w:sz="4" w:space="0" w:color="auto"/>
      </w:pBdr>
      <w:spacing w:before="100" w:beforeAutospacing="1" w:after="100" w:afterAutospacing="1"/>
      <w:textAlignment w:val="center"/>
    </w:pPr>
    <w:rPr>
      <w:rFonts w:eastAsia="Arial Unicode MS" w:cs="Arial Unicode MS"/>
      <w:b/>
      <w:bCs/>
      <w:i/>
      <w:iCs/>
      <w:sz w:val="22"/>
      <w:szCs w:val="22"/>
    </w:rPr>
  </w:style>
  <w:style w:type="paragraph" w:customStyle="1" w:styleId="xl86">
    <w:name w:val="xl86"/>
    <w:basedOn w:val="Norml"/>
    <w:pPr>
      <w:spacing w:before="100" w:beforeAutospacing="1" w:after="100" w:afterAutospacing="1"/>
      <w:jc w:val="both"/>
    </w:pPr>
    <w:rPr>
      <w:rFonts w:eastAsia="Arial Unicode MS"/>
      <w:sz w:val="16"/>
      <w:szCs w:val="16"/>
    </w:rPr>
  </w:style>
  <w:style w:type="paragraph" w:customStyle="1" w:styleId="szvegtrzs-behzsa-western">
    <w:name w:val="szövegtörzs-behúzása-western"/>
    <w:basedOn w:val="Norml"/>
    <w:pPr>
      <w:spacing w:before="100" w:beforeAutospacing="1"/>
      <w:jc w:val="both"/>
    </w:pPr>
    <w:rPr>
      <w:rFonts w:ascii="Cambria" w:hAnsi="Cambria"/>
      <w:sz w:val="24"/>
      <w:szCs w:val="24"/>
    </w:rPr>
  </w:style>
  <w:style w:type="character" w:customStyle="1" w:styleId="Szvegtrzs2Char">
    <w:name w:val="Szövegtörzs 2 Char"/>
    <w:semiHidden/>
    <w:rPr>
      <w:sz w:val="24"/>
    </w:rPr>
  </w:style>
  <w:style w:type="paragraph" w:styleId="Tartalomjegyzkcmsora">
    <w:name w:val="TOC Heading"/>
    <w:basedOn w:val="Cmsor1"/>
    <w:next w:val="Norml"/>
    <w:uiPriority w:val="39"/>
    <w:unhideWhenUsed/>
    <w:qFormat/>
    <w:rsid w:val="00E510D7"/>
    <w:pPr>
      <w:keepLines/>
      <w:widowControl/>
      <w:tabs>
        <w:tab w:val="clear" w:pos="851"/>
      </w:tabs>
      <w:spacing w:before="240" w:line="259" w:lineRule="auto"/>
      <w:ind w:left="0"/>
      <w:jc w:val="left"/>
      <w:outlineLvl w:val="9"/>
    </w:pPr>
    <w:rPr>
      <w:rFonts w:ascii="Calibri Light" w:hAnsi="Calibri Light"/>
      <w:snapToGrid/>
      <w:color w:val="2E74B5"/>
      <w:sz w:val="32"/>
      <w:szCs w:val="32"/>
    </w:rPr>
  </w:style>
  <w:style w:type="table" w:styleId="Rcsostblzat">
    <w:name w:val="Table Grid"/>
    <w:basedOn w:val="Normltblzat"/>
    <w:uiPriority w:val="59"/>
    <w:rsid w:val="003D5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l"/>
    <w:rsid w:val="00A033C4"/>
    <w:pPr>
      <w:spacing w:before="100" w:beforeAutospacing="1" w:after="119"/>
    </w:pPr>
    <w:rPr>
      <w:rFonts w:ascii="Cambria" w:eastAsia="Arial Unicode MS" w:hAnsi="Cambria" w:cs="Arial Unicode MS"/>
      <w:sz w:val="24"/>
      <w:szCs w:val="24"/>
    </w:rPr>
  </w:style>
  <w:style w:type="character" w:customStyle="1" w:styleId="Szvegtrzsbehzssal3Char">
    <w:name w:val="Szövegtörzs behúzással 3 Char"/>
    <w:link w:val="Szvegtrzsbehzssal3"/>
    <w:semiHidden/>
    <w:rsid w:val="0035198C"/>
    <w:rPr>
      <w:sz w:val="24"/>
    </w:rPr>
  </w:style>
  <w:style w:type="paragraph" w:styleId="Listaszerbekezds">
    <w:name w:val="List Paragraph"/>
    <w:basedOn w:val="Norml"/>
    <w:uiPriority w:val="34"/>
    <w:qFormat/>
    <w:rsid w:val="00622E01"/>
    <w:pPr>
      <w:ind w:left="708"/>
    </w:pPr>
  </w:style>
  <w:style w:type="paragraph" w:customStyle="1" w:styleId="Default">
    <w:name w:val="Default"/>
    <w:rsid w:val="006E3B31"/>
    <w:pPr>
      <w:autoSpaceDE w:val="0"/>
      <w:autoSpaceDN w:val="0"/>
      <w:adjustRightInd w:val="0"/>
    </w:pPr>
    <w:rPr>
      <w:rFonts w:ascii="Calibri" w:hAnsi="Calibri" w:cs="Calibri"/>
      <w:color w:val="000000"/>
      <w:sz w:val="24"/>
      <w:szCs w:val="24"/>
    </w:rPr>
  </w:style>
  <w:style w:type="paragraph" w:customStyle="1" w:styleId="Standard">
    <w:name w:val="Standard"/>
    <w:rsid w:val="00752563"/>
    <w:pPr>
      <w:autoSpaceDN w:val="0"/>
      <w:textAlignment w:val="baseline"/>
    </w:pPr>
    <w:rPr>
      <w:kern w:val="3"/>
      <w:sz w:val="24"/>
      <w:lang w:eastAsia="zh-CN"/>
    </w:rPr>
  </w:style>
  <w:style w:type="paragraph" w:customStyle="1" w:styleId="Textbody">
    <w:name w:val="Text body"/>
    <w:basedOn w:val="Standard"/>
    <w:rsid w:val="00752563"/>
    <w:pPr>
      <w:jc w:val="both"/>
    </w:pPr>
  </w:style>
  <w:style w:type="character" w:customStyle="1" w:styleId="llbChar">
    <w:name w:val="Élőláb Char"/>
    <w:basedOn w:val="Bekezdsalapbettpusa"/>
    <w:link w:val="llb"/>
    <w:uiPriority w:val="99"/>
    <w:rsid w:val="00DD2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0351">
      <w:bodyDiv w:val="1"/>
      <w:marLeft w:val="0"/>
      <w:marRight w:val="0"/>
      <w:marTop w:val="0"/>
      <w:marBottom w:val="0"/>
      <w:divBdr>
        <w:top w:val="none" w:sz="0" w:space="0" w:color="auto"/>
        <w:left w:val="none" w:sz="0" w:space="0" w:color="auto"/>
        <w:bottom w:val="none" w:sz="0" w:space="0" w:color="auto"/>
        <w:right w:val="none" w:sz="0" w:space="0" w:color="auto"/>
      </w:divBdr>
    </w:div>
    <w:div w:id="71120967">
      <w:bodyDiv w:val="1"/>
      <w:marLeft w:val="0"/>
      <w:marRight w:val="0"/>
      <w:marTop w:val="0"/>
      <w:marBottom w:val="0"/>
      <w:divBdr>
        <w:top w:val="none" w:sz="0" w:space="0" w:color="auto"/>
        <w:left w:val="none" w:sz="0" w:space="0" w:color="auto"/>
        <w:bottom w:val="none" w:sz="0" w:space="0" w:color="auto"/>
        <w:right w:val="none" w:sz="0" w:space="0" w:color="auto"/>
      </w:divBdr>
    </w:div>
    <w:div w:id="98523477">
      <w:bodyDiv w:val="1"/>
      <w:marLeft w:val="0"/>
      <w:marRight w:val="0"/>
      <w:marTop w:val="0"/>
      <w:marBottom w:val="0"/>
      <w:divBdr>
        <w:top w:val="none" w:sz="0" w:space="0" w:color="auto"/>
        <w:left w:val="none" w:sz="0" w:space="0" w:color="auto"/>
        <w:bottom w:val="none" w:sz="0" w:space="0" w:color="auto"/>
        <w:right w:val="none" w:sz="0" w:space="0" w:color="auto"/>
      </w:divBdr>
    </w:div>
    <w:div w:id="246840900">
      <w:bodyDiv w:val="1"/>
      <w:marLeft w:val="0"/>
      <w:marRight w:val="0"/>
      <w:marTop w:val="0"/>
      <w:marBottom w:val="0"/>
      <w:divBdr>
        <w:top w:val="none" w:sz="0" w:space="0" w:color="auto"/>
        <w:left w:val="none" w:sz="0" w:space="0" w:color="auto"/>
        <w:bottom w:val="none" w:sz="0" w:space="0" w:color="auto"/>
        <w:right w:val="none" w:sz="0" w:space="0" w:color="auto"/>
      </w:divBdr>
    </w:div>
    <w:div w:id="264850532">
      <w:bodyDiv w:val="1"/>
      <w:marLeft w:val="0"/>
      <w:marRight w:val="0"/>
      <w:marTop w:val="0"/>
      <w:marBottom w:val="0"/>
      <w:divBdr>
        <w:top w:val="none" w:sz="0" w:space="0" w:color="auto"/>
        <w:left w:val="none" w:sz="0" w:space="0" w:color="auto"/>
        <w:bottom w:val="none" w:sz="0" w:space="0" w:color="auto"/>
        <w:right w:val="none" w:sz="0" w:space="0" w:color="auto"/>
      </w:divBdr>
    </w:div>
    <w:div w:id="364448628">
      <w:bodyDiv w:val="1"/>
      <w:marLeft w:val="0"/>
      <w:marRight w:val="0"/>
      <w:marTop w:val="0"/>
      <w:marBottom w:val="0"/>
      <w:divBdr>
        <w:top w:val="none" w:sz="0" w:space="0" w:color="auto"/>
        <w:left w:val="none" w:sz="0" w:space="0" w:color="auto"/>
        <w:bottom w:val="none" w:sz="0" w:space="0" w:color="auto"/>
        <w:right w:val="none" w:sz="0" w:space="0" w:color="auto"/>
      </w:divBdr>
    </w:div>
    <w:div w:id="409544831">
      <w:bodyDiv w:val="1"/>
      <w:marLeft w:val="0"/>
      <w:marRight w:val="0"/>
      <w:marTop w:val="0"/>
      <w:marBottom w:val="0"/>
      <w:divBdr>
        <w:top w:val="none" w:sz="0" w:space="0" w:color="auto"/>
        <w:left w:val="none" w:sz="0" w:space="0" w:color="auto"/>
        <w:bottom w:val="none" w:sz="0" w:space="0" w:color="auto"/>
        <w:right w:val="none" w:sz="0" w:space="0" w:color="auto"/>
      </w:divBdr>
    </w:div>
    <w:div w:id="414328843">
      <w:bodyDiv w:val="1"/>
      <w:marLeft w:val="0"/>
      <w:marRight w:val="0"/>
      <w:marTop w:val="0"/>
      <w:marBottom w:val="0"/>
      <w:divBdr>
        <w:top w:val="none" w:sz="0" w:space="0" w:color="auto"/>
        <w:left w:val="none" w:sz="0" w:space="0" w:color="auto"/>
        <w:bottom w:val="none" w:sz="0" w:space="0" w:color="auto"/>
        <w:right w:val="none" w:sz="0" w:space="0" w:color="auto"/>
      </w:divBdr>
    </w:div>
    <w:div w:id="429467202">
      <w:bodyDiv w:val="1"/>
      <w:marLeft w:val="0"/>
      <w:marRight w:val="0"/>
      <w:marTop w:val="0"/>
      <w:marBottom w:val="0"/>
      <w:divBdr>
        <w:top w:val="none" w:sz="0" w:space="0" w:color="auto"/>
        <w:left w:val="none" w:sz="0" w:space="0" w:color="auto"/>
        <w:bottom w:val="none" w:sz="0" w:space="0" w:color="auto"/>
        <w:right w:val="none" w:sz="0" w:space="0" w:color="auto"/>
      </w:divBdr>
    </w:div>
    <w:div w:id="435949205">
      <w:bodyDiv w:val="1"/>
      <w:marLeft w:val="0"/>
      <w:marRight w:val="0"/>
      <w:marTop w:val="0"/>
      <w:marBottom w:val="0"/>
      <w:divBdr>
        <w:top w:val="none" w:sz="0" w:space="0" w:color="auto"/>
        <w:left w:val="none" w:sz="0" w:space="0" w:color="auto"/>
        <w:bottom w:val="none" w:sz="0" w:space="0" w:color="auto"/>
        <w:right w:val="none" w:sz="0" w:space="0" w:color="auto"/>
      </w:divBdr>
    </w:div>
    <w:div w:id="441997298">
      <w:bodyDiv w:val="1"/>
      <w:marLeft w:val="0"/>
      <w:marRight w:val="0"/>
      <w:marTop w:val="0"/>
      <w:marBottom w:val="0"/>
      <w:divBdr>
        <w:top w:val="none" w:sz="0" w:space="0" w:color="auto"/>
        <w:left w:val="none" w:sz="0" w:space="0" w:color="auto"/>
        <w:bottom w:val="none" w:sz="0" w:space="0" w:color="auto"/>
        <w:right w:val="none" w:sz="0" w:space="0" w:color="auto"/>
      </w:divBdr>
    </w:div>
    <w:div w:id="468397854">
      <w:bodyDiv w:val="1"/>
      <w:marLeft w:val="0"/>
      <w:marRight w:val="0"/>
      <w:marTop w:val="0"/>
      <w:marBottom w:val="0"/>
      <w:divBdr>
        <w:top w:val="none" w:sz="0" w:space="0" w:color="auto"/>
        <w:left w:val="none" w:sz="0" w:space="0" w:color="auto"/>
        <w:bottom w:val="none" w:sz="0" w:space="0" w:color="auto"/>
        <w:right w:val="none" w:sz="0" w:space="0" w:color="auto"/>
      </w:divBdr>
    </w:div>
    <w:div w:id="551581524">
      <w:bodyDiv w:val="1"/>
      <w:marLeft w:val="0"/>
      <w:marRight w:val="0"/>
      <w:marTop w:val="0"/>
      <w:marBottom w:val="0"/>
      <w:divBdr>
        <w:top w:val="none" w:sz="0" w:space="0" w:color="auto"/>
        <w:left w:val="none" w:sz="0" w:space="0" w:color="auto"/>
        <w:bottom w:val="none" w:sz="0" w:space="0" w:color="auto"/>
        <w:right w:val="none" w:sz="0" w:space="0" w:color="auto"/>
      </w:divBdr>
    </w:div>
    <w:div w:id="628126812">
      <w:bodyDiv w:val="1"/>
      <w:marLeft w:val="0"/>
      <w:marRight w:val="0"/>
      <w:marTop w:val="0"/>
      <w:marBottom w:val="0"/>
      <w:divBdr>
        <w:top w:val="none" w:sz="0" w:space="0" w:color="auto"/>
        <w:left w:val="none" w:sz="0" w:space="0" w:color="auto"/>
        <w:bottom w:val="none" w:sz="0" w:space="0" w:color="auto"/>
        <w:right w:val="none" w:sz="0" w:space="0" w:color="auto"/>
      </w:divBdr>
    </w:div>
    <w:div w:id="676732740">
      <w:bodyDiv w:val="1"/>
      <w:marLeft w:val="0"/>
      <w:marRight w:val="0"/>
      <w:marTop w:val="0"/>
      <w:marBottom w:val="0"/>
      <w:divBdr>
        <w:top w:val="none" w:sz="0" w:space="0" w:color="auto"/>
        <w:left w:val="none" w:sz="0" w:space="0" w:color="auto"/>
        <w:bottom w:val="none" w:sz="0" w:space="0" w:color="auto"/>
        <w:right w:val="none" w:sz="0" w:space="0" w:color="auto"/>
      </w:divBdr>
    </w:div>
    <w:div w:id="696002305">
      <w:bodyDiv w:val="1"/>
      <w:marLeft w:val="0"/>
      <w:marRight w:val="0"/>
      <w:marTop w:val="0"/>
      <w:marBottom w:val="0"/>
      <w:divBdr>
        <w:top w:val="none" w:sz="0" w:space="0" w:color="auto"/>
        <w:left w:val="none" w:sz="0" w:space="0" w:color="auto"/>
        <w:bottom w:val="none" w:sz="0" w:space="0" w:color="auto"/>
        <w:right w:val="none" w:sz="0" w:space="0" w:color="auto"/>
      </w:divBdr>
    </w:div>
    <w:div w:id="730151396">
      <w:bodyDiv w:val="1"/>
      <w:marLeft w:val="0"/>
      <w:marRight w:val="0"/>
      <w:marTop w:val="0"/>
      <w:marBottom w:val="0"/>
      <w:divBdr>
        <w:top w:val="none" w:sz="0" w:space="0" w:color="auto"/>
        <w:left w:val="none" w:sz="0" w:space="0" w:color="auto"/>
        <w:bottom w:val="none" w:sz="0" w:space="0" w:color="auto"/>
        <w:right w:val="none" w:sz="0" w:space="0" w:color="auto"/>
      </w:divBdr>
    </w:div>
    <w:div w:id="791359044">
      <w:bodyDiv w:val="1"/>
      <w:marLeft w:val="0"/>
      <w:marRight w:val="0"/>
      <w:marTop w:val="0"/>
      <w:marBottom w:val="0"/>
      <w:divBdr>
        <w:top w:val="none" w:sz="0" w:space="0" w:color="auto"/>
        <w:left w:val="none" w:sz="0" w:space="0" w:color="auto"/>
        <w:bottom w:val="none" w:sz="0" w:space="0" w:color="auto"/>
        <w:right w:val="none" w:sz="0" w:space="0" w:color="auto"/>
      </w:divBdr>
    </w:div>
    <w:div w:id="834764478">
      <w:bodyDiv w:val="1"/>
      <w:marLeft w:val="0"/>
      <w:marRight w:val="0"/>
      <w:marTop w:val="0"/>
      <w:marBottom w:val="0"/>
      <w:divBdr>
        <w:top w:val="none" w:sz="0" w:space="0" w:color="auto"/>
        <w:left w:val="none" w:sz="0" w:space="0" w:color="auto"/>
        <w:bottom w:val="none" w:sz="0" w:space="0" w:color="auto"/>
        <w:right w:val="none" w:sz="0" w:space="0" w:color="auto"/>
      </w:divBdr>
    </w:div>
    <w:div w:id="876813275">
      <w:bodyDiv w:val="1"/>
      <w:marLeft w:val="0"/>
      <w:marRight w:val="0"/>
      <w:marTop w:val="0"/>
      <w:marBottom w:val="0"/>
      <w:divBdr>
        <w:top w:val="none" w:sz="0" w:space="0" w:color="auto"/>
        <w:left w:val="none" w:sz="0" w:space="0" w:color="auto"/>
        <w:bottom w:val="none" w:sz="0" w:space="0" w:color="auto"/>
        <w:right w:val="none" w:sz="0" w:space="0" w:color="auto"/>
      </w:divBdr>
    </w:div>
    <w:div w:id="897516291">
      <w:bodyDiv w:val="1"/>
      <w:marLeft w:val="0"/>
      <w:marRight w:val="0"/>
      <w:marTop w:val="0"/>
      <w:marBottom w:val="0"/>
      <w:divBdr>
        <w:top w:val="none" w:sz="0" w:space="0" w:color="auto"/>
        <w:left w:val="none" w:sz="0" w:space="0" w:color="auto"/>
        <w:bottom w:val="none" w:sz="0" w:space="0" w:color="auto"/>
        <w:right w:val="none" w:sz="0" w:space="0" w:color="auto"/>
      </w:divBdr>
    </w:div>
    <w:div w:id="913855670">
      <w:bodyDiv w:val="1"/>
      <w:marLeft w:val="0"/>
      <w:marRight w:val="0"/>
      <w:marTop w:val="0"/>
      <w:marBottom w:val="0"/>
      <w:divBdr>
        <w:top w:val="none" w:sz="0" w:space="0" w:color="auto"/>
        <w:left w:val="none" w:sz="0" w:space="0" w:color="auto"/>
        <w:bottom w:val="none" w:sz="0" w:space="0" w:color="auto"/>
        <w:right w:val="none" w:sz="0" w:space="0" w:color="auto"/>
      </w:divBdr>
    </w:div>
    <w:div w:id="989557545">
      <w:bodyDiv w:val="1"/>
      <w:marLeft w:val="0"/>
      <w:marRight w:val="0"/>
      <w:marTop w:val="0"/>
      <w:marBottom w:val="0"/>
      <w:divBdr>
        <w:top w:val="none" w:sz="0" w:space="0" w:color="auto"/>
        <w:left w:val="none" w:sz="0" w:space="0" w:color="auto"/>
        <w:bottom w:val="none" w:sz="0" w:space="0" w:color="auto"/>
        <w:right w:val="none" w:sz="0" w:space="0" w:color="auto"/>
      </w:divBdr>
    </w:div>
    <w:div w:id="1030954489">
      <w:bodyDiv w:val="1"/>
      <w:marLeft w:val="0"/>
      <w:marRight w:val="0"/>
      <w:marTop w:val="0"/>
      <w:marBottom w:val="0"/>
      <w:divBdr>
        <w:top w:val="none" w:sz="0" w:space="0" w:color="auto"/>
        <w:left w:val="none" w:sz="0" w:space="0" w:color="auto"/>
        <w:bottom w:val="none" w:sz="0" w:space="0" w:color="auto"/>
        <w:right w:val="none" w:sz="0" w:space="0" w:color="auto"/>
      </w:divBdr>
    </w:div>
    <w:div w:id="1081870886">
      <w:bodyDiv w:val="1"/>
      <w:marLeft w:val="0"/>
      <w:marRight w:val="0"/>
      <w:marTop w:val="0"/>
      <w:marBottom w:val="0"/>
      <w:divBdr>
        <w:top w:val="none" w:sz="0" w:space="0" w:color="auto"/>
        <w:left w:val="none" w:sz="0" w:space="0" w:color="auto"/>
        <w:bottom w:val="none" w:sz="0" w:space="0" w:color="auto"/>
        <w:right w:val="none" w:sz="0" w:space="0" w:color="auto"/>
      </w:divBdr>
    </w:div>
    <w:div w:id="1100953784">
      <w:bodyDiv w:val="1"/>
      <w:marLeft w:val="0"/>
      <w:marRight w:val="0"/>
      <w:marTop w:val="0"/>
      <w:marBottom w:val="0"/>
      <w:divBdr>
        <w:top w:val="none" w:sz="0" w:space="0" w:color="auto"/>
        <w:left w:val="none" w:sz="0" w:space="0" w:color="auto"/>
        <w:bottom w:val="none" w:sz="0" w:space="0" w:color="auto"/>
        <w:right w:val="none" w:sz="0" w:space="0" w:color="auto"/>
      </w:divBdr>
    </w:div>
    <w:div w:id="1101072370">
      <w:bodyDiv w:val="1"/>
      <w:marLeft w:val="0"/>
      <w:marRight w:val="0"/>
      <w:marTop w:val="0"/>
      <w:marBottom w:val="0"/>
      <w:divBdr>
        <w:top w:val="none" w:sz="0" w:space="0" w:color="auto"/>
        <w:left w:val="none" w:sz="0" w:space="0" w:color="auto"/>
        <w:bottom w:val="none" w:sz="0" w:space="0" w:color="auto"/>
        <w:right w:val="none" w:sz="0" w:space="0" w:color="auto"/>
      </w:divBdr>
    </w:div>
    <w:div w:id="1117530848">
      <w:bodyDiv w:val="1"/>
      <w:marLeft w:val="0"/>
      <w:marRight w:val="0"/>
      <w:marTop w:val="0"/>
      <w:marBottom w:val="0"/>
      <w:divBdr>
        <w:top w:val="none" w:sz="0" w:space="0" w:color="auto"/>
        <w:left w:val="none" w:sz="0" w:space="0" w:color="auto"/>
        <w:bottom w:val="none" w:sz="0" w:space="0" w:color="auto"/>
        <w:right w:val="none" w:sz="0" w:space="0" w:color="auto"/>
      </w:divBdr>
    </w:div>
    <w:div w:id="1124471283">
      <w:bodyDiv w:val="1"/>
      <w:marLeft w:val="0"/>
      <w:marRight w:val="0"/>
      <w:marTop w:val="0"/>
      <w:marBottom w:val="0"/>
      <w:divBdr>
        <w:top w:val="none" w:sz="0" w:space="0" w:color="auto"/>
        <w:left w:val="none" w:sz="0" w:space="0" w:color="auto"/>
        <w:bottom w:val="none" w:sz="0" w:space="0" w:color="auto"/>
        <w:right w:val="none" w:sz="0" w:space="0" w:color="auto"/>
      </w:divBdr>
    </w:div>
    <w:div w:id="1133327842">
      <w:bodyDiv w:val="1"/>
      <w:marLeft w:val="0"/>
      <w:marRight w:val="0"/>
      <w:marTop w:val="0"/>
      <w:marBottom w:val="0"/>
      <w:divBdr>
        <w:top w:val="none" w:sz="0" w:space="0" w:color="auto"/>
        <w:left w:val="none" w:sz="0" w:space="0" w:color="auto"/>
        <w:bottom w:val="none" w:sz="0" w:space="0" w:color="auto"/>
        <w:right w:val="none" w:sz="0" w:space="0" w:color="auto"/>
      </w:divBdr>
    </w:div>
    <w:div w:id="1176268883">
      <w:bodyDiv w:val="1"/>
      <w:marLeft w:val="0"/>
      <w:marRight w:val="0"/>
      <w:marTop w:val="0"/>
      <w:marBottom w:val="0"/>
      <w:divBdr>
        <w:top w:val="none" w:sz="0" w:space="0" w:color="auto"/>
        <w:left w:val="none" w:sz="0" w:space="0" w:color="auto"/>
        <w:bottom w:val="none" w:sz="0" w:space="0" w:color="auto"/>
        <w:right w:val="none" w:sz="0" w:space="0" w:color="auto"/>
      </w:divBdr>
    </w:div>
    <w:div w:id="1183009355">
      <w:bodyDiv w:val="1"/>
      <w:marLeft w:val="0"/>
      <w:marRight w:val="0"/>
      <w:marTop w:val="0"/>
      <w:marBottom w:val="0"/>
      <w:divBdr>
        <w:top w:val="none" w:sz="0" w:space="0" w:color="auto"/>
        <w:left w:val="none" w:sz="0" w:space="0" w:color="auto"/>
        <w:bottom w:val="none" w:sz="0" w:space="0" w:color="auto"/>
        <w:right w:val="none" w:sz="0" w:space="0" w:color="auto"/>
      </w:divBdr>
    </w:div>
    <w:div w:id="1183859383">
      <w:bodyDiv w:val="1"/>
      <w:marLeft w:val="0"/>
      <w:marRight w:val="0"/>
      <w:marTop w:val="0"/>
      <w:marBottom w:val="0"/>
      <w:divBdr>
        <w:top w:val="none" w:sz="0" w:space="0" w:color="auto"/>
        <w:left w:val="none" w:sz="0" w:space="0" w:color="auto"/>
        <w:bottom w:val="none" w:sz="0" w:space="0" w:color="auto"/>
        <w:right w:val="none" w:sz="0" w:space="0" w:color="auto"/>
      </w:divBdr>
    </w:div>
    <w:div w:id="1201893758">
      <w:bodyDiv w:val="1"/>
      <w:marLeft w:val="0"/>
      <w:marRight w:val="0"/>
      <w:marTop w:val="0"/>
      <w:marBottom w:val="0"/>
      <w:divBdr>
        <w:top w:val="none" w:sz="0" w:space="0" w:color="auto"/>
        <w:left w:val="none" w:sz="0" w:space="0" w:color="auto"/>
        <w:bottom w:val="none" w:sz="0" w:space="0" w:color="auto"/>
        <w:right w:val="none" w:sz="0" w:space="0" w:color="auto"/>
      </w:divBdr>
    </w:div>
    <w:div w:id="1240479978">
      <w:bodyDiv w:val="1"/>
      <w:marLeft w:val="0"/>
      <w:marRight w:val="0"/>
      <w:marTop w:val="0"/>
      <w:marBottom w:val="0"/>
      <w:divBdr>
        <w:top w:val="none" w:sz="0" w:space="0" w:color="auto"/>
        <w:left w:val="none" w:sz="0" w:space="0" w:color="auto"/>
        <w:bottom w:val="none" w:sz="0" w:space="0" w:color="auto"/>
        <w:right w:val="none" w:sz="0" w:space="0" w:color="auto"/>
      </w:divBdr>
    </w:div>
    <w:div w:id="1277760464">
      <w:bodyDiv w:val="1"/>
      <w:marLeft w:val="0"/>
      <w:marRight w:val="0"/>
      <w:marTop w:val="0"/>
      <w:marBottom w:val="0"/>
      <w:divBdr>
        <w:top w:val="none" w:sz="0" w:space="0" w:color="auto"/>
        <w:left w:val="none" w:sz="0" w:space="0" w:color="auto"/>
        <w:bottom w:val="none" w:sz="0" w:space="0" w:color="auto"/>
        <w:right w:val="none" w:sz="0" w:space="0" w:color="auto"/>
      </w:divBdr>
    </w:div>
    <w:div w:id="1296374784">
      <w:bodyDiv w:val="1"/>
      <w:marLeft w:val="0"/>
      <w:marRight w:val="0"/>
      <w:marTop w:val="0"/>
      <w:marBottom w:val="0"/>
      <w:divBdr>
        <w:top w:val="none" w:sz="0" w:space="0" w:color="auto"/>
        <w:left w:val="none" w:sz="0" w:space="0" w:color="auto"/>
        <w:bottom w:val="none" w:sz="0" w:space="0" w:color="auto"/>
        <w:right w:val="none" w:sz="0" w:space="0" w:color="auto"/>
      </w:divBdr>
    </w:div>
    <w:div w:id="1309358619">
      <w:bodyDiv w:val="1"/>
      <w:marLeft w:val="0"/>
      <w:marRight w:val="0"/>
      <w:marTop w:val="0"/>
      <w:marBottom w:val="0"/>
      <w:divBdr>
        <w:top w:val="none" w:sz="0" w:space="0" w:color="auto"/>
        <w:left w:val="none" w:sz="0" w:space="0" w:color="auto"/>
        <w:bottom w:val="none" w:sz="0" w:space="0" w:color="auto"/>
        <w:right w:val="none" w:sz="0" w:space="0" w:color="auto"/>
      </w:divBdr>
    </w:div>
    <w:div w:id="1355886095">
      <w:bodyDiv w:val="1"/>
      <w:marLeft w:val="0"/>
      <w:marRight w:val="0"/>
      <w:marTop w:val="0"/>
      <w:marBottom w:val="0"/>
      <w:divBdr>
        <w:top w:val="none" w:sz="0" w:space="0" w:color="auto"/>
        <w:left w:val="none" w:sz="0" w:space="0" w:color="auto"/>
        <w:bottom w:val="none" w:sz="0" w:space="0" w:color="auto"/>
        <w:right w:val="none" w:sz="0" w:space="0" w:color="auto"/>
      </w:divBdr>
    </w:div>
    <w:div w:id="1448156092">
      <w:bodyDiv w:val="1"/>
      <w:marLeft w:val="0"/>
      <w:marRight w:val="0"/>
      <w:marTop w:val="0"/>
      <w:marBottom w:val="0"/>
      <w:divBdr>
        <w:top w:val="none" w:sz="0" w:space="0" w:color="auto"/>
        <w:left w:val="none" w:sz="0" w:space="0" w:color="auto"/>
        <w:bottom w:val="none" w:sz="0" w:space="0" w:color="auto"/>
        <w:right w:val="none" w:sz="0" w:space="0" w:color="auto"/>
      </w:divBdr>
    </w:div>
    <w:div w:id="1532105287">
      <w:bodyDiv w:val="1"/>
      <w:marLeft w:val="0"/>
      <w:marRight w:val="0"/>
      <w:marTop w:val="0"/>
      <w:marBottom w:val="0"/>
      <w:divBdr>
        <w:top w:val="none" w:sz="0" w:space="0" w:color="auto"/>
        <w:left w:val="none" w:sz="0" w:space="0" w:color="auto"/>
        <w:bottom w:val="none" w:sz="0" w:space="0" w:color="auto"/>
        <w:right w:val="none" w:sz="0" w:space="0" w:color="auto"/>
      </w:divBdr>
    </w:div>
    <w:div w:id="1571306107">
      <w:bodyDiv w:val="1"/>
      <w:marLeft w:val="0"/>
      <w:marRight w:val="0"/>
      <w:marTop w:val="0"/>
      <w:marBottom w:val="0"/>
      <w:divBdr>
        <w:top w:val="none" w:sz="0" w:space="0" w:color="auto"/>
        <w:left w:val="none" w:sz="0" w:space="0" w:color="auto"/>
        <w:bottom w:val="none" w:sz="0" w:space="0" w:color="auto"/>
        <w:right w:val="none" w:sz="0" w:space="0" w:color="auto"/>
      </w:divBdr>
    </w:div>
    <w:div w:id="1611086668">
      <w:bodyDiv w:val="1"/>
      <w:marLeft w:val="0"/>
      <w:marRight w:val="0"/>
      <w:marTop w:val="0"/>
      <w:marBottom w:val="0"/>
      <w:divBdr>
        <w:top w:val="none" w:sz="0" w:space="0" w:color="auto"/>
        <w:left w:val="none" w:sz="0" w:space="0" w:color="auto"/>
        <w:bottom w:val="none" w:sz="0" w:space="0" w:color="auto"/>
        <w:right w:val="none" w:sz="0" w:space="0" w:color="auto"/>
      </w:divBdr>
    </w:div>
    <w:div w:id="1653291756">
      <w:bodyDiv w:val="1"/>
      <w:marLeft w:val="0"/>
      <w:marRight w:val="0"/>
      <w:marTop w:val="0"/>
      <w:marBottom w:val="0"/>
      <w:divBdr>
        <w:top w:val="none" w:sz="0" w:space="0" w:color="auto"/>
        <w:left w:val="none" w:sz="0" w:space="0" w:color="auto"/>
        <w:bottom w:val="none" w:sz="0" w:space="0" w:color="auto"/>
        <w:right w:val="none" w:sz="0" w:space="0" w:color="auto"/>
      </w:divBdr>
    </w:div>
    <w:div w:id="1677460287">
      <w:bodyDiv w:val="1"/>
      <w:marLeft w:val="0"/>
      <w:marRight w:val="0"/>
      <w:marTop w:val="0"/>
      <w:marBottom w:val="0"/>
      <w:divBdr>
        <w:top w:val="none" w:sz="0" w:space="0" w:color="auto"/>
        <w:left w:val="none" w:sz="0" w:space="0" w:color="auto"/>
        <w:bottom w:val="none" w:sz="0" w:space="0" w:color="auto"/>
        <w:right w:val="none" w:sz="0" w:space="0" w:color="auto"/>
      </w:divBdr>
    </w:div>
    <w:div w:id="1724258577">
      <w:bodyDiv w:val="1"/>
      <w:marLeft w:val="0"/>
      <w:marRight w:val="0"/>
      <w:marTop w:val="0"/>
      <w:marBottom w:val="0"/>
      <w:divBdr>
        <w:top w:val="none" w:sz="0" w:space="0" w:color="auto"/>
        <w:left w:val="none" w:sz="0" w:space="0" w:color="auto"/>
        <w:bottom w:val="none" w:sz="0" w:space="0" w:color="auto"/>
        <w:right w:val="none" w:sz="0" w:space="0" w:color="auto"/>
      </w:divBdr>
    </w:div>
    <w:div w:id="1729499647">
      <w:bodyDiv w:val="1"/>
      <w:marLeft w:val="0"/>
      <w:marRight w:val="0"/>
      <w:marTop w:val="0"/>
      <w:marBottom w:val="0"/>
      <w:divBdr>
        <w:top w:val="none" w:sz="0" w:space="0" w:color="auto"/>
        <w:left w:val="none" w:sz="0" w:space="0" w:color="auto"/>
        <w:bottom w:val="none" w:sz="0" w:space="0" w:color="auto"/>
        <w:right w:val="none" w:sz="0" w:space="0" w:color="auto"/>
      </w:divBdr>
    </w:div>
    <w:div w:id="1743603267">
      <w:bodyDiv w:val="1"/>
      <w:marLeft w:val="0"/>
      <w:marRight w:val="0"/>
      <w:marTop w:val="0"/>
      <w:marBottom w:val="0"/>
      <w:divBdr>
        <w:top w:val="none" w:sz="0" w:space="0" w:color="auto"/>
        <w:left w:val="none" w:sz="0" w:space="0" w:color="auto"/>
        <w:bottom w:val="none" w:sz="0" w:space="0" w:color="auto"/>
        <w:right w:val="none" w:sz="0" w:space="0" w:color="auto"/>
      </w:divBdr>
    </w:div>
    <w:div w:id="1789471554">
      <w:bodyDiv w:val="1"/>
      <w:marLeft w:val="0"/>
      <w:marRight w:val="0"/>
      <w:marTop w:val="0"/>
      <w:marBottom w:val="0"/>
      <w:divBdr>
        <w:top w:val="none" w:sz="0" w:space="0" w:color="auto"/>
        <w:left w:val="none" w:sz="0" w:space="0" w:color="auto"/>
        <w:bottom w:val="none" w:sz="0" w:space="0" w:color="auto"/>
        <w:right w:val="none" w:sz="0" w:space="0" w:color="auto"/>
      </w:divBdr>
    </w:div>
    <w:div w:id="1836220368">
      <w:bodyDiv w:val="1"/>
      <w:marLeft w:val="0"/>
      <w:marRight w:val="0"/>
      <w:marTop w:val="0"/>
      <w:marBottom w:val="0"/>
      <w:divBdr>
        <w:top w:val="none" w:sz="0" w:space="0" w:color="auto"/>
        <w:left w:val="none" w:sz="0" w:space="0" w:color="auto"/>
        <w:bottom w:val="none" w:sz="0" w:space="0" w:color="auto"/>
        <w:right w:val="none" w:sz="0" w:space="0" w:color="auto"/>
      </w:divBdr>
    </w:div>
    <w:div w:id="1905985000">
      <w:bodyDiv w:val="1"/>
      <w:marLeft w:val="0"/>
      <w:marRight w:val="0"/>
      <w:marTop w:val="0"/>
      <w:marBottom w:val="0"/>
      <w:divBdr>
        <w:top w:val="none" w:sz="0" w:space="0" w:color="auto"/>
        <w:left w:val="none" w:sz="0" w:space="0" w:color="auto"/>
        <w:bottom w:val="none" w:sz="0" w:space="0" w:color="auto"/>
        <w:right w:val="none" w:sz="0" w:space="0" w:color="auto"/>
      </w:divBdr>
    </w:div>
    <w:div w:id="1956328685">
      <w:bodyDiv w:val="1"/>
      <w:marLeft w:val="0"/>
      <w:marRight w:val="0"/>
      <w:marTop w:val="0"/>
      <w:marBottom w:val="0"/>
      <w:divBdr>
        <w:top w:val="none" w:sz="0" w:space="0" w:color="auto"/>
        <w:left w:val="none" w:sz="0" w:space="0" w:color="auto"/>
        <w:bottom w:val="none" w:sz="0" w:space="0" w:color="auto"/>
        <w:right w:val="none" w:sz="0" w:space="0" w:color="auto"/>
      </w:divBdr>
    </w:div>
    <w:div w:id="1964656548">
      <w:bodyDiv w:val="1"/>
      <w:marLeft w:val="0"/>
      <w:marRight w:val="0"/>
      <w:marTop w:val="0"/>
      <w:marBottom w:val="0"/>
      <w:divBdr>
        <w:top w:val="none" w:sz="0" w:space="0" w:color="auto"/>
        <w:left w:val="none" w:sz="0" w:space="0" w:color="auto"/>
        <w:bottom w:val="none" w:sz="0" w:space="0" w:color="auto"/>
        <w:right w:val="none" w:sz="0" w:space="0" w:color="auto"/>
      </w:divBdr>
    </w:div>
    <w:div w:id="1983582379">
      <w:bodyDiv w:val="1"/>
      <w:marLeft w:val="0"/>
      <w:marRight w:val="0"/>
      <w:marTop w:val="0"/>
      <w:marBottom w:val="0"/>
      <w:divBdr>
        <w:top w:val="none" w:sz="0" w:space="0" w:color="auto"/>
        <w:left w:val="none" w:sz="0" w:space="0" w:color="auto"/>
        <w:bottom w:val="none" w:sz="0" w:space="0" w:color="auto"/>
        <w:right w:val="none" w:sz="0" w:space="0" w:color="auto"/>
      </w:divBdr>
    </w:div>
    <w:div w:id="2049062380">
      <w:bodyDiv w:val="1"/>
      <w:marLeft w:val="0"/>
      <w:marRight w:val="0"/>
      <w:marTop w:val="0"/>
      <w:marBottom w:val="0"/>
      <w:divBdr>
        <w:top w:val="none" w:sz="0" w:space="0" w:color="auto"/>
        <w:left w:val="none" w:sz="0" w:space="0" w:color="auto"/>
        <w:bottom w:val="none" w:sz="0" w:space="0" w:color="auto"/>
        <w:right w:val="none" w:sz="0" w:space="0" w:color="auto"/>
      </w:divBdr>
    </w:div>
    <w:div w:id="2088502265">
      <w:bodyDiv w:val="1"/>
      <w:marLeft w:val="0"/>
      <w:marRight w:val="0"/>
      <w:marTop w:val="0"/>
      <w:marBottom w:val="0"/>
      <w:divBdr>
        <w:top w:val="none" w:sz="0" w:space="0" w:color="auto"/>
        <w:left w:val="none" w:sz="0" w:space="0" w:color="auto"/>
        <w:bottom w:val="none" w:sz="0" w:space="0" w:color="auto"/>
        <w:right w:val="none" w:sz="0" w:space="0" w:color="auto"/>
      </w:divBdr>
    </w:div>
    <w:div w:id="2099986084">
      <w:bodyDiv w:val="1"/>
      <w:marLeft w:val="0"/>
      <w:marRight w:val="0"/>
      <w:marTop w:val="0"/>
      <w:marBottom w:val="0"/>
      <w:divBdr>
        <w:top w:val="none" w:sz="0" w:space="0" w:color="auto"/>
        <w:left w:val="none" w:sz="0" w:space="0" w:color="auto"/>
        <w:bottom w:val="none" w:sz="0" w:space="0" w:color="auto"/>
        <w:right w:val="none" w:sz="0" w:space="0" w:color="auto"/>
      </w:divBdr>
    </w:div>
    <w:div w:id="213182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27653-E13C-4EB4-BF5E-BD9FCEB86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30</Pages>
  <Words>10917</Words>
  <Characters>76580</Characters>
  <Application>Microsoft Office Word</Application>
  <DocSecurity>0</DocSecurity>
  <Lines>638</Lines>
  <Paragraphs>174</Paragraphs>
  <ScaleCrop>false</ScaleCrop>
  <HeadingPairs>
    <vt:vector size="2" baseType="variant">
      <vt:variant>
        <vt:lpstr>Cím</vt:lpstr>
      </vt:variant>
      <vt:variant>
        <vt:i4>1</vt:i4>
      </vt:variant>
    </vt:vector>
  </HeadingPairs>
  <TitlesOfParts>
    <vt:vector size="1" baseType="lpstr">
      <vt:lpstr>VASIVÍZ Vas Megyei Víz- és Csatornamű Rt</vt:lpstr>
    </vt:vector>
  </TitlesOfParts>
  <Company>VASIVIZ Rt.</Company>
  <LinksUpToDate>false</LinksUpToDate>
  <CharactersWithSpaces>87323</CharactersWithSpaces>
  <SharedDoc>false</SharedDoc>
  <HLinks>
    <vt:vector size="162" baseType="variant">
      <vt:variant>
        <vt:i4>1900593</vt:i4>
      </vt:variant>
      <vt:variant>
        <vt:i4>158</vt:i4>
      </vt:variant>
      <vt:variant>
        <vt:i4>0</vt:i4>
      </vt:variant>
      <vt:variant>
        <vt:i4>5</vt:i4>
      </vt:variant>
      <vt:variant>
        <vt:lpwstr/>
      </vt:variant>
      <vt:variant>
        <vt:lpwstr>_Toc457562487</vt:lpwstr>
      </vt:variant>
      <vt:variant>
        <vt:i4>1900593</vt:i4>
      </vt:variant>
      <vt:variant>
        <vt:i4>152</vt:i4>
      </vt:variant>
      <vt:variant>
        <vt:i4>0</vt:i4>
      </vt:variant>
      <vt:variant>
        <vt:i4>5</vt:i4>
      </vt:variant>
      <vt:variant>
        <vt:lpwstr/>
      </vt:variant>
      <vt:variant>
        <vt:lpwstr>_Toc457562486</vt:lpwstr>
      </vt:variant>
      <vt:variant>
        <vt:i4>1900593</vt:i4>
      </vt:variant>
      <vt:variant>
        <vt:i4>146</vt:i4>
      </vt:variant>
      <vt:variant>
        <vt:i4>0</vt:i4>
      </vt:variant>
      <vt:variant>
        <vt:i4>5</vt:i4>
      </vt:variant>
      <vt:variant>
        <vt:lpwstr/>
      </vt:variant>
      <vt:variant>
        <vt:lpwstr>_Toc457562485</vt:lpwstr>
      </vt:variant>
      <vt:variant>
        <vt:i4>1900593</vt:i4>
      </vt:variant>
      <vt:variant>
        <vt:i4>140</vt:i4>
      </vt:variant>
      <vt:variant>
        <vt:i4>0</vt:i4>
      </vt:variant>
      <vt:variant>
        <vt:i4>5</vt:i4>
      </vt:variant>
      <vt:variant>
        <vt:lpwstr/>
      </vt:variant>
      <vt:variant>
        <vt:lpwstr>_Toc457562484</vt:lpwstr>
      </vt:variant>
      <vt:variant>
        <vt:i4>1900593</vt:i4>
      </vt:variant>
      <vt:variant>
        <vt:i4>134</vt:i4>
      </vt:variant>
      <vt:variant>
        <vt:i4>0</vt:i4>
      </vt:variant>
      <vt:variant>
        <vt:i4>5</vt:i4>
      </vt:variant>
      <vt:variant>
        <vt:lpwstr/>
      </vt:variant>
      <vt:variant>
        <vt:lpwstr>_Toc457562483</vt:lpwstr>
      </vt:variant>
      <vt:variant>
        <vt:i4>1900593</vt:i4>
      </vt:variant>
      <vt:variant>
        <vt:i4>128</vt:i4>
      </vt:variant>
      <vt:variant>
        <vt:i4>0</vt:i4>
      </vt:variant>
      <vt:variant>
        <vt:i4>5</vt:i4>
      </vt:variant>
      <vt:variant>
        <vt:lpwstr/>
      </vt:variant>
      <vt:variant>
        <vt:lpwstr>_Toc457562482</vt:lpwstr>
      </vt:variant>
      <vt:variant>
        <vt:i4>1900593</vt:i4>
      </vt:variant>
      <vt:variant>
        <vt:i4>122</vt:i4>
      </vt:variant>
      <vt:variant>
        <vt:i4>0</vt:i4>
      </vt:variant>
      <vt:variant>
        <vt:i4>5</vt:i4>
      </vt:variant>
      <vt:variant>
        <vt:lpwstr/>
      </vt:variant>
      <vt:variant>
        <vt:lpwstr>_Toc457562481</vt:lpwstr>
      </vt:variant>
      <vt:variant>
        <vt:i4>1900593</vt:i4>
      </vt:variant>
      <vt:variant>
        <vt:i4>116</vt:i4>
      </vt:variant>
      <vt:variant>
        <vt:i4>0</vt:i4>
      </vt:variant>
      <vt:variant>
        <vt:i4>5</vt:i4>
      </vt:variant>
      <vt:variant>
        <vt:lpwstr/>
      </vt:variant>
      <vt:variant>
        <vt:lpwstr>_Toc457562480</vt:lpwstr>
      </vt:variant>
      <vt:variant>
        <vt:i4>1179697</vt:i4>
      </vt:variant>
      <vt:variant>
        <vt:i4>110</vt:i4>
      </vt:variant>
      <vt:variant>
        <vt:i4>0</vt:i4>
      </vt:variant>
      <vt:variant>
        <vt:i4>5</vt:i4>
      </vt:variant>
      <vt:variant>
        <vt:lpwstr/>
      </vt:variant>
      <vt:variant>
        <vt:lpwstr>_Toc457562479</vt:lpwstr>
      </vt:variant>
      <vt:variant>
        <vt:i4>1179697</vt:i4>
      </vt:variant>
      <vt:variant>
        <vt:i4>104</vt:i4>
      </vt:variant>
      <vt:variant>
        <vt:i4>0</vt:i4>
      </vt:variant>
      <vt:variant>
        <vt:i4>5</vt:i4>
      </vt:variant>
      <vt:variant>
        <vt:lpwstr/>
      </vt:variant>
      <vt:variant>
        <vt:lpwstr>_Toc457562478</vt:lpwstr>
      </vt:variant>
      <vt:variant>
        <vt:i4>1179697</vt:i4>
      </vt:variant>
      <vt:variant>
        <vt:i4>98</vt:i4>
      </vt:variant>
      <vt:variant>
        <vt:i4>0</vt:i4>
      </vt:variant>
      <vt:variant>
        <vt:i4>5</vt:i4>
      </vt:variant>
      <vt:variant>
        <vt:lpwstr/>
      </vt:variant>
      <vt:variant>
        <vt:lpwstr>_Toc457562477</vt:lpwstr>
      </vt:variant>
      <vt:variant>
        <vt:i4>1179697</vt:i4>
      </vt:variant>
      <vt:variant>
        <vt:i4>92</vt:i4>
      </vt:variant>
      <vt:variant>
        <vt:i4>0</vt:i4>
      </vt:variant>
      <vt:variant>
        <vt:i4>5</vt:i4>
      </vt:variant>
      <vt:variant>
        <vt:lpwstr/>
      </vt:variant>
      <vt:variant>
        <vt:lpwstr>_Toc457562476</vt:lpwstr>
      </vt:variant>
      <vt:variant>
        <vt:i4>1179697</vt:i4>
      </vt:variant>
      <vt:variant>
        <vt:i4>86</vt:i4>
      </vt:variant>
      <vt:variant>
        <vt:i4>0</vt:i4>
      </vt:variant>
      <vt:variant>
        <vt:i4>5</vt:i4>
      </vt:variant>
      <vt:variant>
        <vt:lpwstr/>
      </vt:variant>
      <vt:variant>
        <vt:lpwstr>_Toc457562475</vt:lpwstr>
      </vt:variant>
      <vt:variant>
        <vt:i4>1179697</vt:i4>
      </vt:variant>
      <vt:variant>
        <vt:i4>80</vt:i4>
      </vt:variant>
      <vt:variant>
        <vt:i4>0</vt:i4>
      </vt:variant>
      <vt:variant>
        <vt:i4>5</vt:i4>
      </vt:variant>
      <vt:variant>
        <vt:lpwstr/>
      </vt:variant>
      <vt:variant>
        <vt:lpwstr>_Toc457562474</vt:lpwstr>
      </vt:variant>
      <vt:variant>
        <vt:i4>1179697</vt:i4>
      </vt:variant>
      <vt:variant>
        <vt:i4>74</vt:i4>
      </vt:variant>
      <vt:variant>
        <vt:i4>0</vt:i4>
      </vt:variant>
      <vt:variant>
        <vt:i4>5</vt:i4>
      </vt:variant>
      <vt:variant>
        <vt:lpwstr/>
      </vt:variant>
      <vt:variant>
        <vt:lpwstr>_Toc457562473</vt:lpwstr>
      </vt:variant>
      <vt:variant>
        <vt:i4>1179697</vt:i4>
      </vt:variant>
      <vt:variant>
        <vt:i4>68</vt:i4>
      </vt:variant>
      <vt:variant>
        <vt:i4>0</vt:i4>
      </vt:variant>
      <vt:variant>
        <vt:i4>5</vt:i4>
      </vt:variant>
      <vt:variant>
        <vt:lpwstr/>
      </vt:variant>
      <vt:variant>
        <vt:lpwstr>_Toc457562472</vt:lpwstr>
      </vt:variant>
      <vt:variant>
        <vt:i4>1179697</vt:i4>
      </vt:variant>
      <vt:variant>
        <vt:i4>62</vt:i4>
      </vt:variant>
      <vt:variant>
        <vt:i4>0</vt:i4>
      </vt:variant>
      <vt:variant>
        <vt:i4>5</vt:i4>
      </vt:variant>
      <vt:variant>
        <vt:lpwstr/>
      </vt:variant>
      <vt:variant>
        <vt:lpwstr>_Toc457562471</vt:lpwstr>
      </vt:variant>
      <vt:variant>
        <vt:i4>1179697</vt:i4>
      </vt:variant>
      <vt:variant>
        <vt:i4>56</vt:i4>
      </vt:variant>
      <vt:variant>
        <vt:i4>0</vt:i4>
      </vt:variant>
      <vt:variant>
        <vt:i4>5</vt:i4>
      </vt:variant>
      <vt:variant>
        <vt:lpwstr/>
      </vt:variant>
      <vt:variant>
        <vt:lpwstr>_Toc457562470</vt:lpwstr>
      </vt:variant>
      <vt:variant>
        <vt:i4>1245233</vt:i4>
      </vt:variant>
      <vt:variant>
        <vt:i4>50</vt:i4>
      </vt:variant>
      <vt:variant>
        <vt:i4>0</vt:i4>
      </vt:variant>
      <vt:variant>
        <vt:i4>5</vt:i4>
      </vt:variant>
      <vt:variant>
        <vt:lpwstr/>
      </vt:variant>
      <vt:variant>
        <vt:lpwstr>_Toc457562469</vt:lpwstr>
      </vt:variant>
      <vt:variant>
        <vt:i4>1245233</vt:i4>
      </vt:variant>
      <vt:variant>
        <vt:i4>44</vt:i4>
      </vt:variant>
      <vt:variant>
        <vt:i4>0</vt:i4>
      </vt:variant>
      <vt:variant>
        <vt:i4>5</vt:i4>
      </vt:variant>
      <vt:variant>
        <vt:lpwstr/>
      </vt:variant>
      <vt:variant>
        <vt:lpwstr>_Toc457562468</vt:lpwstr>
      </vt:variant>
      <vt:variant>
        <vt:i4>1245233</vt:i4>
      </vt:variant>
      <vt:variant>
        <vt:i4>38</vt:i4>
      </vt:variant>
      <vt:variant>
        <vt:i4>0</vt:i4>
      </vt:variant>
      <vt:variant>
        <vt:i4>5</vt:i4>
      </vt:variant>
      <vt:variant>
        <vt:lpwstr/>
      </vt:variant>
      <vt:variant>
        <vt:lpwstr>_Toc457562467</vt:lpwstr>
      </vt:variant>
      <vt:variant>
        <vt:i4>1245233</vt:i4>
      </vt:variant>
      <vt:variant>
        <vt:i4>32</vt:i4>
      </vt:variant>
      <vt:variant>
        <vt:i4>0</vt:i4>
      </vt:variant>
      <vt:variant>
        <vt:i4>5</vt:i4>
      </vt:variant>
      <vt:variant>
        <vt:lpwstr/>
      </vt:variant>
      <vt:variant>
        <vt:lpwstr>_Toc457562466</vt:lpwstr>
      </vt:variant>
      <vt:variant>
        <vt:i4>1245233</vt:i4>
      </vt:variant>
      <vt:variant>
        <vt:i4>26</vt:i4>
      </vt:variant>
      <vt:variant>
        <vt:i4>0</vt:i4>
      </vt:variant>
      <vt:variant>
        <vt:i4>5</vt:i4>
      </vt:variant>
      <vt:variant>
        <vt:lpwstr/>
      </vt:variant>
      <vt:variant>
        <vt:lpwstr>_Toc457562465</vt:lpwstr>
      </vt:variant>
      <vt:variant>
        <vt:i4>1245233</vt:i4>
      </vt:variant>
      <vt:variant>
        <vt:i4>20</vt:i4>
      </vt:variant>
      <vt:variant>
        <vt:i4>0</vt:i4>
      </vt:variant>
      <vt:variant>
        <vt:i4>5</vt:i4>
      </vt:variant>
      <vt:variant>
        <vt:lpwstr/>
      </vt:variant>
      <vt:variant>
        <vt:lpwstr>_Toc457562464</vt:lpwstr>
      </vt:variant>
      <vt:variant>
        <vt:i4>1245233</vt:i4>
      </vt:variant>
      <vt:variant>
        <vt:i4>14</vt:i4>
      </vt:variant>
      <vt:variant>
        <vt:i4>0</vt:i4>
      </vt:variant>
      <vt:variant>
        <vt:i4>5</vt:i4>
      </vt:variant>
      <vt:variant>
        <vt:lpwstr/>
      </vt:variant>
      <vt:variant>
        <vt:lpwstr>_Toc457562463</vt:lpwstr>
      </vt:variant>
      <vt:variant>
        <vt:i4>1245233</vt:i4>
      </vt:variant>
      <vt:variant>
        <vt:i4>8</vt:i4>
      </vt:variant>
      <vt:variant>
        <vt:i4>0</vt:i4>
      </vt:variant>
      <vt:variant>
        <vt:i4>5</vt:i4>
      </vt:variant>
      <vt:variant>
        <vt:lpwstr/>
      </vt:variant>
      <vt:variant>
        <vt:lpwstr>_Toc457562462</vt:lpwstr>
      </vt:variant>
      <vt:variant>
        <vt:i4>1245233</vt:i4>
      </vt:variant>
      <vt:variant>
        <vt:i4>2</vt:i4>
      </vt:variant>
      <vt:variant>
        <vt:i4>0</vt:i4>
      </vt:variant>
      <vt:variant>
        <vt:i4>5</vt:i4>
      </vt:variant>
      <vt:variant>
        <vt:lpwstr/>
      </vt:variant>
      <vt:variant>
        <vt:lpwstr>_Toc457562461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VASIVÍZ Vas Megyei Víz- és Csatornamű Rt</dc:title>
  <dc:subject/>
  <dc:creator>Közgazdasági Csoport</dc:creator>
  <cp:keywords/>
  <cp:lastModifiedBy>Schmidl Adrienn</cp:lastModifiedBy>
  <cp:revision>14</cp:revision>
  <cp:lastPrinted>2017-08-22T07:13:00Z</cp:lastPrinted>
  <dcterms:created xsi:type="dcterms:W3CDTF">2017-08-18T07:13:00Z</dcterms:created>
  <dcterms:modified xsi:type="dcterms:W3CDTF">2017-08-22T10:45:00Z</dcterms:modified>
</cp:coreProperties>
</file>