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351" w:rsidRDefault="006C0019" w:rsidP="006C0019">
      <w:pPr>
        <w:rPr>
          <w:rFonts w:ascii="Arial" w:hAnsi="Arial" w:cs="Arial"/>
          <w:b/>
        </w:rPr>
      </w:pPr>
      <w:r w:rsidRPr="00787351">
        <w:rPr>
          <w:rFonts w:ascii="Arial" w:hAnsi="Arial" w:cs="Arial"/>
          <w:b/>
        </w:rPr>
        <w:t xml:space="preserve">                                                                         </w:t>
      </w:r>
    </w:p>
    <w:p w:rsidR="00787351" w:rsidRDefault="00787351" w:rsidP="006C0019">
      <w:pPr>
        <w:rPr>
          <w:rFonts w:ascii="Arial" w:hAnsi="Arial" w:cs="Arial"/>
          <w:b/>
        </w:rPr>
      </w:pPr>
    </w:p>
    <w:p w:rsidR="009E3205" w:rsidRPr="00787351" w:rsidRDefault="009E3205" w:rsidP="00787351">
      <w:pPr>
        <w:ind w:left="4248" w:firstLine="708"/>
        <w:rPr>
          <w:rFonts w:ascii="Arial" w:hAnsi="Arial" w:cs="Arial"/>
          <w:b/>
          <w:u w:val="single"/>
        </w:rPr>
      </w:pPr>
      <w:r w:rsidRPr="00787351">
        <w:rPr>
          <w:rFonts w:ascii="Arial" w:hAnsi="Arial" w:cs="Arial"/>
          <w:b/>
          <w:u w:val="single"/>
        </w:rPr>
        <w:t>Az előterjesztést megtárgyalta:</w:t>
      </w:r>
    </w:p>
    <w:p w:rsidR="009E3205" w:rsidRPr="00787351" w:rsidRDefault="009E3205" w:rsidP="009E3205">
      <w:pPr>
        <w:ind w:left="4248" w:firstLine="708"/>
        <w:rPr>
          <w:rFonts w:ascii="Arial" w:hAnsi="Arial" w:cs="Arial"/>
          <w:u w:val="single"/>
        </w:rPr>
      </w:pPr>
    </w:p>
    <w:p w:rsidR="00AC7E80" w:rsidRDefault="00AC7E80" w:rsidP="00AC7E80">
      <w:pPr>
        <w:pStyle w:val="lfej"/>
        <w:tabs>
          <w:tab w:val="clear" w:pos="4536"/>
          <w:tab w:val="center" w:pos="5220"/>
        </w:tabs>
        <w:rPr>
          <w:rFonts w:ascii="Arial" w:hAnsi="Arial" w:cs="Arial"/>
          <w:b/>
          <w:sz w:val="20"/>
        </w:rPr>
      </w:pPr>
      <w:r>
        <w:rPr>
          <w:rFonts w:ascii="Arial" w:hAnsi="Arial" w:cs="Arial"/>
          <w:b/>
          <w:sz w:val="20"/>
        </w:rPr>
        <w:tab/>
      </w:r>
      <w:r>
        <w:rPr>
          <w:rFonts w:ascii="Arial" w:hAnsi="Arial" w:cs="Arial"/>
          <w:b/>
          <w:sz w:val="20"/>
        </w:rPr>
        <w:tab/>
      </w:r>
      <w:r w:rsidRPr="004E3001">
        <w:rPr>
          <w:rFonts w:ascii="Arial" w:hAnsi="Arial" w:cs="Arial"/>
          <w:b/>
          <w:sz w:val="20"/>
        </w:rPr>
        <w:t xml:space="preserve">- </w:t>
      </w:r>
      <w:r>
        <w:rPr>
          <w:rFonts w:ascii="Arial" w:hAnsi="Arial" w:cs="Arial"/>
          <w:b/>
          <w:sz w:val="20"/>
        </w:rPr>
        <w:t>Gazdasági és Városstratégiai</w:t>
      </w:r>
      <w:r w:rsidRPr="004E3001">
        <w:rPr>
          <w:rFonts w:ascii="Arial" w:hAnsi="Arial" w:cs="Arial"/>
          <w:b/>
          <w:sz w:val="20"/>
        </w:rPr>
        <w:t xml:space="preserve"> Bizottság</w:t>
      </w:r>
    </w:p>
    <w:p w:rsidR="009E3205" w:rsidRPr="00AC7E80" w:rsidRDefault="00AC7E80" w:rsidP="00AC7E80">
      <w:pPr>
        <w:ind w:left="5220" w:hanging="264"/>
        <w:rPr>
          <w:rFonts w:ascii="Arial" w:hAnsi="Arial" w:cs="Arial"/>
        </w:rPr>
      </w:pPr>
      <w:r>
        <w:rPr>
          <w:rFonts w:ascii="Arial" w:hAnsi="Arial" w:cs="Arial"/>
          <w:b/>
          <w:sz w:val="20"/>
        </w:rPr>
        <w:tab/>
        <w:t>- Jogi és Társadalmi Kapcsolatok Bizottsága</w:t>
      </w:r>
      <w:r w:rsidRPr="00787351">
        <w:rPr>
          <w:rFonts w:ascii="Arial" w:hAnsi="Arial" w:cs="Arial"/>
        </w:rPr>
        <w:t xml:space="preserve"> </w:t>
      </w:r>
      <w:r w:rsidR="0058719F" w:rsidRPr="00787351">
        <w:rPr>
          <w:rFonts w:ascii="Arial" w:hAnsi="Arial" w:cs="Arial"/>
        </w:rPr>
        <w:tab/>
      </w:r>
    </w:p>
    <w:p w:rsidR="00A15075" w:rsidRPr="00787351" w:rsidRDefault="00A15075" w:rsidP="00A15075">
      <w:pPr>
        <w:ind w:left="4248" w:firstLine="708"/>
        <w:rPr>
          <w:rFonts w:ascii="Arial" w:hAnsi="Arial"/>
          <w:b/>
          <w:u w:val="single"/>
        </w:rPr>
      </w:pPr>
      <w:r w:rsidRPr="00787351">
        <w:rPr>
          <w:rFonts w:ascii="Arial" w:hAnsi="Arial"/>
          <w:b/>
          <w:u w:val="single"/>
        </w:rPr>
        <w:t xml:space="preserve">A </w:t>
      </w:r>
      <w:r w:rsidR="00813EFF">
        <w:rPr>
          <w:rFonts w:ascii="Arial" w:hAnsi="Arial"/>
          <w:b/>
          <w:u w:val="single"/>
        </w:rPr>
        <w:t xml:space="preserve">rendelet-tervezetet </w:t>
      </w:r>
      <w:r w:rsidRPr="00787351">
        <w:rPr>
          <w:rFonts w:ascii="Arial" w:hAnsi="Arial"/>
          <w:b/>
          <w:u w:val="single"/>
        </w:rPr>
        <w:t xml:space="preserve">törvényességi </w:t>
      </w:r>
    </w:p>
    <w:p w:rsidR="00A15075" w:rsidRPr="00787351" w:rsidRDefault="00A15075" w:rsidP="00A15075">
      <w:pPr>
        <w:ind w:left="5387" w:hanging="431"/>
        <w:rPr>
          <w:rFonts w:ascii="Arial" w:hAnsi="Arial"/>
          <w:b/>
          <w:u w:val="single"/>
        </w:rPr>
      </w:pPr>
      <w:proofErr w:type="gramStart"/>
      <w:r w:rsidRPr="00787351">
        <w:rPr>
          <w:rFonts w:ascii="Arial" w:hAnsi="Arial"/>
          <w:b/>
          <w:u w:val="single"/>
        </w:rPr>
        <w:t>szempontból</w:t>
      </w:r>
      <w:proofErr w:type="gramEnd"/>
      <w:r w:rsidRPr="00787351">
        <w:rPr>
          <w:rFonts w:ascii="Arial" w:hAnsi="Arial"/>
          <w:b/>
          <w:u w:val="single"/>
        </w:rPr>
        <w:t xml:space="preserve"> megvizsgáltam:</w:t>
      </w:r>
    </w:p>
    <w:p w:rsidR="00A15075" w:rsidRPr="00787351" w:rsidRDefault="00A15075" w:rsidP="00A15075">
      <w:pPr>
        <w:tabs>
          <w:tab w:val="left" w:pos="4253"/>
        </w:tabs>
        <w:rPr>
          <w:rFonts w:ascii="Arial" w:hAnsi="Arial"/>
          <w:b/>
          <w:u w:val="single"/>
        </w:rPr>
      </w:pPr>
    </w:p>
    <w:p w:rsidR="00A15075" w:rsidRPr="00787351" w:rsidRDefault="00A15075" w:rsidP="00A15075">
      <w:pPr>
        <w:tabs>
          <w:tab w:val="left" w:pos="4253"/>
        </w:tabs>
        <w:rPr>
          <w:rFonts w:ascii="Arial" w:hAnsi="Arial"/>
        </w:rPr>
      </w:pPr>
      <w:r w:rsidRPr="00787351">
        <w:rPr>
          <w:rFonts w:ascii="Arial" w:hAnsi="Arial"/>
          <w:i/>
        </w:rPr>
        <w:t xml:space="preserve">                                                                      </w:t>
      </w:r>
      <w:r w:rsidRPr="00787351">
        <w:rPr>
          <w:rFonts w:ascii="Arial" w:hAnsi="Arial"/>
        </w:rPr>
        <w:t xml:space="preserve">    </w:t>
      </w:r>
    </w:p>
    <w:p w:rsidR="00A15075" w:rsidRPr="00787351" w:rsidRDefault="00A15075" w:rsidP="00A15075">
      <w:pPr>
        <w:ind w:left="4962" w:hanging="4962"/>
        <w:jc w:val="center"/>
        <w:rPr>
          <w:rFonts w:ascii="Arial" w:hAnsi="Arial"/>
          <w:i/>
        </w:rPr>
      </w:pPr>
      <w:r w:rsidRPr="00787351">
        <w:rPr>
          <w:rFonts w:ascii="Arial" w:hAnsi="Arial"/>
          <w:i/>
        </w:rPr>
        <w:t xml:space="preserve">                                                                            /: Dr. Károlyi </w:t>
      </w:r>
      <w:proofErr w:type="gramStart"/>
      <w:r w:rsidRPr="00787351">
        <w:rPr>
          <w:rFonts w:ascii="Arial" w:hAnsi="Arial"/>
          <w:i/>
        </w:rPr>
        <w:t>Ákos :</w:t>
      </w:r>
      <w:proofErr w:type="gramEnd"/>
      <w:r w:rsidRPr="00787351">
        <w:rPr>
          <w:rFonts w:ascii="Arial" w:hAnsi="Arial"/>
          <w:i/>
        </w:rPr>
        <w:t>/</w:t>
      </w:r>
    </w:p>
    <w:p w:rsidR="0026584F" w:rsidRPr="00787351" w:rsidRDefault="0026584F" w:rsidP="00E70CA5">
      <w:pPr>
        <w:spacing w:line="360" w:lineRule="auto"/>
        <w:ind w:left="5040"/>
        <w:rPr>
          <w:rFonts w:ascii="Arial" w:hAnsi="Arial" w:cs="Arial"/>
          <w:i/>
        </w:rPr>
      </w:pPr>
      <w:r w:rsidRPr="00787351">
        <w:rPr>
          <w:rFonts w:ascii="Arial" w:hAnsi="Arial" w:cs="Arial"/>
        </w:rPr>
        <w:t xml:space="preserve">  </w:t>
      </w:r>
      <w:r w:rsidR="00A15075" w:rsidRPr="00787351">
        <w:rPr>
          <w:rFonts w:ascii="Arial" w:hAnsi="Arial" w:cs="Arial"/>
        </w:rPr>
        <w:tab/>
      </w:r>
      <w:r w:rsidR="00A15075" w:rsidRPr="00787351">
        <w:rPr>
          <w:rFonts w:ascii="Arial" w:hAnsi="Arial" w:cs="Arial"/>
        </w:rPr>
        <w:tab/>
        <w:t xml:space="preserve">  </w:t>
      </w:r>
      <w:r w:rsidR="00787351">
        <w:rPr>
          <w:rFonts w:ascii="Arial" w:hAnsi="Arial" w:cs="Arial"/>
        </w:rPr>
        <w:t xml:space="preserve">    </w:t>
      </w:r>
      <w:proofErr w:type="gramStart"/>
      <w:r w:rsidR="00A15075" w:rsidRPr="00787351">
        <w:rPr>
          <w:rFonts w:ascii="Arial" w:hAnsi="Arial" w:cs="Arial"/>
          <w:i/>
        </w:rPr>
        <w:t>jegyző</w:t>
      </w:r>
      <w:proofErr w:type="gramEnd"/>
    </w:p>
    <w:p w:rsidR="00E70CA5" w:rsidRPr="00E70CA5" w:rsidRDefault="00E70CA5" w:rsidP="00E70CA5">
      <w:pPr>
        <w:spacing w:line="360" w:lineRule="auto"/>
        <w:ind w:left="5040"/>
        <w:rPr>
          <w:rFonts w:ascii="Arial" w:hAnsi="Arial" w:cs="Arial"/>
          <w:i/>
          <w:sz w:val="20"/>
          <w:szCs w:val="20"/>
        </w:rPr>
      </w:pPr>
    </w:p>
    <w:p w:rsidR="00BB27CA" w:rsidRDefault="00BB27CA" w:rsidP="00BB27CA">
      <w:pPr>
        <w:numPr>
          <w:ilvl w:val="12"/>
          <w:numId w:val="0"/>
        </w:numPr>
        <w:jc w:val="center"/>
        <w:rPr>
          <w:rFonts w:ascii="Arial" w:hAnsi="Arial" w:cs="Arial"/>
          <w:b/>
          <w:u w:val="single"/>
        </w:rPr>
      </w:pPr>
      <w:r>
        <w:rPr>
          <w:rFonts w:ascii="Arial" w:hAnsi="Arial" w:cs="Arial"/>
          <w:b/>
          <w:u w:val="single"/>
        </w:rPr>
        <w:t>E L Ő T E R J E S Z T É S</w:t>
      </w:r>
    </w:p>
    <w:p w:rsidR="00BB27CA" w:rsidRDefault="00BB27CA" w:rsidP="00BB27CA">
      <w:pPr>
        <w:numPr>
          <w:ilvl w:val="12"/>
          <w:numId w:val="0"/>
        </w:numPr>
        <w:jc w:val="center"/>
        <w:rPr>
          <w:rFonts w:ascii="Arial" w:hAnsi="Arial" w:cs="Arial"/>
          <w:b/>
          <w:u w:val="single"/>
        </w:rPr>
      </w:pPr>
    </w:p>
    <w:p w:rsidR="00BB27CA" w:rsidRDefault="00BB27CA" w:rsidP="00BB27CA">
      <w:pPr>
        <w:pStyle w:val="Cmsor1"/>
        <w:numPr>
          <w:ilvl w:val="12"/>
          <w:numId w:val="0"/>
        </w:numPr>
        <w:spacing w:before="120"/>
        <w:jc w:val="center"/>
        <w:rPr>
          <w:sz w:val="24"/>
          <w:szCs w:val="24"/>
        </w:rPr>
      </w:pPr>
      <w:r w:rsidRPr="00D22FED">
        <w:rPr>
          <w:sz w:val="24"/>
          <w:szCs w:val="24"/>
        </w:rPr>
        <w:t>Szombathely Megyei Jogú Város Közgyűlésének 201</w:t>
      </w:r>
      <w:r w:rsidR="0009292D">
        <w:rPr>
          <w:sz w:val="24"/>
          <w:szCs w:val="24"/>
        </w:rPr>
        <w:t>6</w:t>
      </w:r>
      <w:r w:rsidRPr="00D22FED">
        <w:rPr>
          <w:sz w:val="24"/>
          <w:szCs w:val="24"/>
        </w:rPr>
        <w:t>.</w:t>
      </w:r>
      <w:r w:rsidR="00813EFF">
        <w:rPr>
          <w:sz w:val="24"/>
          <w:szCs w:val="24"/>
        </w:rPr>
        <w:t xml:space="preserve"> december 15</w:t>
      </w:r>
      <w:r>
        <w:rPr>
          <w:sz w:val="24"/>
          <w:szCs w:val="24"/>
        </w:rPr>
        <w:t>-</w:t>
      </w:r>
      <w:r w:rsidRPr="00D22FED">
        <w:rPr>
          <w:sz w:val="24"/>
          <w:szCs w:val="24"/>
        </w:rPr>
        <w:t>i ülésére</w:t>
      </w:r>
    </w:p>
    <w:p w:rsidR="00DA386D" w:rsidRPr="005E72CF" w:rsidRDefault="005E72CF" w:rsidP="00595395">
      <w:pPr>
        <w:rPr>
          <w:rFonts w:ascii="Arial" w:hAnsi="Arial" w:cs="Arial"/>
          <w:b/>
        </w:rPr>
      </w:pPr>
      <w:r w:rsidRPr="005E72CF">
        <w:rPr>
          <w:rFonts w:ascii="Arial" w:hAnsi="Arial" w:cs="Arial"/>
          <w:b/>
        </w:rPr>
        <w:t xml:space="preserve">      </w:t>
      </w:r>
    </w:p>
    <w:p w:rsidR="00AC7E80" w:rsidRPr="00F846B4" w:rsidRDefault="00AC7E80" w:rsidP="00AC7E80">
      <w:pPr>
        <w:jc w:val="center"/>
        <w:rPr>
          <w:rFonts w:ascii="Arial" w:hAnsi="Arial" w:cs="Arial"/>
          <w:b/>
        </w:rPr>
      </w:pPr>
      <w:r w:rsidRPr="00F846B4">
        <w:rPr>
          <w:rFonts w:ascii="Arial" w:hAnsi="Arial" w:cs="Arial"/>
          <w:b/>
        </w:rPr>
        <w:t xml:space="preserve">Javaslat </w:t>
      </w:r>
      <w:r>
        <w:rPr>
          <w:rFonts w:ascii="Arial" w:hAnsi="Arial" w:cs="Arial"/>
          <w:b/>
        </w:rPr>
        <w:t xml:space="preserve">a </w:t>
      </w:r>
      <w:r w:rsidRPr="00F846B4">
        <w:rPr>
          <w:rFonts w:ascii="Arial" w:hAnsi="Arial" w:cs="Arial"/>
          <w:b/>
        </w:rPr>
        <w:t>helyi adókról szóló 38/2011.(XII.19.) önkormányzati rendelet módosítására</w:t>
      </w:r>
    </w:p>
    <w:p w:rsidR="00AC7E80" w:rsidRDefault="00AC7E80" w:rsidP="00AC7E80">
      <w:pPr>
        <w:jc w:val="center"/>
        <w:rPr>
          <w:rFonts w:ascii="Arial" w:hAnsi="Arial" w:cs="Arial"/>
          <w:b/>
        </w:rPr>
      </w:pPr>
    </w:p>
    <w:p w:rsidR="00AC7E80" w:rsidRDefault="00AC7E80" w:rsidP="00AC7E80">
      <w:pPr>
        <w:jc w:val="both"/>
        <w:rPr>
          <w:rFonts w:ascii="Arial" w:hAnsi="Arial" w:cs="Arial"/>
          <w:b/>
        </w:rPr>
      </w:pPr>
    </w:p>
    <w:p w:rsidR="00AC7E80" w:rsidRDefault="00AC7E80" w:rsidP="00AC7E80">
      <w:pPr>
        <w:jc w:val="both"/>
        <w:rPr>
          <w:rFonts w:ascii="Arial" w:hAnsi="Arial" w:cs="Arial"/>
        </w:rPr>
      </w:pPr>
      <w:r>
        <w:rPr>
          <w:rFonts w:ascii="Arial" w:hAnsi="Arial" w:cs="Arial"/>
        </w:rPr>
        <w:t>Szombathely Megyei Jogú Város Önkormányzata a</w:t>
      </w:r>
      <w:r w:rsidRPr="00D86F18">
        <w:rPr>
          <w:rFonts w:ascii="Arial" w:hAnsi="Arial" w:cs="Arial"/>
        </w:rPr>
        <w:t xml:space="preserve"> helyi adókról szóló 1990. évi C. törvény (a továbbiakban: </w:t>
      </w:r>
      <w:proofErr w:type="spellStart"/>
      <w:r w:rsidRPr="00D86F18">
        <w:rPr>
          <w:rFonts w:ascii="Arial" w:hAnsi="Arial" w:cs="Arial"/>
        </w:rPr>
        <w:t>Htv</w:t>
      </w:r>
      <w:proofErr w:type="spellEnd"/>
      <w:r w:rsidRPr="00D86F18">
        <w:rPr>
          <w:rFonts w:ascii="Arial" w:hAnsi="Arial" w:cs="Arial"/>
        </w:rPr>
        <w:t xml:space="preserve">.) </w:t>
      </w:r>
      <w:r>
        <w:rPr>
          <w:rFonts w:ascii="Arial" w:hAnsi="Arial" w:cs="Arial"/>
        </w:rPr>
        <w:t xml:space="preserve">felhatalmazása alapján helyi iparűzési adómentességet biztosít </w:t>
      </w:r>
      <w:proofErr w:type="gramStart"/>
      <w:r>
        <w:rPr>
          <w:rFonts w:ascii="Arial" w:hAnsi="Arial" w:cs="Arial"/>
        </w:rPr>
        <w:t>a   2</w:t>
      </w:r>
      <w:proofErr w:type="gramEnd"/>
      <w:r>
        <w:rPr>
          <w:rFonts w:ascii="Arial" w:hAnsi="Arial" w:cs="Arial"/>
        </w:rPr>
        <w:t xml:space="preserve">,5 millió forint vállalkozási szintű adóalap alatti vállalkozások; továbbá a 20 millió forint vállalkozási szintű adóalap alatti, a </w:t>
      </w:r>
      <w:proofErr w:type="spellStart"/>
      <w:r>
        <w:rPr>
          <w:rFonts w:ascii="Arial" w:hAnsi="Arial" w:cs="Arial"/>
        </w:rPr>
        <w:t>Htv</w:t>
      </w:r>
      <w:proofErr w:type="spellEnd"/>
      <w:r>
        <w:rPr>
          <w:rFonts w:ascii="Arial" w:hAnsi="Arial" w:cs="Arial"/>
        </w:rPr>
        <w:t>. 52. § 23. pontja alapján háziorvos, házi gyermekorvos, fogorvos, védőnő vállalkozók részére.</w:t>
      </w:r>
    </w:p>
    <w:p w:rsidR="00AC7E80" w:rsidRDefault="00AC7E80" w:rsidP="00AC7E80">
      <w:pPr>
        <w:jc w:val="both"/>
        <w:rPr>
          <w:rFonts w:ascii="Arial" w:hAnsi="Arial" w:cs="Arial"/>
        </w:rPr>
      </w:pPr>
    </w:p>
    <w:p w:rsidR="00AC7E80" w:rsidRDefault="00AC7E80" w:rsidP="00AC7E80">
      <w:pPr>
        <w:jc w:val="both"/>
        <w:rPr>
          <w:rFonts w:ascii="Arial" w:hAnsi="Arial" w:cs="Arial"/>
        </w:rPr>
      </w:pPr>
      <w:r>
        <w:rPr>
          <w:rFonts w:ascii="Arial" w:hAnsi="Arial" w:cs="Arial"/>
        </w:rPr>
        <w:t xml:space="preserve">A </w:t>
      </w:r>
      <w:proofErr w:type="spellStart"/>
      <w:r>
        <w:rPr>
          <w:rFonts w:ascii="Arial" w:hAnsi="Arial" w:cs="Arial"/>
        </w:rPr>
        <w:t>Htv</w:t>
      </w:r>
      <w:proofErr w:type="spellEnd"/>
      <w:r>
        <w:rPr>
          <w:rFonts w:ascii="Arial" w:hAnsi="Arial" w:cs="Arial"/>
        </w:rPr>
        <w:t xml:space="preserve">. jelenleg hatályos 39/C. § (5) bekezdése szerint az önkormányzatok által rendeletben szabályozott fenti mentesség, kedvezmény csekély összegű (de </w:t>
      </w:r>
      <w:proofErr w:type="spellStart"/>
      <w:r>
        <w:rPr>
          <w:rFonts w:ascii="Arial" w:hAnsi="Arial" w:cs="Arial"/>
        </w:rPr>
        <w:t>minimis</w:t>
      </w:r>
      <w:proofErr w:type="spellEnd"/>
      <w:r>
        <w:rPr>
          <w:rFonts w:ascii="Arial" w:hAnsi="Arial" w:cs="Arial"/>
        </w:rPr>
        <w:t xml:space="preserve">) támogatásnak minősül. A csekély összegű támogatás kedvezményezettjének nyilatkoznia kell a támogatás odaítélésnek évében és az azt követő két pénzügyi évben a részére nyújtott csekély összegű támogatások támogatástartalmáról. Erre tekintettel a jelenleg hatályos </w:t>
      </w:r>
      <w:r w:rsidRPr="00220C38">
        <w:rPr>
          <w:rFonts w:ascii="Arial" w:hAnsi="Arial" w:cs="Arial"/>
        </w:rPr>
        <w:t>helyi adókról szóló 38/2011.(XII.19.) önkormányzati rendelet</w:t>
      </w:r>
      <w:r>
        <w:rPr>
          <w:rFonts w:ascii="Arial" w:hAnsi="Arial" w:cs="Arial"/>
          <w:b/>
        </w:rPr>
        <w:t xml:space="preserve"> </w:t>
      </w:r>
      <w:r>
        <w:rPr>
          <w:rFonts w:ascii="Arial" w:hAnsi="Arial" w:cs="Arial"/>
        </w:rPr>
        <w:t xml:space="preserve">mellékletét képezi az Európai Bizottság által elfogadott tartalmú de </w:t>
      </w:r>
      <w:proofErr w:type="spellStart"/>
      <w:r>
        <w:rPr>
          <w:rFonts w:ascii="Arial" w:hAnsi="Arial" w:cs="Arial"/>
        </w:rPr>
        <w:t>minimis</w:t>
      </w:r>
      <w:proofErr w:type="spellEnd"/>
      <w:r>
        <w:rPr>
          <w:rFonts w:ascii="Arial" w:hAnsi="Arial" w:cs="Arial"/>
        </w:rPr>
        <w:t xml:space="preserve"> nyilatkozat és a támogatást nyújtó (önkormányzat) igazolása.</w:t>
      </w:r>
    </w:p>
    <w:p w:rsidR="00AC7E80" w:rsidRPr="00A17C2E" w:rsidRDefault="00AC7E80" w:rsidP="00AC7E80">
      <w:pPr>
        <w:jc w:val="both"/>
        <w:rPr>
          <w:rFonts w:ascii="Arial" w:hAnsi="Arial"/>
        </w:rPr>
      </w:pPr>
    </w:p>
    <w:p w:rsidR="00AC7E80" w:rsidRDefault="00AC7E80" w:rsidP="00AC7E80">
      <w:pPr>
        <w:jc w:val="both"/>
        <w:rPr>
          <w:rFonts w:ascii="Arial" w:hAnsi="Arial" w:cs="Arial"/>
        </w:rPr>
      </w:pPr>
      <w:r>
        <w:rPr>
          <w:rFonts w:ascii="Arial" w:hAnsi="Arial" w:cs="Arial"/>
        </w:rPr>
        <w:t xml:space="preserve">Az Országgyűlés által 2016. november 22. napján elfogadott, az egyes adótörvények és más kapcsolódó törvények módosításáról szóló 2016. évi CXXV. törvény 118. § 1. pontja 2017. január 1. napjától hatályon kívül helyezi a </w:t>
      </w:r>
      <w:proofErr w:type="spellStart"/>
      <w:r>
        <w:rPr>
          <w:rFonts w:ascii="Arial" w:hAnsi="Arial" w:cs="Arial"/>
        </w:rPr>
        <w:t>Htv</w:t>
      </w:r>
      <w:proofErr w:type="spellEnd"/>
      <w:r>
        <w:rPr>
          <w:rFonts w:ascii="Arial" w:hAnsi="Arial" w:cs="Arial"/>
        </w:rPr>
        <w:t xml:space="preserve">. 39/C. § (5) bekezdését. Az indokolás értelmében ezen adóelőnyök érvényesítése aránytalanul magas adminisztrációs teherrel jár </w:t>
      </w:r>
      <w:r>
        <w:rPr>
          <w:rFonts w:ascii="Arial" w:hAnsi="Arial" w:cs="Arial"/>
        </w:rPr>
        <w:lastRenderedPageBreak/>
        <w:t xml:space="preserve">együtt, ezért adminisztrációs egyszerűsítésként, figyelemmel a releváns uniós jog céljára és hatékony érvényesülésére hatályon kívül helyezi azt a rendelkezést, amely előírja, hogy az adóelőnyök de </w:t>
      </w:r>
      <w:proofErr w:type="spellStart"/>
      <w:r>
        <w:rPr>
          <w:rFonts w:ascii="Arial" w:hAnsi="Arial" w:cs="Arial"/>
        </w:rPr>
        <w:t>minimis</w:t>
      </w:r>
      <w:proofErr w:type="spellEnd"/>
      <w:r>
        <w:rPr>
          <w:rFonts w:ascii="Arial" w:hAnsi="Arial" w:cs="Arial"/>
        </w:rPr>
        <w:t xml:space="preserve"> támogatásnak minősülnek.</w:t>
      </w:r>
    </w:p>
    <w:p w:rsidR="00AC7E80" w:rsidRDefault="00AC7E80" w:rsidP="00AC7E80">
      <w:pPr>
        <w:jc w:val="both"/>
        <w:rPr>
          <w:rFonts w:ascii="Arial" w:hAnsi="Arial" w:cs="Arial"/>
        </w:rPr>
      </w:pPr>
      <w:r>
        <w:rPr>
          <w:rFonts w:ascii="Arial" w:hAnsi="Arial" w:cs="Arial"/>
        </w:rPr>
        <w:t xml:space="preserve">A </w:t>
      </w:r>
      <w:proofErr w:type="spellStart"/>
      <w:r>
        <w:rPr>
          <w:rFonts w:ascii="Arial" w:hAnsi="Arial" w:cs="Arial"/>
        </w:rPr>
        <w:t>Htv</w:t>
      </w:r>
      <w:proofErr w:type="spellEnd"/>
      <w:r>
        <w:rPr>
          <w:rFonts w:ascii="Arial" w:hAnsi="Arial" w:cs="Arial"/>
        </w:rPr>
        <w:t>. további módosítása értelmében a hatályon kívül helyezett 39/C. § (5) bekezdés rendelkezését már a 2016. évben kezdődő adóév helyi iparűzési adójának megállapítása során sem kell alkalmazni, jelentősen csökkentve ezzel az érintett adóalanyok adminisztrációját.</w:t>
      </w:r>
    </w:p>
    <w:p w:rsidR="00AC7E80" w:rsidRDefault="00AC7E80" w:rsidP="00AC7E80">
      <w:pPr>
        <w:jc w:val="both"/>
        <w:rPr>
          <w:rFonts w:ascii="Arial" w:hAnsi="Arial" w:cs="Arial"/>
        </w:rPr>
      </w:pPr>
    </w:p>
    <w:p w:rsidR="00AC7E80" w:rsidRDefault="00AC7E80" w:rsidP="00AC7E80">
      <w:pPr>
        <w:jc w:val="both"/>
        <w:rPr>
          <w:rFonts w:ascii="Arial" w:hAnsi="Arial" w:cs="Arial"/>
        </w:rPr>
      </w:pPr>
      <w:r>
        <w:rPr>
          <w:rFonts w:ascii="Arial" w:hAnsi="Arial" w:cs="Arial"/>
        </w:rPr>
        <w:t xml:space="preserve">Tekintettel arra, hogy az Országgyűlés döntése alapján az önkormányzatok által nyújtott adóelőnyök nem minősülnek de </w:t>
      </w:r>
      <w:proofErr w:type="spellStart"/>
      <w:r>
        <w:rPr>
          <w:rFonts w:ascii="Arial" w:hAnsi="Arial" w:cs="Arial"/>
        </w:rPr>
        <w:t>minimis</w:t>
      </w:r>
      <w:proofErr w:type="spellEnd"/>
      <w:r>
        <w:rPr>
          <w:rFonts w:ascii="Arial" w:hAnsi="Arial" w:cs="Arial"/>
        </w:rPr>
        <w:t xml:space="preserve"> támogatásnak</w:t>
      </w:r>
      <w:r w:rsidR="00FE4C32">
        <w:rPr>
          <w:rFonts w:ascii="Arial" w:hAnsi="Arial" w:cs="Arial"/>
        </w:rPr>
        <w:t>,</w:t>
      </w:r>
      <w:r>
        <w:rPr>
          <w:rFonts w:ascii="Arial" w:hAnsi="Arial" w:cs="Arial"/>
        </w:rPr>
        <w:t xml:space="preserve"> indokolt a helyi adókról szóló 38/2011.(XII.19.) önkormányzati rendelet módosítása, melynek értelmében szintén hatályon kívül kell helyezni a rendelet de </w:t>
      </w:r>
      <w:proofErr w:type="spellStart"/>
      <w:r>
        <w:rPr>
          <w:rFonts w:ascii="Arial" w:hAnsi="Arial" w:cs="Arial"/>
        </w:rPr>
        <w:t>minimis</w:t>
      </w:r>
      <w:proofErr w:type="spellEnd"/>
      <w:r>
        <w:rPr>
          <w:rFonts w:ascii="Arial" w:hAnsi="Arial" w:cs="Arial"/>
        </w:rPr>
        <w:t xml:space="preserve"> támogatásra vonatkozó rendelkezéseit.</w:t>
      </w:r>
    </w:p>
    <w:p w:rsidR="00AC7E80" w:rsidRDefault="00AC7E80" w:rsidP="00AC7E80">
      <w:pPr>
        <w:jc w:val="both"/>
        <w:rPr>
          <w:rFonts w:ascii="Arial" w:hAnsi="Arial" w:cs="Arial"/>
        </w:rPr>
      </w:pPr>
    </w:p>
    <w:p w:rsidR="00AC7E80" w:rsidRDefault="00AC7E80" w:rsidP="00AC7E80">
      <w:pPr>
        <w:jc w:val="both"/>
        <w:rPr>
          <w:rFonts w:ascii="Arial" w:hAnsi="Arial" w:cs="Arial"/>
        </w:rPr>
      </w:pPr>
      <w:r>
        <w:rPr>
          <w:rFonts w:ascii="Arial" w:hAnsi="Arial" w:cs="Arial"/>
        </w:rPr>
        <w:t>Fentiek alapján a rendelet-tervezet hatályon kívül helyezi az Értelmező rendelkezések „állami támogatás”, illetve az „egy és ugyanazon vállalkozás” fogalmát, az adómentességet érintő csekély összegű támogatás szabályait, továbbá az 1. mellékletet képező adóalanyi Nyilatkozatot, és a 2. mellékletet képező önkormányzati Igazolást.</w:t>
      </w:r>
    </w:p>
    <w:p w:rsidR="00AC7E80" w:rsidRDefault="00AC7E80" w:rsidP="00AC7E80">
      <w:pPr>
        <w:jc w:val="both"/>
        <w:rPr>
          <w:rFonts w:ascii="Arial" w:hAnsi="Arial" w:cs="Arial"/>
        </w:rPr>
      </w:pPr>
    </w:p>
    <w:p w:rsidR="00AC7E80" w:rsidRPr="00302031" w:rsidRDefault="00AC7E80" w:rsidP="00AC7E80">
      <w:pPr>
        <w:autoSpaceDE w:val="0"/>
        <w:autoSpaceDN w:val="0"/>
        <w:adjustRightInd w:val="0"/>
        <w:jc w:val="both"/>
        <w:rPr>
          <w:rFonts w:ascii="Arial" w:hAnsi="Arial" w:cs="Arial"/>
          <w:szCs w:val="22"/>
        </w:rPr>
      </w:pPr>
      <w:r w:rsidRPr="00302031">
        <w:rPr>
          <w:rFonts w:ascii="Arial" w:hAnsi="Arial" w:cs="Arial"/>
          <w:bCs/>
          <w:szCs w:val="22"/>
        </w:rPr>
        <w:t xml:space="preserve">A jogalkotásról szóló 2010. évi CXXX. törvény 17. § </w:t>
      </w:r>
      <w:r w:rsidRPr="00302031">
        <w:rPr>
          <w:rFonts w:ascii="Arial" w:hAnsi="Arial" w:cs="Arial"/>
          <w:szCs w:val="22"/>
        </w:rPr>
        <w:t xml:space="preserve">(1) bekezdése értelmében a jogszabály előkészítője - a jogszabály feltételezett hatásaihoz igazodó részletességű - előzetes </w:t>
      </w:r>
      <w:r w:rsidRPr="00302031">
        <w:rPr>
          <w:rFonts w:ascii="Arial" w:hAnsi="Arial" w:cs="Arial"/>
          <w:b/>
          <w:bCs/>
          <w:szCs w:val="22"/>
        </w:rPr>
        <w:t>hatásvizsgálat</w:t>
      </w:r>
      <w:r w:rsidRPr="00302031">
        <w:rPr>
          <w:rFonts w:ascii="Arial" w:hAnsi="Arial" w:cs="Arial"/>
          <w:szCs w:val="22"/>
        </w:rPr>
        <w:t xml:space="preserve"> elvégzésével felméri a szabályozás várható következményeit. Az előzetes hatásvizsgálat eredményéről önkormányzati rendelet esetén a helyi önkormányzat képviselő-testületét tájékoztatni kell. A (2) bekezdés értelmében a hatásvizsgálat során vizsgálni kell</w:t>
      </w:r>
    </w:p>
    <w:p w:rsidR="00AC7E80" w:rsidRPr="00302031" w:rsidRDefault="00AC7E80" w:rsidP="00AC7E80">
      <w:pPr>
        <w:autoSpaceDE w:val="0"/>
        <w:autoSpaceDN w:val="0"/>
        <w:adjustRightInd w:val="0"/>
        <w:ind w:firstLine="204"/>
        <w:jc w:val="both"/>
        <w:rPr>
          <w:rFonts w:ascii="Arial" w:hAnsi="Arial" w:cs="Arial"/>
          <w:szCs w:val="22"/>
        </w:rPr>
      </w:pPr>
      <w:proofErr w:type="gramStart"/>
      <w:r w:rsidRPr="00302031">
        <w:rPr>
          <w:rFonts w:ascii="Arial" w:hAnsi="Arial" w:cs="Arial"/>
          <w:iCs/>
          <w:szCs w:val="22"/>
        </w:rPr>
        <w:t>a</w:t>
      </w:r>
      <w:proofErr w:type="gramEnd"/>
      <w:r w:rsidRPr="00302031">
        <w:rPr>
          <w:rFonts w:ascii="Arial" w:hAnsi="Arial" w:cs="Arial"/>
          <w:iCs/>
          <w:szCs w:val="22"/>
        </w:rPr>
        <w:t xml:space="preserve">)  </w:t>
      </w:r>
      <w:proofErr w:type="spellStart"/>
      <w:r w:rsidRPr="00302031">
        <w:rPr>
          <w:rFonts w:ascii="Arial" w:hAnsi="Arial" w:cs="Arial"/>
          <w:szCs w:val="22"/>
        </w:rPr>
        <w:t>a</w:t>
      </w:r>
      <w:proofErr w:type="spellEnd"/>
      <w:r w:rsidRPr="00302031">
        <w:rPr>
          <w:rFonts w:ascii="Arial" w:hAnsi="Arial" w:cs="Arial"/>
          <w:szCs w:val="22"/>
        </w:rPr>
        <w:t xml:space="preserve"> tervezett jogszabály valamennyi jelentősnek ítélt hatását, különösen</w:t>
      </w:r>
    </w:p>
    <w:p w:rsidR="00AC7E80" w:rsidRPr="00302031" w:rsidRDefault="00AC7E80" w:rsidP="00AC7E80">
      <w:pPr>
        <w:autoSpaceDE w:val="0"/>
        <w:autoSpaceDN w:val="0"/>
        <w:adjustRightInd w:val="0"/>
        <w:ind w:firstLine="204"/>
        <w:jc w:val="both"/>
        <w:rPr>
          <w:rFonts w:ascii="Arial" w:hAnsi="Arial" w:cs="Arial"/>
          <w:szCs w:val="22"/>
        </w:rPr>
      </w:pPr>
      <w:proofErr w:type="spellStart"/>
      <w:r w:rsidRPr="00302031">
        <w:rPr>
          <w:rFonts w:ascii="Arial" w:hAnsi="Arial" w:cs="Arial"/>
          <w:iCs/>
          <w:szCs w:val="22"/>
        </w:rPr>
        <w:t>aa</w:t>
      </w:r>
      <w:proofErr w:type="spellEnd"/>
      <w:r w:rsidRPr="00302031">
        <w:rPr>
          <w:rFonts w:ascii="Arial" w:hAnsi="Arial" w:cs="Arial"/>
          <w:iCs/>
          <w:szCs w:val="22"/>
        </w:rPr>
        <w:t xml:space="preserve">) </w:t>
      </w:r>
      <w:r w:rsidRPr="00302031">
        <w:rPr>
          <w:rFonts w:ascii="Arial" w:hAnsi="Arial" w:cs="Arial"/>
          <w:szCs w:val="22"/>
        </w:rPr>
        <w:t>társadalmi, gazdasági, költségvetési hatásait,</w:t>
      </w:r>
    </w:p>
    <w:p w:rsidR="00AC7E80" w:rsidRPr="00302031" w:rsidRDefault="00AC7E80" w:rsidP="00AC7E80">
      <w:pPr>
        <w:autoSpaceDE w:val="0"/>
        <w:autoSpaceDN w:val="0"/>
        <w:adjustRightInd w:val="0"/>
        <w:ind w:firstLine="204"/>
        <w:jc w:val="both"/>
        <w:rPr>
          <w:rFonts w:ascii="Arial" w:hAnsi="Arial" w:cs="Arial"/>
          <w:szCs w:val="22"/>
        </w:rPr>
      </w:pPr>
      <w:proofErr w:type="gramStart"/>
      <w:r w:rsidRPr="00302031">
        <w:rPr>
          <w:rFonts w:ascii="Arial" w:hAnsi="Arial" w:cs="Arial"/>
          <w:iCs/>
          <w:szCs w:val="22"/>
        </w:rPr>
        <w:t>ab</w:t>
      </w:r>
      <w:proofErr w:type="gramEnd"/>
      <w:r w:rsidRPr="00302031">
        <w:rPr>
          <w:rFonts w:ascii="Arial" w:hAnsi="Arial" w:cs="Arial"/>
          <w:iCs/>
          <w:szCs w:val="22"/>
        </w:rPr>
        <w:t xml:space="preserve">) </w:t>
      </w:r>
      <w:r w:rsidRPr="00302031">
        <w:rPr>
          <w:rFonts w:ascii="Arial" w:hAnsi="Arial" w:cs="Arial"/>
          <w:szCs w:val="22"/>
        </w:rPr>
        <w:t>környezeti és egészségi következményeit,</w:t>
      </w:r>
    </w:p>
    <w:p w:rsidR="00AC7E80" w:rsidRPr="00302031" w:rsidRDefault="00AC7E80" w:rsidP="00AC7E80">
      <w:pPr>
        <w:autoSpaceDE w:val="0"/>
        <w:autoSpaceDN w:val="0"/>
        <w:adjustRightInd w:val="0"/>
        <w:ind w:firstLine="204"/>
        <w:jc w:val="both"/>
        <w:rPr>
          <w:rFonts w:ascii="Arial" w:hAnsi="Arial" w:cs="Arial"/>
          <w:szCs w:val="22"/>
        </w:rPr>
      </w:pPr>
      <w:proofErr w:type="spellStart"/>
      <w:r w:rsidRPr="00302031">
        <w:rPr>
          <w:rFonts w:ascii="Arial" w:hAnsi="Arial" w:cs="Arial"/>
          <w:iCs/>
          <w:szCs w:val="22"/>
        </w:rPr>
        <w:t>ac</w:t>
      </w:r>
      <w:proofErr w:type="spellEnd"/>
      <w:r w:rsidRPr="00302031">
        <w:rPr>
          <w:rFonts w:ascii="Arial" w:hAnsi="Arial" w:cs="Arial"/>
          <w:iCs/>
          <w:szCs w:val="22"/>
        </w:rPr>
        <w:t xml:space="preserve">) </w:t>
      </w:r>
      <w:r w:rsidRPr="00302031">
        <w:rPr>
          <w:rFonts w:ascii="Arial" w:hAnsi="Arial" w:cs="Arial"/>
          <w:szCs w:val="22"/>
        </w:rPr>
        <w:t>adminisztratív terheket befolyásoló hatásait, valamint</w:t>
      </w:r>
    </w:p>
    <w:p w:rsidR="00AC7E80" w:rsidRPr="00302031" w:rsidRDefault="00AC7E80" w:rsidP="00AC7E80">
      <w:pPr>
        <w:autoSpaceDE w:val="0"/>
        <w:autoSpaceDN w:val="0"/>
        <w:adjustRightInd w:val="0"/>
        <w:ind w:left="540" w:hanging="336"/>
        <w:jc w:val="both"/>
        <w:rPr>
          <w:rFonts w:ascii="Arial" w:hAnsi="Arial" w:cs="Arial"/>
          <w:szCs w:val="22"/>
        </w:rPr>
      </w:pPr>
      <w:r w:rsidRPr="00302031">
        <w:rPr>
          <w:rFonts w:ascii="Arial" w:hAnsi="Arial" w:cs="Arial"/>
          <w:iCs/>
          <w:szCs w:val="22"/>
        </w:rPr>
        <w:t xml:space="preserve">b) </w:t>
      </w:r>
      <w:r w:rsidRPr="00302031">
        <w:rPr>
          <w:rFonts w:ascii="Arial" w:hAnsi="Arial" w:cs="Arial"/>
          <w:szCs w:val="22"/>
        </w:rPr>
        <w:t>a jogszabály megalkotásának szükségességét, a jogalkotás elmaradásának várható következményeit, és</w:t>
      </w:r>
    </w:p>
    <w:p w:rsidR="00AC7E80" w:rsidRPr="00302031" w:rsidRDefault="00AC7E80" w:rsidP="00AC7E80">
      <w:pPr>
        <w:autoSpaceDE w:val="0"/>
        <w:autoSpaceDN w:val="0"/>
        <w:adjustRightInd w:val="0"/>
        <w:ind w:left="540" w:hanging="336"/>
        <w:jc w:val="both"/>
        <w:rPr>
          <w:rFonts w:ascii="Arial" w:hAnsi="Arial" w:cs="Arial"/>
          <w:szCs w:val="22"/>
        </w:rPr>
      </w:pPr>
      <w:r w:rsidRPr="00302031">
        <w:rPr>
          <w:rFonts w:ascii="Arial" w:hAnsi="Arial" w:cs="Arial"/>
          <w:iCs/>
          <w:szCs w:val="22"/>
        </w:rPr>
        <w:t xml:space="preserve">c) </w:t>
      </w:r>
      <w:r w:rsidRPr="00302031">
        <w:rPr>
          <w:rFonts w:ascii="Arial" w:hAnsi="Arial" w:cs="Arial"/>
          <w:szCs w:val="22"/>
        </w:rPr>
        <w:t>a jogszabály alkalmazásához szükséges személyi, szervezeti, tárgyi és pénzügyi feltételeket.</w:t>
      </w:r>
    </w:p>
    <w:p w:rsidR="00AC7E80" w:rsidRPr="00302031" w:rsidRDefault="00AC7E80" w:rsidP="00AC7E80">
      <w:pPr>
        <w:jc w:val="both"/>
        <w:rPr>
          <w:rFonts w:ascii="Arial" w:hAnsi="Arial" w:cs="Arial"/>
        </w:rPr>
      </w:pPr>
    </w:p>
    <w:p w:rsidR="00AC7E80" w:rsidRPr="00302031" w:rsidRDefault="00AC7E80" w:rsidP="00AC7E80">
      <w:pPr>
        <w:jc w:val="both"/>
        <w:rPr>
          <w:rFonts w:ascii="Arial" w:hAnsi="Arial" w:cs="Arial"/>
          <w:u w:val="single"/>
        </w:rPr>
      </w:pPr>
      <w:r>
        <w:rPr>
          <w:rFonts w:ascii="Arial" w:hAnsi="Arial" w:cs="Arial"/>
          <w:u w:val="single"/>
        </w:rPr>
        <w:t>A rendelet-</w:t>
      </w:r>
      <w:r w:rsidRPr="00302031">
        <w:rPr>
          <w:rFonts w:ascii="Arial" w:hAnsi="Arial" w:cs="Arial"/>
          <w:u w:val="single"/>
        </w:rPr>
        <w:t>tervezet társadalmi, gazdasági, költségvetési hatása:</w:t>
      </w:r>
    </w:p>
    <w:p w:rsidR="00AC7E80" w:rsidRDefault="00AC7E80" w:rsidP="00AC7E80">
      <w:pPr>
        <w:jc w:val="both"/>
        <w:rPr>
          <w:rFonts w:ascii="Arial" w:hAnsi="Arial" w:cs="Arial"/>
        </w:rPr>
      </w:pPr>
    </w:p>
    <w:p w:rsidR="00AC7E80" w:rsidRDefault="00AC7E80" w:rsidP="00AC7E80">
      <w:pPr>
        <w:jc w:val="both"/>
        <w:rPr>
          <w:rFonts w:ascii="Arial" w:hAnsi="Arial" w:cs="Arial"/>
        </w:rPr>
      </w:pPr>
      <w:r>
        <w:rPr>
          <w:rFonts w:ascii="Arial" w:hAnsi="Arial" w:cs="Arial"/>
        </w:rPr>
        <w:t>Az adóigazgatás egyszerűsítését támogató kormányzati elképzeléseknek megfelelően az önkormányzatok által a helyi iparűzési adóban nyújtott adómentességek, adókedvezmények érvényesítése 2017. évtől nem jár aránytalanul magas adminisztrációs teherrel az adózók és az önkormányzati adóhatóságok részére.</w:t>
      </w:r>
    </w:p>
    <w:p w:rsidR="00AC7E80" w:rsidRDefault="00AC7E80" w:rsidP="00AC7E80">
      <w:pPr>
        <w:jc w:val="both"/>
        <w:rPr>
          <w:rFonts w:ascii="Arial" w:hAnsi="Arial" w:cs="Arial"/>
        </w:rPr>
      </w:pPr>
      <w:r>
        <w:rPr>
          <w:rFonts w:ascii="Arial" w:hAnsi="Arial" w:cs="Arial"/>
        </w:rPr>
        <w:t>A rendelet módosítás költségvetési hatása, hogy a közel 3700 mentességre jogosult adóalany részére tértivevénnyel kiküldendő Igazolás postai költsége (számításaink szerint ~1.258.000,</w:t>
      </w:r>
      <w:proofErr w:type="spellStart"/>
      <w:r>
        <w:rPr>
          <w:rFonts w:ascii="Arial" w:hAnsi="Arial" w:cs="Arial"/>
        </w:rPr>
        <w:t>-Ft</w:t>
      </w:r>
      <w:proofErr w:type="spellEnd"/>
      <w:r>
        <w:rPr>
          <w:rFonts w:ascii="Arial" w:hAnsi="Arial" w:cs="Arial"/>
        </w:rPr>
        <w:t xml:space="preserve">) megtakarításra kerül. </w:t>
      </w:r>
    </w:p>
    <w:p w:rsidR="00AC7E80" w:rsidRDefault="00AC7E80" w:rsidP="00AC7E80">
      <w:pPr>
        <w:jc w:val="both"/>
        <w:rPr>
          <w:rFonts w:ascii="Arial" w:hAnsi="Arial" w:cs="Arial"/>
        </w:rPr>
      </w:pPr>
    </w:p>
    <w:p w:rsidR="00AC7E80" w:rsidRPr="00C709E1" w:rsidRDefault="00AC7E80" w:rsidP="00AC7E80">
      <w:pPr>
        <w:jc w:val="both"/>
        <w:rPr>
          <w:rFonts w:ascii="Arial" w:hAnsi="Arial" w:cs="Arial"/>
          <w:u w:val="single"/>
        </w:rPr>
      </w:pPr>
      <w:r w:rsidRPr="00302031">
        <w:rPr>
          <w:rFonts w:ascii="Arial" w:hAnsi="Arial" w:cs="Arial"/>
          <w:u w:val="single"/>
        </w:rPr>
        <w:t>A rendelet</w:t>
      </w:r>
      <w:r>
        <w:rPr>
          <w:rFonts w:ascii="Arial" w:hAnsi="Arial" w:cs="Arial"/>
          <w:u w:val="single"/>
        </w:rPr>
        <w:t>-</w:t>
      </w:r>
      <w:r w:rsidRPr="00302031">
        <w:rPr>
          <w:rFonts w:ascii="Arial" w:hAnsi="Arial" w:cs="Arial"/>
          <w:u w:val="single"/>
        </w:rPr>
        <w:t>tervezet környezeti és egészségi következményei:</w:t>
      </w:r>
    </w:p>
    <w:p w:rsidR="00AC7E80" w:rsidRPr="00302031" w:rsidRDefault="00AC7E80" w:rsidP="00AC7E80">
      <w:pPr>
        <w:jc w:val="both"/>
        <w:rPr>
          <w:rFonts w:ascii="Arial" w:hAnsi="Arial" w:cs="Arial"/>
        </w:rPr>
      </w:pPr>
      <w:r w:rsidRPr="00302031">
        <w:rPr>
          <w:rFonts w:ascii="Arial" w:hAnsi="Arial" w:cs="Arial"/>
        </w:rPr>
        <w:t>A szabályozás környezeti és egészségi következményei nem határozhatóak meg.</w:t>
      </w:r>
    </w:p>
    <w:p w:rsidR="00AC7E80" w:rsidRPr="00302031" w:rsidRDefault="00AC7E80" w:rsidP="00AC7E80">
      <w:pPr>
        <w:jc w:val="both"/>
        <w:rPr>
          <w:rFonts w:ascii="Arial" w:hAnsi="Arial" w:cs="Arial"/>
        </w:rPr>
      </w:pPr>
    </w:p>
    <w:p w:rsidR="00AC7E80" w:rsidRPr="00C709E1" w:rsidRDefault="00AC7E80" w:rsidP="00AC7E80">
      <w:pPr>
        <w:jc w:val="both"/>
        <w:rPr>
          <w:rFonts w:ascii="Arial" w:hAnsi="Arial" w:cs="Arial"/>
          <w:u w:val="single"/>
        </w:rPr>
      </w:pPr>
      <w:r w:rsidRPr="00302031">
        <w:rPr>
          <w:rFonts w:ascii="Arial" w:hAnsi="Arial" w:cs="Arial"/>
          <w:u w:val="single"/>
        </w:rPr>
        <w:t>A rendelet</w:t>
      </w:r>
      <w:r>
        <w:rPr>
          <w:rFonts w:ascii="Arial" w:hAnsi="Arial" w:cs="Arial"/>
          <w:u w:val="single"/>
        </w:rPr>
        <w:t>-</w:t>
      </w:r>
      <w:r w:rsidRPr="00302031">
        <w:rPr>
          <w:rFonts w:ascii="Arial" w:hAnsi="Arial" w:cs="Arial"/>
          <w:u w:val="single"/>
        </w:rPr>
        <w:t>tervezet adminisztratív terheket befolyásoló hatása:</w:t>
      </w:r>
    </w:p>
    <w:p w:rsidR="00AC7E80" w:rsidRDefault="00AC7E80" w:rsidP="00AC7E80">
      <w:pPr>
        <w:jc w:val="both"/>
        <w:rPr>
          <w:rFonts w:ascii="Arial" w:hAnsi="Arial" w:cs="Arial"/>
          <w:szCs w:val="22"/>
        </w:rPr>
      </w:pPr>
      <w:r>
        <w:rPr>
          <w:rFonts w:ascii="Arial" w:hAnsi="Arial" w:cs="Arial"/>
          <w:szCs w:val="22"/>
        </w:rPr>
        <w:t xml:space="preserve">A </w:t>
      </w:r>
      <w:proofErr w:type="spellStart"/>
      <w:r>
        <w:rPr>
          <w:rFonts w:ascii="Arial" w:hAnsi="Arial" w:cs="Arial"/>
          <w:szCs w:val="22"/>
        </w:rPr>
        <w:t>Htv</w:t>
      </w:r>
      <w:proofErr w:type="spellEnd"/>
      <w:r>
        <w:rPr>
          <w:rFonts w:ascii="Arial" w:hAnsi="Arial" w:cs="Arial"/>
          <w:szCs w:val="22"/>
        </w:rPr>
        <w:t xml:space="preserve">. módosítása alapján 2017. évtől az önkormányzat által nyújtott helyi iparűzési adómentesség nem minősül de </w:t>
      </w:r>
      <w:proofErr w:type="spellStart"/>
      <w:r>
        <w:rPr>
          <w:rFonts w:ascii="Arial" w:hAnsi="Arial" w:cs="Arial"/>
          <w:szCs w:val="22"/>
        </w:rPr>
        <w:t>minimis</w:t>
      </w:r>
      <w:proofErr w:type="spellEnd"/>
      <w:r>
        <w:rPr>
          <w:rFonts w:ascii="Arial" w:hAnsi="Arial" w:cs="Arial"/>
          <w:szCs w:val="22"/>
        </w:rPr>
        <w:t xml:space="preserve"> támogatásnak. Erre tekintettel az adómentességben részesülő vállalkozásoknak már a 2016. adóév helyi iparűzési adójának megállapítása során sem kell kitölteni a rendelet 1. mellékletét képező nyilatkozatot, így ezen adózói kör (közel 3700 vállalkozás) adminisztratív kötelezettségei jelentősen </w:t>
      </w:r>
      <w:r>
        <w:rPr>
          <w:rFonts w:ascii="Arial" w:hAnsi="Arial" w:cs="Arial"/>
          <w:szCs w:val="22"/>
        </w:rPr>
        <w:lastRenderedPageBreak/>
        <w:t xml:space="preserve">mérséklődnek. A módosítás értelmében a rendelet 2. mellékletét képező Igazolás kiállítása alól mentesül az Önkormányzat. </w:t>
      </w:r>
    </w:p>
    <w:p w:rsidR="00AC7E80" w:rsidRDefault="00AC7E80" w:rsidP="00AC7E80">
      <w:pPr>
        <w:rPr>
          <w:rFonts w:ascii="Arial" w:hAnsi="Arial" w:cs="Arial"/>
          <w:szCs w:val="22"/>
        </w:rPr>
      </w:pPr>
    </w:p>
    <w:p w:rsidR="00AC7E80" w:rsidRDefault="00AC7E80" w:rsidP="00AC7E80">
      <w:pPr>
        <w:jc w:val="both"/>
        <w:rPr>
          <w:rFonts w:ascii="Arial" w:hAnsi="Arial" w:cs="Arial"/>
          <w:u w:val="single"/>
        </w:rPr>
      </w:pPr>
      <w:r w:rsidRPr="00302031">
        <w:rPr>
          <w:rFonts w:ascii="Arial" w:hAnsi="Arial" w:cs="Arial"/>
          <w:u w:val="single"/>
        </w:rPr>
        <w:t>A jogszabály megalkotásának szükségessége, a jogalkotás elmaradásának várható következményei:</w:t>
      </w:r>
    </w:p>
    <w:p w:rsidR="00AC7E80" w:rsidRDefault="00AC7E80" w:rsidP="00AC7E80">
      <w:pPr>
        <w:jc w:val="both"/>
        <w:rPr>
          <w:rFonts w:ascii="Arial" w:hAnsi="Arial" w:cs="Arial"/>
        </w:rPr>
      </w:pPr>
      <w:r>
        <w:rPr>
          <w:rFonts w:ascii="Arial" w:hAnsi="Arial" w:cs="Arial"/>
        </w:rPr>
        <w:t xml:space="preserve">Szombathely Megyei Jogú Város Önkormányzata továbbra is a </w:t>
      </w:r>
      <w:proofErr w:type="spellStart"/>
      <w:r>
        <w:rPr>
          <w:rFonts w:ascii="Arial" w:hAnsi="Arial" w:cs="Arial"/>
        </w:rPr>
        <w:t>Htv</w:t>
      </w:r>
      <w:proofErr w:type="spellEnd"/>
      <w:r>
        <w:rPr>
          <w:rFonts w:ascii="Arial" w:hAnsi="Arial" w:cs="Arial"/>
        </w:rPr>
        <w:t xml:space="preserve">. előírásai szerinti maximálisan adható adómentességet kívánja biztosítani a kis- és közepes vállalkozások, valamint a háziorvos, házi gyermekorvos, fogorvos, védőnő vállalkozók részére, ezért kiemelkedően fontos, hogy ezen adóalanyi kör adminisztrációs terhei ne növekedjenek. Az egyes adótörvények és más kapcsolódó törvények módosításáról szóló 2016. évi CXXV. törvény 118. § 1. pontja 2017. január 1. napjától hatályon kívül helyezi a </w:t>
      </w:r>
      <w:proofErr w:type="spellStart"/>
      <w:r>
        <w:rPr>
          <w:rFonts w:ascii="Arial" w:hAnsi="Arial" w:cs="Arial"/>
        </w:rPr>
        <w:t>Htv</w:t>
      </w:r>
      <w:proofErr w:type="spellEnd"/>
      <w:r>
        <w:rPr>
          <w:rFonts w:ascii="Arial" w:hAnsi="Arial" w:cs="Arial"/>
        </w:rPr>
        <w:t xml:space="preserve">. 39/C. § (5) bekezdését, melynek értelmében 2017. évtől az önkormányzatok által nyújtható adóelőnyök nem minősülnek de </w:t>
      </w:r>
      <w:proofErr w:type="spellStart"/>
      <w:r>
        <w:rPr>
          <w:rFonts w:ascii="Arial" w:hAnsi="Arial" w:cs="Arial"/>
        </w:rPr>
        <w:t>minimis</w:t>
      </w:r>
      <w:proofErr w:type="spellEnd"/>
      <w:r>
        <w:rPr>
          <w:rFonts w:ascii="Arial" w:hAnsi="Arial" w:cs="Arial"/>
        </w:rPr>
        <w:t xml:space="preserve"> támogatásnak. A </w:t>
      </w:r>
      <w:proofErr w:type="spellStart"/>
      <w:r>
        <w:rPr>
          <w:rFonts w:ascii="Arial" w:hAnsi="Arial" w:cs="Arial"/>
        </w:rPr>
        <w:t>Htv</w:t>
      </w:r>
      <w:proofErr w:type="spellEnd"/>
      <w:r>
        <w:rPr>
          <w:rFonts w:ascii="Arial" w:hAnsi="Arial" w:cs="Arial"/>
        </w:rPr>
        <w:t xml:space="preserve">. </w:t>
      </w:r>
      <w:proofErr w:type="spellStart"/>
      <w:r>
        <w:rPr>
          <w:rFonts w:ascii="Arial" w:hAnsi="Arial" w:cs="Arial"/>
        </w:rPr>
        <w:t>ezirányú</w:t>
      </w:r>
      <w:proofErr w:type="spellEnd"/>
      <w:r>
        <w:rPr>
          <w:rFonts w:ascii="Arial" w:hAnsi="Arial" w:cs="Arial"/>
        </w:rPr>
        <w:t xml:space="preserve"> módosítása indokolja a helyi adókról szóló önkormányzati rendelet </w:t>
      </w:r>
      <w:r w:rsidR="00AF7AE4">
        <w:rPr>
          <w:rFonts w:ascii="Arial" w:hAnsi="Arial" w:cs="Arial"/>
        </w:rPr>
        <w:t>m</w:t>
      </w:r>
      <w:bookmarkStart w:id="0" w:name="_GoBack"/>
      <w:bookmarkEnd w:id="0"/>
      <w:r>
        <w:rPr>
          <w:rFonts w:ascii="Arial" w:hAnsi="Arial" w:cs="Arial"/>
        </w:rPr>
        <w:t xml:space="preserve">ódosítását. </w:t>
      </w:r>
    </w:p>
    <w:p w:rsidR="00AC7E80" w:rsidRPr="00C709E1" w:rsidRDefault="00AC7E80" w:rsidP="00AC7E80">
      <w:pPr>
        <w:jc w:val="both"/>
        <w:rPr>
          <w:rFonts w:ascii="Arial" w:hAnsi="Arial" w:cs="Arial"/>
          <w:u w:val="single"/>
        </w:rPr>
      </w:pPr>
    </w:p>
    <w:p w:rsidR="00AC7E80" w:rsidRPr="00302031" w:rsidRDefault="00AC7E80" w:rsidP="00AC7E80">
      <w:pPr>
        <w:jc w:val="both"/>
        <w:rPr>
          <w:rFonts w:ascii="Arial" w:hAnsi="Arial" w:cs="Arial"/>
          <w:u w:val="single"/>
        </w:rPr>
      </w:pPr>
      <w:r w:rsidRPr="00302031">
        <w:rPr>
          <w:rFonts w:ascii="Arial" w:hAnsi="Arial" w:cs="Arial"/>
          <w:u w:val="single"/>
        </w:rPr>
        <w:t>A jogszabály alkalmazásához szükséges személyi, szervezeti, tárgyi és pénzügyi feltételek</w:t>
      </w:r>
    </w:p>
    <w:p w:rsidR="00AC7E80" w:rsidRDefault="00AC7E80" w:rsidP="00AC7E80">
      <w:pPr>
        <w:jc w:val="both"/>
        <w:rPr>
          <w:rFonts w:ascii="Arial" w:hAnsi="Arial" w:cs="Arial"/>
        </w:rPr>
      </w:pPr>
      <w:r w:rsidRPr="00302031">
        <w:rPr>
          <w:rFonts w:ascii="Arial" w:hAnsi="Arial" w:cs="Arial"/>
        </w:rPr>
        <w:t xml:space="preserve">A jogszabály alkalmazásához a személyi, szervezeti feltételek az adóhatóság munkatársai által biztosítottak. </w:t>
      </w:r>
    </w:p>
    <w:p w:rsidR="00AC7E80" w:rsidRPr="00302031" w:rsidRDefault="00AC7E80" w:rsidP="00AC7E80">
      <w:pPr>
        <w:jc w:val="both"/>
        <w:rPr>
          <w:rFonts w:ascii="Arial" w:hAnsi="Arial" w:cs="Arial"/>
        </w:rPr>
      </w:pPr>
    </w:p>
    <w:p w:rsidR="00AC7E80" w:rsidRPr="00302031" w:rsidRDefault="00AC7E80" w:rsidP="00AC7E80">
      <w:pPr>
        <w:jc w:val="both"/>
        <w:rPr>
          <w:rFonts w:ascii="Arial" w:hAnsi="Arial" w:cs="Arial"/>
          <w:bCs/>
          <w:szCs w:val="22"/>
        </w:rPr>
      </w:pPr>
      <w:r w:rsidRPr="00302031">
        <w:rPr>
          <w:rFonts w:ascii="Arial" w:hAnsi="Arial" w:cs="Arial"/>
          <w:szCs w:val="22"/>
        </w:rPr>
        <w:t>Kérjük a Tiszt</w:t>
      </w:r>
      <w:r>
        <w:rPr>
          <w:rFonts w:ascii="Arial" w:hAnsi="Arial" w:cs="Arial"/>
          <w:szCs w:val="22"/>
        </w:rPr>
        <w:t>elt Közgyűlést, hogy a rendeletmódosítás tervezeté</w:t>
      </w:r>
      <w:r w:rsidRPr="00302031">
        <w:rPr>
          <w:rFonts w:ascii="Arial" w:hAnsi="Arial" w:cs="Arial"/>
          <w:szCs w:val="22"/>
        </w:rPr>
        <w:t xml:space="preserve">t megtárgyalni és </w:t>
      </w:r>
      <w:r>
        <w:rPr>
          <w:rFonts w:ascii="Arial" w:hAnsi="Arial" w:cs="Arial"/>
          <w:szCs w:val="22"/>
        </w:rPr>
        <w:t xml:space="preserve">a rendeletet megalkotni </w:t>
      </w:r>
      <w:r w:rsidRPr="00302031">
        <w:rPr>
          <w:rFonts w:ascii="Arial" w:hAnsi="Arial" w:cs="Arial"/>
          <w:szCs w:val="22"/>
        </w:rPr>
        <w:t>szíveskedjék.</w:t>
      </w:r>
    </w:p>
    <w:p w:rsidR="00AC7E80" w:rsidRDefault="00AC7E80" w:rsidP="00AC7E80">
      <w:pPr>
        <w:jc w:val="both"/>
        <w:rPr>
          <w:rFonts w:ascii="Arial" w:hAnsi="Arial" w:cs="Arial"/>
        </w:rPr>
      </w:pPr>
    </w:p>
    <w:p w:rsidR="00AC7E80" w:rsidRPr="00302031" w:rsidRDefault="00AC7E80" w:rsidP="00AC7E80">
      <w:pPr>
        <w:jc w:val="both"/>
        <w:rPr>
          <w:rFonts w:ascii="Arial" w:hAnsi="Arial" w:cs="Arial"/>
        </w:rPr>
      </w:pPr>
    </w:p>
    <w:p w:rsidR="00D80AC8" w:rsidRDefault="00D80AC8" w:rsidP="00D80AC8">
      <w:pPr>
        <w:jc w:val="both"/>
        <w:rPr>
          <w:rFonts w:ascii="Arial" w:hAnsi="Arial" w:cs="Arial"/>
          <w:b/>
          <w:color w:val="000000"/>
        </w:rPr>
      </w:pPr>
      <w:r>
        <w:rPr>
          <w:rFonts w:ascii="Arial" w:hAnsi="Arial" w:cs="Arial"/>
          <w:b/>
          <w:color w:val="000000"/>
        </w:rPr>
        <w:t>Szombathely, 201</w:t>
      </w:r>
      <w:r w:rsidR="00086546">
        <w:rPr>
          <w:rFonts w:ascii="Arial" w:hAnsi="Arial" w:cs="Arial"/>
          <w:b/>
          <w:color w:val="000000"/>
        </w:rPr>
        <w:t>6</w:t>
      </w:r>
      <w:r w:rsidR="00813EFF">
        <w:rPr>
          <w:rFonts w:ascii="Arial" w:hAnsi="Arial" w:cs="Arial"/>
          <w:b/>
          <w:color w:val="000000"/>
        </w:rPr>
        <w:t>. december</w:t>
      </w:r>
      <w:r w:rsidR="008F6239">
        <w:rPr>
          <w:rFonts w:ascii="Arial" w:hAnsi="Arial" w:cs="Arial"/>
          <w:b/>
          <w:color w:val="000000"/>
        </w:rPr>
        <w:t xml:space="preserve"> </w:t>
      </w:r>
      <w:proofErr w:type="gramStart"/>
      <w:r w:rsidR="008F6239">
        <w:rPr>
          <w:rFonts w:ascii="Arial" w:hAnsi="Arial" w:cs="Arial"/>
          <w:b/>
          <w:color w:val="000000"/>
        </w:rPr>
        <w:t>„        ”</w:t>
      </w:r>
      <w:proofErr w:type="gramEnd"/>
      <w:r w:rsidR="009E5C08">
        <w:rPr>
          <w:rFonts w:ascii="Arial" w:hAnsi="Arial" w:cs="Arial"/>
          <w:b/>
          <w:color w:val="000000"/>
        </w:rPr>
        <w:t xml:space="preserve">       </w:t>
      </w:r>
    </w:p>
    <w:p w:rsidR="00D80AC8" w:rsidRDefault="00D80AC8" w:rsidP="00D80AC8">
      <w:pPr>
        <w:jc w:val="both"/>
        <w:rPr>
          <w:rFonts w:ascii="Arial" w:hAnsi="Arial" w:cs="Arial"/>
          <w:color w:val="000000"/>
        </w:rPr>
      </w:pPr>
    </w:p>
    <w:p w:rsidR="0026584F" w:rsidRDefault="0026584F" w:rsidP="00D80AC8">
      <w:pPr>
        <w:jc w:val="both"/>
        <w:rPr>
          <w:rFonts w:ascii="Arial" w:hAnsi="Arial" w:cs="Arial"/>
          <w:color w:val="000000"/>
        </w:rPr>
      </w:pPr>
    </w:p>
    <w:p w:rsidR="0026584F" w:rsidRDefault="0026584F" w:rsidP="00D80AC8">
      <w:pPr>
        <w:jc w:val="both"/>
        <w:rPr>
          <w:rFonts w:ascii="Arial" w:hAnsi="Arial" w:cs="Arial"/>
          <w:color w:val="000000"/>
        </w:rPr>
      </w:pPr>
    </w:p>
    <w:p w:rsidR="00D80AC8" w:rsidRDefault="00D80AC8" w:rsidP="00D80AC8">
      <w:pPr>
        <w:jc w:val="both"/>
        <w:rPr>
          <w:rFonts w:ascii="Arial" w:hAnsi="Arial" w:cs="Arial"/>
          <w:b/>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b/>
          <w:color w:val="000000"/>
        </w:rPr>
        <w:t xml:space="preserve">/: Dr. Puskás </w:t>
      </w:r>
      <w:proofErr w:type="gramStart"/>
      <w:r>
        <w:rPr>
          <w:rFonts w:ascii="Arial" w:hAnsi="Arial" w:cs="Arial"/>
          <w:b/>
          <w:color w:val="000000"/>
        </w:rPr>
        <w:t>Tivadar :</w:t>
      </w:r>
      <w:proofErr w:type="gramEnd"/>
      <w:r>
        <w:rPr>
          <w:rFonts w:ascii="Arial" w:hAnsi="Arial" w:cs="Arial"/>
          <w:b/>
          <w:color w:val="000000"/>
        </w:rPr>
        <w:t>/</w:t>
      </w:r>
    </w:p>
    <w:p w:rsidR="0026584F" w:rsidRDefault="0026584F" w:rsidP="000C7004">
      <w:pPr>
        <w:rPr>
          <w:rFonts w:ascii="Arial" w:hAnsi="Arial" w:cs="Arial"/>
          <w:b/>
          <w:u w:val="single"/>
        </w:rPr>
      </w:pPr>
    </w:p>
    <w:p w:rsidR="0026584F" w:rsidRDefault="0026584F" w:rsidP="009E5C08">
      <w:pPr>
        <w:jc w:val="center"/>
        <w:rPr>
          <w:rFonts w:ascii="Arial" w:hAnsi="Arial" w:cs="Arial"/>
          <w:b/>
          <w:u w:val="single"/>
        </w:rPr>
      </w:pPr>
    </w:p>
    <w:p w:rsidR="0026584F" w:rsidRDefault="0026584F" w:rsidP="009E5C08">
      <w:pPr>
        <w:jc w:val="center"/>
        <w:rPr>
          <w:rFonts w:ascii="Arial" w:hAnsi="Arial" w:cs="Arial"/>
          <w:b/>
          <w:u w:val="single"/>
        </w:rPr>
      </w:pPr>
    </w:p>
    <w:p w:rsidR="004B19F8" w:rsidRDefault="004B19F8" w:rsidP="009E5C08">
      <w:pPr>
        <w:jc w:val="center"/>
        <w:rPr>
          <w:rFonts w:ascii="Arial" w:hAnsi="Arial" w:cs="Arial"/>
          <w:b/>
          <w:u w:val="single"/>
        </w:rPr>
      </w:pPr>
    </w:p>
    <w:p w:rsidR="000C7004" w:rsidRDefault="000C7004" w:rsidP="00E70CA5">
      <w:pPr>
        <w:rPr>
          <w:rFonts w:ascii="Arial" w:hAnsi="Arial" w:cs="Arial"/>
          <w:b/>
          <w:u w:val="single"/>
        </w:rPr>
      </w:pPr>
    </w:p>
    <w:sectPr w:rsidR="000C7004" w:rsidSect="00E82F69">
      <w:footerReference w:type="default" r:id="rId10"/>
      <w:headerReference w:type="first" r:id="rId11"/>
      <w:footerReference w:type="first" r:id="rId1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C8C" w:rsidRDefault="00E56C8C">
      <w:r>
        <w:separator/>
      </w:r>
    </w:p>
  </w:endnote>
  <w:endnote w:type="continuationSeparator" w:id="0">
    <w:p w:rsidR="00E56C8C" w:rsidRDefault="00E5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dobe Garamond Pro">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387" w:rsidRPr="0034130E" w:rsidRDefault="00AC7E80"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E5D15A"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0B4387">
      <w:rPr>
        <w:rFonts w:ascii="Arial" w:hAnsi="Arial" w:cs="Arial"/>
        <w:sz w:val="20"/>
        <w:szCs w:val="20"/>
      </w:rPr>
      <w:t xml:space="preserve">Oldalszám: </w:t>
    </w:r>
    <w:r w:rsidR="000B4387">
      <w:rPr>
        <w:rFonts w:ascii="Arial" w:hAnsi="Arial" w:cs="Arial"/>
        <w:sz w:val="20"/>
        <w:szCs w:val="20"/>
      </w:rPr>
      <w:fldChar w:fldCharType="begin"/>
    </w:r>
    <w:r w:rsidR="000B4387">
      <w:rPr>
        <w:rFonts w:ascii="Arial" w:hAnsi="Arial" w:cs="Arial"/>
        <w:sz w:val="20"/>
        <w:szCs w:val="20"/>
      </w:rPr>
      <w:instrText xml:space="preserve"> PAGE  \* Arabic  \* MERGEFORMAT </w:instrText>
    </w:r>
    <w:r w:rsidR="000B4387">
      <w:rPr>
        <w:rFonts w:ascii="Arial" w:hAnsi="Arial" w:cs="Arial"/>
        <w:sz w:val="20"/>
        <w:szCs w:val="20"/>
      </w:rPr>
      <w:fldChar w:fldCharType="separate"/>
    </w:r>
    <w:r w:rsidR="00AF7AE4">
      <w:rPr>
        <w:rFonts w:ascii="Arial" w:hAnsi="Arial" w:cs="Arial"/>
        <w:noProof/>
        <w:sz w:val="20"/>
        <w:szCs w:val="20"/>
      </w:rPr>
      <w:t>3</w:t>
    </w:r>
    <w:r w:rsidR="000B4387">
      <w:rPr>
        <w:rFonts w:ascii="Arial" w:hAnsi="Arial" w:cs="Arial"/>
        <w:sz w:val="20"/>
        <w:szCs w:val="20"/>
      </w:rPr>
      <w:fldChar w:fldCharType="end"/>
    </w:r>
    <w:r w:rsidR="000B4387">
      <w:rPr>
        <w:rFonts w:ascii="Arial" w:hAnsi="Arial" w:cs="Arial"/>
        <w:sz w:val="20"/>
        <w:szCs w:val="20"/>
      </w:rPr>
      <w:t xml:space="preserve"> / </w:t>
    </w:r>
    <w:r w:rsidR="000B4387">
      <w:rPr>
        <w:rFonts w:ascii="Arial" w:hAnsi="Arial" w:cs="Arial"/>
        <w:sz w:val="20"/>
        <w:szCs w:val="20"/>
      </w:rPr>
      <w:fldChar w:fldCharType="begin"/>
    </w:r>
    <w:r w:rsidR="000B4387">
      <w:rPr>
        <w:rFonts w:ascii="Arial" w:hAnsi="Arial" w:cs="Arial"/>
        <w:sz w:val="20"/>
        <w:szCs w:val="20"/>
      </w:rPr>
      <w:instrText xml:space="preserve"> NUMPAGES  \* Arabic  \* MERGEFORMAT </w:instrText>
    </w:r>
    <w:r w:rsidR="000B4387">
      <w:rPr>
        <w:rFonts w:ascii="Arial" w:hAnsi="Arial" w:cs="Arial"/>
        <w:sz w:val="20"/>
        <w:szCs w:val="20"/>
      </w:rPr>
      <w:fldChar w:fldCharType="separate"/>
    </w:r>
    <w:r w:rsidR="00AF7AE4">
      <w:rPr>
        <w:rFonts w:ascii="Arial" w:hAnsi="Arial" w:cs="Arial"/>
        <w:noProof/>
        <w:sz w:val="20"/>
        <w:szCs w:val="20"/>
      </w:rPr>
      <w:t>3</w:t>
    </w:r>
    <w:r w:rsidR="000B4387">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387" w:rsidRPr="00356256" w:rsidRDefault="00AC7E80" w:rsidP="00356256">
    <w:pPr>
      <w:pStyle w:val="llb"/>
      <w:tabs>
        <w:tab w:val="clear" w:pos="4536"/>
        <w:tab w:val="left" w:pos="0"/>
      </w:tabs>
      <w:rPr>
        <w:rFonts w:ascii="Arial" w:hAnsi="Arial" w:cs="Arial"/>
      </w:rPr>
    </w:pPr>
    <w:r w:rsidRPr="00356256">
      <w:rPr>
        <w:rFonts w:ascii="Arial" w:hAnsi="Arial" w:cs="Arial"/>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-20320</wp:posOffset>
          </wp:positionV>
          <wp:extent cx="1504950" cy="619125"/>
          <wp:effectExtent l="0" t="0" r="0" b="9525"/>
          <wp:wrapNone/>
          <wp:docPr id="6" name="Kép 6" descr="SM2016 logó levélpapí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2016 logó levélpapír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4387" w:rsidRPr="00356256" w:rsidRDefault="000B4387"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24</w:t>
    </w:r>
  </w:p>
  <w:p w:rsidR="000B4387" w:rsidRPr="00356256" w:rsidRDefault="000B4387" w:rsidP="00356256">
    <w:pPr>
      <w:pStyle w:val="llb"/>
      <w:jc w:val="right"/>
      <w:rPr>
        <w:rFonts w:ascii="Arial" w:hAnsi="Arial" w:cs="Arial"/>
        <w:sz w:val="20"/>
        <w:szCs w:val="20"/>
      </w:rPr>
    </w:pPr>
    <w:r>
      <w:rPr>
        <w:rFonts w:ascii="Arial" w:hAnsi="Arial" w:cs="Arial"/>
        <w:sz w:val="20"/>
        <w:szCs w:val="20"/>
      </w:rPr>
      <w:t>Fax:+36 94/313-172</w:t>
    </w:r>
  </w:p>
  <w:p w:rsidR="000B4387" w:rsidRPr="00356256" w:rsidRDefault="000B4387"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C8C" w:rsidRDefault="00E56C8C">
      <w:r>
        <w:separator/>
      </w:r>
    </w:p>
  </w:footnote>
  <w:footnote w:type="continuationSeparator" w:id="0">
    <w:p w:rsidR="00E56C8C" w:rsidRDefault="00E56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795" w:rsidRDefault="00744795" w:rsidP="00744795">
    <w:pPr>
      <w:pStyle w:val="lfej"/>
      <w:tabs>
        <w:tab w:val="clear" w:pos="4536"/>
        <w:tab w:val="center" w:pos="1800"/>
        <w:tab w:val="center" w:pos="7020"/>
      </w:tabs>
      <w:rPr>
        <w:sz w:val="20"/>
      </w:rPr>
    </w:pPr>
    <w:r>
      <w:rPr>
        <w:rFonts w:ascii="Arial" w:hAnsi="Arial" w:cs="Arial"/>
      </w:rPr>
      <w:tab/>
    </w:r>
    <w:r w:rsidR="00AC7E80">
      <w:rPr>
        <w:rFonts w:ascii="Arial" w:hAnsi="Arial" w:cs="Arial"/>
        <w:noProof/>
      </w:rPr>
      <w:drawing>
        <wp:inline distT="0" distB="0" distL="0" distR="0">
          <wp:extent cx="866775" cy="1228725"/>
          <wp:effectExtent l="0" t="0" r="9525" b="9525"/>
          <wp:docPr id="1" name="Kép 1" descr="fekete fehér c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kete fehér cim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1228725"/>
                  </a:xfrm>
                  <a:prstGeom prst="rect">
                    <a:avLst/>
                  </a:prstGeom>
                  <a:noFill/>
                  <a:ln>
                    <a:noFill/>
                  </a:ln>
                </pic:spPr>
              </pic:pic>
            </a:graphicData>
          </a:graphic>
        </wp:inline>
      </w:drawing>
    </w:r>
    <w:r>
      <w:rPr>
        <w:rFonts w:ascii="Arial" w:hAnsi="Arial" w:cs="Arial"/>
      </w:rPr>
      <w:tab/>
    </w:r>
  </w:p>
  <w:p w:rsidR="00744795" w:rsidRPr="009B5040" w:rsidRDefault="00744795" w:rsidP="00744795">
    <w:pPr>
      <w:pStyle w:val="lfej"/>
      <w:tabs>
        <w:tab w:val="clear" w:pos="4536"/>
        <w:tab w:val="center" w:pos="1843"/>
        <w:tab w:val="center" w:pos="7020"/>
      </w:tabs>
      <w:rPr>
        <w:rFonts w:ascii="Arial" w:hAnsi="Arial" w:cs="Arial"/>
        <w:smallCaps/>
        <w:sz w:val="22"/>
        <w:szCs w:val="22"/>
      </w:rPr>
    </w:pPr>
    <w:r w:rsidRPr="009B5040">
      <w:rPr>
        <w:sz w:val="22"/>
        <w:szCs w:val="22"/>
      </w:rPr>
      <w:tab/>
    </w:r>
    <w:r w:rsidRPr="009B5040">
      <w:rPr>
        <w:rFonts w:ascii="Arial" w:hAnsi="Arial" w:cs="Arial"/>
        <w:smallCaps/>
        <w:sz w:val="22"/>
        <w:szCs w:val="22"/>
      </w:rPr>
      <w:t>Szombathely Megyei Jogú Város</w:t>
    </w:r>
  </w:p>
  <w:p w:rsidR="00744795" w:rsidRPr="009B5040" w:rsidRDefault="00744795" w:rsidP="00744795">
    <w:pPr>
      <w:tabs>
        <w:tab w:val="center" w:pos="1800"/>
        <w:tab w:val="center" w:pos="7020"/>
      </w:tabs>
      <w:rPr>
        <w:rFonts w:ascii="Arial" w:hAnsi="Arial" w:cs="Arial"/>
        <w:sz w:val="22"/>
        <w:szCs w:val="22"/>
      </w:rPr>
    </w:pPr>
    <w:r w:rsidRPr="009B5040">
      <w:rPr>
        <w:rFonts w:ascii="Arial" w:hAnsi="Arial" w:cs="Arial"/>
        <w:smallCaps/>
        <w:sz w:val="22"/>
        <w:szCs w:val="22"/>
      </w:rPr>
      <w:tab/>
    </w:r>
    <w:r w:rsidRPr="009B5040">
      <w:rPr>
        <w:rFonts w:ascii="Arial" w:hAnsi="Arial" w:cs="Arial"/>
        <w:bCs/>
        <w:smallCaps/>
        <w:sz w:val="22"/>
        <w:szCs w:val="22"/>
      </w:rPr>
      <w:t>Polgármestere</w:t>
    </w:r>
  </w:p>
  <w:p w:rsidR="000B4387" w:rsidRDefault="000B4387" w:rsidP="00B103B4">
    <w:pPr>
      <w:tabs>
        <w:tab w:val="center" w:pos="1800"/>
        <w:tab w:val="center" w:pos="7020"/>
      </w:tabs>
      <w:rPr>
        <w:rFonts w:ascii="Arial" w:hAnsi="Arial" w:cs="Arial"/>
        <w:sz w:val="20"/>
      </w:rPr>
    </w:pPr>
    <w:r>
      <w:rPr>
        <w:rFonts w:ascii="Arial" w:hAnsi="Arial" w:cs="Arial"/>
        <w:bCs/>
        <w:smallCaps/>
        <w:sz w:val="22"/>
      </w:rPr>
      <w:tab/>
    </w:r>
  </w:p>
  <w:p w:rsidR="000B4387" w:rsidRPr="00132161" w:rsidRDefault="000B4387">
    <w:pPr>
      <w:pStyle w:val="lfej"/>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E03E3"/>
    <w:multiLevelType w:val="hybridMultilevel"/>
    <w:tmpl w:val="B0BCA9E6"/>
    <w:lvl w:ilvl="0" w:tplc="5674F79E">
      <w:start w:val="1"/>
      <w:numFmt w:val="decimal"/>
      <w:lvlText w:val="%1."/>
      <w:lvlJc w:val="left"/>
      <w:pPr>
        <w:tabs>
          <w:tab w:val="num" w:pos="1440"/>
        </w:tabs>
        <w:ind w:left="1440" w:hanging="360"/>
      </w:pPr>
    </w:lvl>
    <w:lvl w:ilvl="1" w:tplc="DA9E6684">
      <w:numFmt w:val="bullet"/>
      <w:lvlText w:val="-"/>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 w15:restartNumberingAfterBreak="0">
    <w:nsid w:val="092C7E79"/>
    <w:multiLevelType w:val="hybridMultilevel"/>
    <w:tmpl w:val="52F4CF6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91C7A"/>
    <w:multiLevelType w:val="hybridMultilevel"/>
    <w:tmpl w:val="2AE6461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C15B19"/>
    <w:multiLevelType w:val="hybridMultilevel"/>
    <w:tmpl w:val="687820C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2D575D"/>
    <w:multiLevelType w:val="hybridMultilevel"/>
    <w:tmpl w:val="8214ADB6"/>
    <w:lvl w:ilvl="0" w:tplc="E314F51A">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A151393"/>
    <w:multiLevelType w:val="hybridMultilevel"/>
    <w:tmpl w:val="60B8D3B8"/>
    <w:lvl w:ilvl="0" w:tplc="040E0001">
      <w:start w:val="1"/>
      <w:numFmt w:val="bullet"/>
      <w:lvlText w:val=""/>
      <w:lvlJc w:val="left"/>
      <w:pPr>
        <w:tabs>
          <w:tab w:val="num" w:pos="720"/>
        </w:tabs>
        <w:ind w:left="720" w:hanging="360"/>
      </w:pPr>
      <w:rPr>
        <w:rFonts w:ascii="Symbol" w:hAnsi="Symbol" w:hint="default"/>
      </w:rPr>
    </w:lvl>
    <w:lvl w:ilvl="1" w:tplc="040E0001">
      <w:start w:val="1"/>
      <w:numFmt w:val="bullet"/>
      <w:lvlText w:val=""/>
      <w:lvlJc w:val="left"/>
      <w:pPr>
        <w:tabs>
          <w:tab w:val="num" w:pos="1440"/>
        </w:tabs>
        <w:ind w:left="1440" w:hanging="360"/>
      </w:pPr>
      <w:rPr>
        <w:rFonts w:ascii="Symbol" w:hAnsi="Symbo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311D92"/>
    <w:multiLevelType w:val="hybridMultilevel"/>
    <w:tmpl w:val="8670FA5A"/>
    <w:lvl w:ilvl="0" w:tplc="985A3D20">
      <w:start w:val="1"/>
      <w:numFmt w:val="decimal"/>
      <w:lvlText w:val="%1."/>
      <w:lvlJc w:val="left"/>
      <w:pPr>
        <w:ind w:left="1068" w:hanging="360"/>
      </w:pPr>
      <w:rPr>
        <w:rFonts w:eastAsia="Calibri" w:hint="default"/>
        <w:sz w:val="22"/>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7" w15:restartNumberingAfterBreak="0">
    <w:nsid w:val="4B990266"/>
    <w:multiLevelType w:val="hybridMultilevel"/>
    <w:tmpl w:val="7C24E4A2"/>
    <w:lvl w:ilvl="0" w:tplc="C6C2B31E">
      <w:start w:val="1"/>
      <w:numFmt w:val="decimal"/>
      <w:lvlText w:val="%1."/>
      <w:lvlJc w:val="left"/>
      <w:pPr>
        <w:tabs>
          <w:tab w:val="num" w:pos="720"/>
        </w:tabs>
        <w:ind w:left="720" w:hanging="360"/>
      </w:pPr>
    </w:lvl>
    <w:lvl w:ilvl="1" w:tplc="0AE0A2CA" w:tentative="1">
      <w:start w:val="1"/>
      <w:numFmt w:val="decimal"/>
      <w:lvlText w:val="%2."/>
      <w:lvlJc w:val="left"/>
      <w:pPr>
        <w:tabs>
          <w:tab w:val="num" w:pos="1440"/>
        </w:tabs>
        <w:ind w:left="1440" w:hanging="360"/>
      </w:pPr>
    </w:lvl>
    <w:lvl w:ilvl="2" w:tplc="B93246B6" w:tentative="1">
      <w:start w:val="1"/>
      <w:numFmt w:val="decimal"/>
      <w:lvlText w:val="%3."/>
      <w:lvlJc w:val="left"/>
      <w:pPr>
        <w:tabs>
          <w:tab w:val="num" w:pos="2160"/>
        </w:tabs>
        <w:ind w:left="2160" w:hanging="360"/>
      </w:pPr>
    </w:lvl>
    <w:lvl w:ilvl="3" w:tplc="3782E56A" w:tentative="1">
      <w:start w:val="1"/>
      <w:numFmt w:val="decimal"/>
      <w:lvlText w:val="%4."/>
      <w:lvlJc w:val="left"/>
      <w:pPr>
        <w:tabs>
          <w:tab w:val="num" w:pos="2880"/>
        </w:tabs>
        <w:ind w:left="2880" w:hanging="360"/>
      </w:pPr>
    </w:lvl>
    <w:lvl w:ilvl="4" w:tplc="A448DF14" w:tentative="1">
      <w:start w:val="1"/>
      <w:numFmt w:val="decimal"/>
      <w:lvlText w:val="%5."/>
      <w:lvlJc w:val="left"/>
      <w:pPr>
        <w:tabs>
          <w:tab w:val="num" w:pos="3600"/>
        </w:tabs>
        <w:ind w:left="3600" w:hanging="360"/>
      </w:pPr>
    </w:lvl>
    <w:lvl w:ilvl="5" w:tplc="7DA48E88" w:tentative="1">
      <w:start w:val="1"/>
      <w:numFmt w:val="decimal"/>
      <w:lvlText w:val="%6."/>
      <w:lvlJc w:val="left"/>
      <w:pPr>
        <w:tabs>
          <w:tab w:val="num" w:pos="4320"/>
        </w:tabs>
        <w:ind w:left="4320" w:hanging="360"/>
      </w:pPr>
    </w:lvl>
    <w:lvl w:ilvl="6" w:tplc="68B457B6" w:tentative="1">
      <w:start w:val="1"/>
      <w:numFmt w:val="decimal"/>
      <w:lvlText w:val="%7."/>
      <w:lvlJc w:val="left"/>
      <w:pPr>
        <w:tabs>
          <w:tab w:val="num" w:pos="5040"/>
        </w:tabs>
        <w:ind w:left="5040" w:hanging="360"/>
      </w:pPr>
    </w:lvl>
    <w:lvl w:ilvl="7" w:tplc="4D705A5A" w:tentative="1">
      <w:start w:val="1"/>
      <w:numFmt w:val="decimal"/>
      <w:lvlText w:val="%8."/>
      <w:lvlJc w:val="left"/>
      <w:pPr>
        <w:tabs>
          <w:tab w:val="num" w:pos="5760"/>
        </w:tabs>
        <w:ind w:left="5760" w:hanging="360"/>
      </w:pPr>
    </w:lvl>
    <w:lvl w:ilvl="8" w:tplc="A70277F8" w:tentative="1">
      <w:start w:val="1"/>
      <w:numFmt w:val="decimal"/>
      <w:lvlText w:val="%9."/>
      <w:lvlJc w:val="left"/>
      <w:pPr>
        <w:tabs>
          <w:tab w:val="num" w:pos="6480"/>
        </w:tabs>
        <w:ind w:left="6480" w:hanging="360"/>
      </w:pPr>
    </w:lvl>
  </w:abstractNum>
  <w:abstractNum w:abstractNumId="8" w15:restartNumberingAfterBreak="0">
    <w:nsid w:val="55513CA1"/>
    <w:multiLevelType w:val="hybridMultilevel"/>
    <w:tmpl w:val="6B2CFEA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C547EA"/>
    <w:multiLevelType w:val="hybridMultilevel"/>
    <w:tmpl w:val="54F48C0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9F420EC"/>
    <w:multiLevelType w:val="hybridMultilevel"/>
    <w:tmpl w:val="1C509A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39F09CD"/>
    <w:multiLevelType w:val="hybridMultilevel"/>
    <w:tmpl w:val="CC90620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FC2B25"/>
    <w:multiLevelType w:val="hybridMultilevel"/>
    <w:tmpl w:val="C8668B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3763D1D"/>
    <w:multiLevelType w:val="hybridMultilevel"/>
    <w:tmpl w:val="C8668B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8005DB5"/>
    <w:multiLevelType w:val="hybridMultilevel"/>
    <w:tmpl w:val="6A5246D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8"/>
  </w:num>
  <w:num w:numId="4">
    <w:abstractNumId w:val="3"/>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11"/>
  </w:num>
  <w:num w:numId="9">
    <w:abstractNumId w:val="2"/>
  </w:num>
  <w:num w:numId="10">
    <w:abstractNumId w:val="14"/>
  </w:num>
  <w:num w:numId="11">
    <w:abstractNumId w:val="9"/>
  </w:num>
  <w:num w:numId="12">
    <w:abstractNumId w:val="4"/>
  </w:num>
  <w:num w:numId="13">
    <w:abstractNumId w:val="13"/>
  </w:num>
  <w:num w:numId="14">
    <w:abstractNumId w:val="10"/>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C32"/>
    <w:rsid w:val="000232F3"/>
    <w:rsid w:val="0002474F"/>
    <w:rsid w:val="00024883"/>
    <w:rsid w:val="0002691A"/>
    <w:rsid w:val="00064882"/>
    <w:rsid w:val="00066ACD"/>
    <w:rsid w:val="000738C7"/>
    <w:rsid w:val="0007607A"/>
    <w:rsid w:val="00086546"/>
    <w:rsid w:val="0009292D"/>
    <w:rsid w:val="000B1CA1"/>
    <w:rsid w:val="000B3909"/>
    <w:rsid w:val="000B4387"/>
    <w:rsid w:val="000C6F2C"/>
    <w:rsid w:val="000C7004"/>
    <w:rsid w:val="000D5554"/>
    <w:rsid w:val="000D5F4A"/>
    <w:rsid w:val="000E310A"/>
    <w:rsid w:val="000E4CD3"/>
    <w:rsid w:val="000F08ED"/>
    <w:rsid w:val="001076E3"/>
    <w:rsid w:val="00132161"/>
    <w:rsid w:val="00160931"/>
    <w:rsid w:val="00162E10"/>
    <w:rsid w:val="001663B6"/>
    <w:rsid w:val="00166C78"/>
    <w:rsid w:val="00175CD7"/>
    <w:rsid w:val="001A4648"/>
    <w:rsid w:val="001C13AA"/>
    <w:rsid w:val="001F06B5"/>
    <w:rsid w:val="00201912"/>
    <w:rsid w:val="0021405F"/>
    <w:rsid w:val="00222204"/>
    <w:rsid w:val="0023043D"/>
    <w:rsid w:val="00234948"/>
    <w:rsid w:val="002353D7"/>
    <w:rsid w:val="0023644E"/>
    <w:rsid w:val="00242186"/>
    <w:rsid w:val="002512DC"/>
    <w:rsid w:val="00255F38"/>
    <w:rsid w:val="0026584F"/>
    <w:rsid w:val="002677C8"/>
    <w:rsid w:val="00285777"/>
    <w:rsid w:val="002A7A8E"/>
    <w:rsid w:val="002B7DBC"/>
    <w:rsid w:val="002D1EDB"/>
    <w:rsid w:val="002D36B5"/>
    <w:rsid w:val="002D5791"/>
    <w:rsid w:val="002F3D0F"/>
    <w:rsid w:val="002F478D"/>
    <w:rsid w:val="002F73FC"/>
    <w:rsid w:val="003015D1"/>
    <w:rsid w:val="00303D8F"/>
    <w:rsid w:val="00306038"/>
    <w:rsid w:val="00306B09"/>
    <w:rsid w:val="00312365"/>
    <w:rsid w:val="00325973"/>
    <w:rsid w:val="0032649B"/>
    <w:rsid w:val="0033455E"/>
    <w:rsid w:val="0034130E"/>
    <w:rsid w:val="00356256"/>
    <w:rsid w:val="00365F45"/>
    <w:rsid w:val="00367E89"/>
    <w:rsid w:val="00374B3B"/>
    <w:rsid w:val="00377589"/>
    <w:rsid w:val="00384D2B"/>
    <w:rsid w:val="00387E79"/>
    <w:rsid w:val="003A1302"/>
    <w:rsid w:val="003B79C0"/>
    <w:rsid w:val="003B7FC0"/>
    <w:rsid w:val="003D6393"/>
    <w:rsid w:val="003D699E"/>
    <w:rsid w:val="003D7E3B"/>
    <w:rsid w:val="003E5BA6"/>
    <w:rsid w:val="00413FAF"/>
    <w:rsid w:val="00416574"/>
    <w:rsid w:val="004337E7"/>
    <w:rsid w:val="00453D21"/>
    <w:rsid w:val="00461187"/>
    <w:rsid w:val="00463039"/>
    <w:rsid w:val="0046507B"/>
    <w:rsid w:val="00470B83"/>
    <w:rsid w:val="004754C1"/>
    <w:rsid w:val="004842DB"/>
    <w:rsid w:val="004850C2"/>
    <w:rsid w:val="00485A81"/>
    <w:rsid w:val="00487D84"/>
    <w:rsid w:val="004B19F8"/>
    <w:rsid w:val="004B37F4"/>
    <w:rsid w:val="004E64EC"/>
    <w:rsid w:val="004E79AF"/>
    <w:rsid w:val="004F16D9"/>
    <w:rsid w:val="004F4AD6"/>
    <w:rsid w:val="004F6F41"/>
    <w:rsid w:val="00510598"/>
    <w:rsid w:val="00510E69"/>
    <w:rsid w:val="00516E25"/>
    <w:rsid w:val="0052484F"/>
    <w:rsid w:val="005302E4"/>
    <w:rsid w:val="005375A0"/>
    <w:rsid w:val="00543298"/>
    <w:rsid w:val="00551644"/>
    <w:rsid w:val="0055264B"/>
    <w:rsid w:val="00557CCC"/>
    <w:rsid w:val="0058719F"/>
    <w:rsid w:val="00595395"/>
    <w:rsid w:val="005A234A"/>
    <w:rsid w:val="005C421A"/>
    <w:rsid w:val="005D02C5"/>
    <w:rsid w:val="005D732B"/>
    <w:rsid w:val="005E72CF"/>
    <w:rsid w:val="005F19FE"/>
    <w:rsid w:val="005F39DA"/>
    <w:rsid w:val="00610C63"/>
    <w:rsid w:val="006412E8"/>
    <w:rsid w:val="00681910"/>
    <w:rsid w:val="006915BE"/>
    <w:rsid w:val="006A126C"/>
    <w:rsid w:val="006A5D04"/>
    <w:rsid w:val="006B5218"/>
    <w:rsid w:val="006C0019"/>
    <w:rsid w:val="006C27F5"/>
    <w:rsid w:val="006D364D"/>
    <w:rsid w:val="006D73AA"/>
    <w:rsid w:val="006F2B3D"/>
    <w:rsid w:val="00702BE4"/>
    <w:rsid w:val="00722383"/>
    <w:rsid w:val="007322CA"/>
    <w:rsid w:val="00744795"/>
    <w:rsid w:val="00767E9E"/>
    <w:rsid w:val="00787351"/>
    <w:rsid w:val="007B2FF9"/>
    <w:rsid w:val="007C1073"/>
    <w:rsid w:val="007F2F31"/>
    <w:rsid w:val="00800466"/>
    <w:rsid w:val="00813EFF"/>
    <w:rsid w:val="008253F6"/>
    <w:rsid w:val="00832BBB"/>
    <w:rsid w:val="00835312"/>
    <w:rsid w:val="00837EC7"/>
    <w:rsid w:val="00845657"/>
    <w:rsid w:val="008503C3"/>
    <w:rsid w:val="008728D0"/>
    <w:rsid w:val="008824E3"/>
    <w:rsid w:val="00894D26"/>
    <w:rsid w:val="008A155E"/>
    <w:rsid w:val="008A4391"/>
    <w:rsid w:val="008A456D"/>
    <w:rsid w:val="008A7009"/>
    <w:rsid w:val="008B15A7"/>
    <w:rsid w:val="008B5878"/>
    <w:rsid w:val="008C54D2"/>
    <w:rsid w:val="008D2B37"/>
    <w:rsid w:val="008E1438"/>
    <w:rsid w:val="008F2BCD"/>
    <w:rsid w:val="008F3457"/>
    <w:rsid w:val="008F6239"/>
    <w:rsid w:val="0092139E"/>
    <w:rsid w:val="00921A88"/>
    <w:rsid w:val="00923642"/>
    <w:rsid w:val="00923B62"/>
    <w:rsid w:val="009348EA"/>
    <w:rsid w:val="00952A3F"/>
    <w:rsid w:val="0096279B"/>
    <w:rsid w:val="009639F9"/>
    <w:rsid w:val="009A2F63"/>
    <w:rsid w:val="009A4B1D"/>
    <w:rsid w:val="009B433A"/>
    <w:rsid w:val="009C4EB8"/>
    <w:rsid w:val="009E05DB"/>
    <w:rsid w:val="009E10C8"/>
    <w:rsid w:val="009E3205"/>
    <w:rsid w:val="009E5C08"/>
    <w:rsid w:val="009F493F"/>
    <w:rsid w:val="00A01408"/>
    <w:rsid w:val="00A028A4"/>
    <w:rsid w:val="00A15075"/>
    <w:rsid w:val="00A2102B"/>
    <w:rsid w:val="00A31EB6"/>
    <w:rsid w:val="00A4421F"/>
    <w:rsid w:val="00A44A37"/>
    <w:rsid w:val="00A7633E"/>
    <w:rsid w:val="00A7647E"/>
    <w:rsid w:val="00A96166"/>
    <w:rsid w:val="00A96C9D"/>
    <w:rsid w:val="00AA68EA"/>
    <w:rsid w:val="00AB2084"/>
    <w:rsid w:val="00AB7B31"/>
    <w:rsid w:val="00AC7E80"/>
    <w:rsid w:val="00AD01B1"/>
    <w:rsid w:val="00AD08CD"/>
    <w:rsid w:val="00AD1147"/>
    <w:rsid w:val="00AE3EBE"/>
    <w:rsid w:val="00AF7AE4"/>
    <w:rsid w:val="00B1012F"/>
    <w:rsid w:val="00B10228"/>
    <w:rsid w:val="00B103B4"/>
    <w:rsid w:val="00B16A90"/>
    <w:rsid w:val="00B210DA"/>
    <w:rsid w:val="00B238E5"/>
    <w:rsid w:val="00B242C3"/>
    <w:rsid w:val="00B303AE"/>
    <w:rsid w:val="00B31D88"/>
    <w:rsid w:val="00B37C36"/>
    <w:rsid w:val="00B60488"/>
    <w:rsid w:val="00B610E8"/>
    <w:rsid w:val="00B74AE9"/>
    <w:rsid w:val="00B87F6E"/>
    <w:rsid w:val="00BA0909"/>
    <w:rsid w:val="00BA1377"/>
    <w:rsid w:val="00BB27CA"/>
    <w:rsid w:val="00BB304B"/>
    <w:rsid w:val="00BC46F6"/>
    <w:rsid w:val="00BC6F28"/>
    <w:rsid w:val="00BE370B"/>
    <w:rsid w:val="00BE4490"/>
    <w:rsid w:val="00BF25BF"/>
    <w:rsid w:val="00BF56AA"/>
    <w:rsid w:val="00C06B2B"/>
    <w:rsid w:val="00C440E6"/>
    <w:rsid w:val="00C4419D"/>
    <w:rsid w:val="00C64542"/>
    <w:rsid w:val="00C6520C"/>
    <w:rsid w:val="00C8199C"/>
    <w:rsid w:val="00CA1748"/>
    <w:rsid w:val="00CA7CA4"/>
    <w:rsid w:val="00CB1F1C"/>
    <w:rsid w:val="00CD003D"/>
    <w:rsid w:val="00CE0D54"/>
    <w:rsid w:val="00CF2190"/>
    <w:rsid w:val="00D04354"/>
    <w:rsid w:val="00D04A4A"/>
    <w:rsid w:val="00D31934"/>
    <w:rsid w:val="00D40C70"/>
    <w:rsid w:val="00D54DF8"/>
    <w:rsid w:val="00D56E1A"/>
    <w:rsid w:val="00D713B0"/>
    <w:rsid w:val="00D75B39"/>
    <w:rsid w:val="00D76756"/>
    <w:rsid w:val="00D809CF"/>
    <w:rsid w:val="00D80AC8"/>
    <w:rsid w:val="00D82209"/>
    <w:rsid w:val="00D86186"/>
    <w:rsid w:val="00DA14B3"/>
    <w:rsid w:val="00DA386D"/>
    <w:rsid w:val="00DA6A28"/>
    <w:rsid w:val="00DC689E"/>
    <w:rsid w:val="00DD42E1"/>
    <w:rsid w:val="00DE1D2C"/>
    <w:rsid w:val="00DE4656"/>
    <w:rsid w:val="00DE7DBB"/>
    <w:rsid w:val="00E04BF2"/>
    <w:rsid w:val="00E10227"/>
    <w:rsid w:val="00E1376A"/>
    <w:rsid w:val="00E20AED"/>
    <w:rsid w:val="00E2701E"/>
    <w:rsid w:val="00E54CF6"/>
    <w:rsid w:val="00E56C8C"/>
    <w:rsid w:val="00E629CB"/>
    <w:rsid w:val="00E70CA5"/>
    <w:rsid w:val="00E80F24"/>
    <w:rsid w:val="00E81EE1"/>
    <w:rsid w:val="00E82F69"/>
    <w:rsid w:val="00E8319E"/>
    <w:rsid w:val="00E950D2"/>
    <w:rsid w:val="00EB4810"/>
    <w:rsid w:val="00EB5B39"/>
    <w:rsid w:val="00EC01C7"/>
    <w:rsid w:val="00EC7C11"/>
    <w:rsid w:val="00ED0C32"/>
    <w:rsid w:val="00ED1D43"/>
    <w:rsid w:val="00EE5485"/>
    <w:rsid w:val="00EE7065"/>
    <w:rsid w:val="00EF12C4"/>
    <w:rsid w:val="00F1372C"/>
    <w:rsid w:val="00F210F9"/>
    <w:rsid w:val="00F46FC3"/>
    <w:rsid w:val="00F57658"/>
    <w:rsid w:val="00F7256D"/>
    <w:rsid w:val="00F7363D"/>
    <w:rsid w:val="00F9418D"/>
    <w:rsid w:val="00F95173"/>
    <w:rsid w:val="00FA26CB"/>
    <w:rsid w:val="00FA3BFA"/>
    <w:rsid w:val="00FC46E4"/>
    <w:rsid w:val="00FD03B5"/>
    <w:rsid w:val="00FE4C32"/>
    <w:rsid w:val="00FE4F31"/>
    <w:rsid w:val="00FF78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52FDE573-2802-4B62-BE37-CF698E836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E3205"/>
    <w:rPr>
      <w:sz w:val="24"/>
      <w:szCs w:val="24"/>
    </w:rPr>
  </w:style>
  <w:style w:type="paragraph" w:styleId="Cmsor1">
    <w:name w:val="heading 1"/>
    <w:basedOn w:val="Norml"/>
    <w:next w:val="Norml"/>
    <w:qFormat/>
    <w:rsid w:val="00BB27CA"/>
    <w:pPr>
      <w:keepNext/>
      <w:spacing w:before="240" w:after="60"/>
      <w:outlineLvl w:val="0"/>
    </w:pPr>
    <w:rPr>
      <w:rFonts w:ascii="Arial" w:hAnsi="Arial" w:cs="Arial"/>
      <w:b/>
      <w:bCs/>
      <w:kern w:val="32"/>
      <w:sz w:val="32"/>
      <w:szCs w:val="32"/>
    </w:rPr>
  </w:style>
  <w:style w:type="paragraph" w:styleId="Cmsor2">
    <w:name w:val="heading 2"/>
    <w:basedOn w:val="Norml"/>
    <w:next w:val="Norml"/>
    <w:qFormat/>
    <w:rsid w:val="00EE7065"/>
    <w:pPr>
      <w:keepNext/>
      <w:spacing w:before="240" w:after="60"/>
      <w:outlineLvl w:val="1"/>
    </w:pPr>
    <w:rPr>
      <w:rFonts w:ascii="Arial" w:hAnsi="Arial" w:cs="Arial"/>
      <w:b/>
      <w:bCs/>
      <w:i/>
      <w:iCs/>
      <w:sz w:val="28"/>
      <w:szCs w:val="28"/>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sz w:val="18"/>
      <w:szCs w:val="18"/>
      <w:lang w:val="x-none" w:eastAsia="x-none"/>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rsid w:val="00BB27CA"/>
    <w:pPr>
      <w:jc w:val="both"/>
    </w:pPr>
    <w:rPr>
      <w:szCs w:val="20"/>
    </w:rPr>
  </w:style>
  <w:style w:type="character" w:customStyle="1" w:styleId="SzvegtrzsChar">
    <w:name w:val="Szövegtörzs Char"/>
    <w:link w:val="Szvegtrzs"/>
    <w:rsid w:val="00BB27CA"/>
    <w:rPr>
      <w:sz w:val="24"/>
      <w:lang w:val="hu-HU" w:eastAsia="hu-HU" w:bidi="ar-SA"/>
    </w:rPr>
  </w:style>
  <w:style w:type="table" w:styleId="Rcsostblzat">
    <w:name w:val="Table Grid"/>
    <w:basedOn w:val="Normltblzat"/>
    <w:rsid w:val="00BB2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
    <w:name w:val="para"/>
    <w:basedOn w:val="Bekezdsalapbettpusa"/>
    <w:rsid w:val="00EE7065"/>
  </w:style>
  <w:style w:type="character" w:customStyle="1" w:styleId="apple-converted-space">
    <w:name w:val="apple-converted-space"/>
    <w:basedOn w:val="Bekezdsalapbettpusa"/>
    <w:rsid w:val="00EE7065"/>
  </w:style>
  <w:style w:type="character" w:customStyle="1" w:styleId="point">
    <w:name w:val="point"/>
    <w:basedOn w:val="Bekezdsalapbettpusa"/>
    <w:rsid w:val="00EE7065"/>
  </w:style>
  <w:style w:type="paragraph" w:styleId="NormlWeb">
    <w:name w:val="Normal (Web)"/>
    <w:basedOn w:val="Norml"/>
    <w:rsid w:val="00374B3B"/>
    <w:pPr>
      <w:spacing w:before="100" w:beforeAutospacing="1" w:after="100" w:afterAutospacing="1"/>
    </w:pPr>
  </w:style>
  <w:style w:type="character" w:styleId="Hiperhivatkozs">
    <w:name w:val="Hyperlink"/>
    <w:rsid w:val="00374B3B"/>
    <w:rPr>
      <w:color w:val="0000FF"/>
      <w:u w:val="single"/>
    </w:rPr>
  </w:style>
  <w:style w:type="paragraph" w:styleId="Listaszerbekezds">
    <w:name w:val="List Paragraph"/>
    <w:basedOn w:val="Norml"/>
    <w:uiPriority w:val="34"/>
    <w:qFormat/>
    <w:rsid w:val="00D809CF"/>
    <w:pPr>
      <w:spacing w:after="160" w:line="259" w:lineRule="auto"/>
      <w:ind w:left="720"/>
      <w:contextualSpacing/>
    </w:pPr>
    <w:rPr>
      <w:rFonts w:ascii="Calibri" w:eastAsia="Calibri" w:hAnsi="Calibri"/>
      <w:sz w:val="22"/>
      <w:szCs w:val="22"/>
      <w:lang w:eastAsia="en-US"/>
    </w:rPr>
  </w:style>
  <w:style w:type="paragraph" w:styleId="Nincstrkz">
    <w:name w:val="No Spacing"/>
    <w:uiPriority w:val="1"/>
    <w:qFormat/>
    <w:rsid w:val="009E5C08"/>
    <w:rPr>
      <w:rFonts w:ascii="Calibri" w:eastAsia="Calibri" w:hAnsi="Calibri"/>
      <w:sz w:val="22"/>
      <w:szCs w:val="22"/>
      <w:lang w:eastAsia="en-US"/>
    </w:rPr>
  </w:style>
  <w:style w:type="paragraph" w:customStyle="1" w:styleId="Default">
    <w:name w:val="Default"/>
    <w:rsid w:val="006C0019"/>
    <w:pPr>
      <w:autoSpaceDE w:val="0"/>
      <w:autoSpaceDN w:val="0"/>
      <w:adjustRightInd w:val="0"/>
    </w:pPr>
    <w:rPr>
      <w:rFonts w:ascii="Adobe Garamond Pro" w:hAnsi="Adobe Garamond Pro" w:cs="Adobe Garamon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49861">
      <w:bodyDiv w:val="1"/>
      <w:marLeft w:val="0"/>
      <w:marRight w:val="0"/>
      <w:marTop w:val="0"/>
      <w:marBottom w:val="0"/>
      <w:divBdr>
        <w:top w:val="none" w:sz="0" w:space="0" w:color="auto"/>
        <w:left w:val="none" w:sz="0" w:space="0" w:color="auto"/>
        <w:bottom w:val="none" w:sz="0" w:space="0" w:color="auto"/>
        <w:right w:val="none" w:sz="0" w:space="0" w:color="auto"/>
      </w:divBdr>
      <w:divsChild>
        <w:div w:id="955407459">
          <w:marLeft w:val="54"/>
          <w:marRight w:val="54"/>
          <w:marTop w:val="32"/>
          <w:marBottom w:val="86"/>
          <w:divBdr>
            <w:top w:val="none" w:sz="0" w:space="0" w:color="auto"/>
            <w:left w:val="none" w:sz="0" w:space="0" w:color="auto"/>
            <w:bottom w:val="none" w:sz="0" w:space="0" w:color="auto"/>
            <w:right w:val="none" w:sz="0" w:space="0" w:color="auto"/>
          </w:divBdr>
        </w:div>
        <w:div w:id="1658335949">
          <w:marLeft w:val="54"/>
          <w:marRight w:val="54"/>
          <w:marTop w:val="32"/>
          <w:marBottom w:val="86"/>
          <w:divBdr>
            <w:top w:val="none" w:sz="0" w:space="0" w:color="auto"/>
            <w:left w:val="none" w:sz="0" w:space="0" w:color="auto"/>
            <w:bottom w:val="none" w:sz="0" w:space="0" w:color="auto"/>
            <w:right w:val="none" w:sz="0" w:space="0" w:color="auto"/>
          </w:divBdr>
        </w:div>
      </w:divsChild>
    </w:div>
    <w:div w:id="232858797">
      <w:bodyDiv w:val="1"/>
      <w:marLeft w:val="0"/>
      <w:marRight w:val="0"/>
      <w:marTop w:val="0"/>
      <w:marBottom w:val="0"/>
      <w:divBdr>
        <w:top w:val="none" w:sz="0" w:space="0" w:color="auto"/>
        <w:left w:val="none" w:sz="0" w:space="0" w:color="auto"/>
        <w:bottom w:val="none" w:sz="0" w:space="0" w:color="auto"/>
        <w:right w:val="none" w:sz="0" w:space="0" w:color="auto"/>
      </w:divBdr>
      <w:divsChild>
        <w:div w:id="2015036473">
          <w:marLeft w:val="0"/>
          <w:marRight w:val="0"/>
          <w:marTop w:val="0"/>
          <w:marBottom w:val="0"/>
          <w:divBdr>
            <w:top w:val="none" w:sz="0" w:space="0" w:color="auto"/>
            <w:left w:val="none" w:sz="0" w:space="0" w:color="auto"/>
            <w:bottom w:val="none" w:sz="0" w:space="0" w:color="auto"/>
            <w:right w:val="none" w:sz="0" w:space="0" w:color="auto"/>
          </w:divBdr>
          <w:divsChild>
            <w:div w:id="17907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46515">
      <w:bodyDiv w:val="1"/>
      <w:marLeft w:val="0"/>
      <w:marRight w:val="0"/>
      <w:marTop w:val="0"/>
      <w:marBottom w:val="0"/>
      <w:divBdr>
        <w:top w:val="none" w:sz="0" w:space="0" w:color="auto"/>
        <w:left w:val="none" w:sz="0" w:space="0" w:color="auto"/>
        <w:bottom w:val="none" w:sz="0" w:space="0" w:color="auto"/>
        <w:right w:val="none" w:sz="0" w:space="0" w:color="auto"/>
      </w:divBdr>
      <w:divsChild>
        <w:div w:id="570500921">
          <w:marLeft w:val="54"/>
          <w:marRight w:val="54"/>
          <w:marTop w:val="32"/>
          <w:marBottom w:val="86"/>
          <w:divBdr>
            <w:top w:val="none" w:sz="0" w:space="0" w:color="auto"/>
            <w:left w:val="none" w:sz="0" w:space="0" w:color="auto"/>
            <w:bottom w:val="none" w:sz="0" w:space="0" w:color="auto"/>
            <w:right w:val="none" w:sz="0" w:space="0" w:color="auto"/>
          </w:divBdr>
        </w:div>
        <w:div w:id="1486312901">
          <w:marLeft w:val="54"/>
          <w:marRight w:val="54"/>
          <w:marTop w:val="32"/>
          <w:marBottom w:val="86"/>
          <w:divBdr>
            <w:top w:val="none" w:sz="0" w:space="0" w:color="auto"/>
            <w:left w:val="none" w:sz="0" w:space="0" w:color="auto"/>
            <w:bottom w:val="none" w:sz="0" w:space="0" w:color="auto"/>
            <w:right w:val="none" w:sz="0" w:space="0" w:color="auto"/>
          </w:divBdr>
        </w:div>
      </w:divsChild>
    </w:div>
    <w:div w:id="465972561">
      <w:bodyDiv w:val="1"/>
      <w:marLeft w:val="0"/>
      <w:marRight w:val="0"/>
      <w:marTop w:val="0"/>
      <w:marBottom w:val="0"/>
      <w:divBdr>
        <w:top w:val="none" w:sz="0" w:space="0" w:color="auto"/>
        <w:left w:val="none" w:sz="0" w:space="0" w:color="auto"/>
        <w:bottom w:val="none" w:sz="0" w:space="0" w:color="auto"/>
        <w:right w:val="none" w:sz="0" w:space="0" w:color="auto"/>
      </w:divBdr>
    </w:div>
    <w:div w:id="767502454">
      <w:bodyDiv w:val="1"/>
      <w:marLeft w:val="0"/>
      <w:marRight w:val="0"/>
      <w:marTop w:val="0"/>
      <w:marBottom w:val="0"/>
      <w:divBdr>
        <w:top w:val="none" w:sz="0" w:space="0" w:color="auto"/>
        <w:left w:val="none" w:sz="0" w:space="0" w:color="auto"/>
        <w:bottom w:val="none" w:sz="0" w:space="0" w:color="auto"/>
        <w:right w:val="none" w:sz="0" w:space="0" w:color="auto"/>
      </w:divBdr>
    </w:div>
    <w:div w:id="996762579">
      <w:bodyDiv w:val="1"/>
      <w:marLeft w:val="0"/>
      <w:marRight w:val="0"/>
      <w:marTop w:val="0"/>
      <w:marBottom w:val="0"/>
      <w:divBdr>
        <w:top w:val="none" w:sz="0" w:space="0" w:color="auto"/>
        <w:left w:val="none" w:sz="0" w:space="0" w:color="auto"/>
        <w:bottom w:val="none" w:sz="0" w:space="0" w:color="auto"/>
        <w:right w:val="none" w:sz="0" w:space="0" w:color="auto"/>
      </w:divBdr>
      <w:divsChild>
        <w:div w:id="1967655328">
          <w:marLeft w:val="0"/>
          <w:marRight w:val="0"/>
          <w:marTop w:val="0"/>
          <w:marBottom w:val="0"/>
          <w:divBdr>
            <w:top w:val="none" w:sz="0" w:space="0" w:color="auto"/>
            <w:left w:val="none" w:sz="0" w:space="0" w:color="auto"/>
            <w:bottom w:val="none" w:sz="0" w:space="0" w:color="auto"/>
            <w:right w:val="none" w:sz="0" w:space="0" w:color="auto"/>
          </w:divBdr>
        </w:div>
      </w:divsChild>
    </w:div>
    <w:div w:id="1073546936">
      <w:bodyDiv w:val="1"/>
      <w:marLeft w:val="0"/>
      <w:marRight w:val="0"/>
      <w:marTop w:val="0"/>
      <w:marBottom w:val="0"/>
      <w:divBdr>
        <w:top w:val="none" w:sz="0" w:space="0" w:color="auto"/>
        <w:left w:val="none" w:sz="0" w:space="0" w:color="auto"/>
        <w:bottom w:val="none" w:sz="0" w:space="0" w:color="auto"/>
        <w:right w:val="none" w:sz="0" w:space="0" w:color="auto"/>
      </w:divBdr>
    </w:div>
    <w:div w:id="1868906071">
      <w:bodyDiv w:val="1"/>
      <w:marLeft w:val="0"/>
      <w:marRight w:val="0"/>
      <w:marTop w:val="0"/>
      <w:marBottom w:val="0"/>
      <w:divBdr>
        <w:top w:val="none" w:sz="0" w:space="0" w:color="auto"/>
        <w:left w:val="none" w:sz="0" w:space="0" w:color="auto"/>
        <w:bottom w:val="none" w:sz="0" w:space="0" w:color="auto"/>
        <w:right w:val="none" w:sz="0" w:space="0" w:color="auto"/>
      </w:divBdr>
      <w:divsChild>
        <w:div w:id="1964531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zentkiralyi.bernade\Local%20Settings\Temporary%20Internet%20Files\Content.IE5\T65007FO\polgarmester%20es%20jegyzo%5b1%5d.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45064F-127C-4B8C-94EB-69E9AB9BF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BFA8954-8B35-4E73-82B4-37C802D7384F}">
  <ds:schemaRefs>
    <ds:schemaRef ds:uri="http://schemas.microsoft.com/sharepoint/v3/contenttype/forms"/>
  </ds:schemaRefs>
</ds:datastoreItem>
</file>

<file path=customXml/itemProps3.xml><?xml version="1.0" encoding="utf-8"?>
<ds:datastoreItem xmlns:ds="http://schemas.openxmlformats.org/officeDocument/2006/customXml" ds:itemID="{B164292B-8FBA-46F7-B065-C11F769F81F3}">
  <ds:schemaRefs>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polgarmester es jegyzo[1]</Template>
  <TotalTime>5</TotalTime>
  <Pages>3</Pages>
  <Words>780</Words>
  <Characters>5863</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Az előterjesztést megtárgyalta:</vt:lpstr>
    </vt:vector>
  </TitlesOfParts>
  <Company>SZMJV Polg. Hiv.</Company>
  <LinksUpToDate>false</LinksUpToDate>
  <CharactersWithSpaces>6630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 előterjesztést megtárgyalta:</dc:title>
  <dc:subject/>
  <dc:creator>Szentkirályi Bernadett</dc:creator>
  <cp:keywords/>
  <cp:lastModifiedBy>Németh Klaudia</cp:lastModifiedBy>
  <cp:revision>4</cp:revision>
  <cp:lastPrinted>2016-11-28T13:51:00Z</cp:lastPrinted>
  <dcterms:created xsi:type="dcterms:W3CDTF">2016-11-28T12:58:00Z</dcterms:created>
  <dcterms:modified xsi:type="dcterms:W3CDTF">2016-11-28T13:54:00Z</dcterms:modified>
</cp:coreProperties>
</file>