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42" w:rsidRDefault="00B07142" w:rsidP="00B07142">
      <w:pPr>
        <w:jc w:val="right"/>
        <w:rPr>
          <w:rFonts w:ascii="Arial" w:hAnsi="Arial" w:cs="Arial"/>
          <w:b/>
          <w:bCs/>
        </w:rPr>
      </w:pPr>
    </w:p>
    <w:p w:rsidR="00B07142" w:rsidRPr="00940FD8" w:rsidRDefault="00B07142" w:rsidP="00B07142">
      <w:pPr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1</w:t>
      </w:r>
      <w:r w:rsidRPr="00940FD8">
        <w:rPr>
          <w:rFonts w:ascii="Arial" w:hAnsi="Arial" w:cs="Arial"/>
          <w:b/>
          <w:bCs/>
        </w:rPr>
        <w:t>. számú m</w:t>
      </w:r>
      <w:r w:rsidRPr="00940FD8">
        <w:rPr>
          <w:rFonts w:ascii="Arial" w:hAnsi="Arial" w:cs="Arial"/>
          <w:b/>
          <w:color w:val="222222"/>
        </w:rPr>
        <w:t>elléklet</w:t>
      </w:r>
    </w:p>
    <w:p w:rsidR="00B07142" w:rsidRDefault="00B07142" w:rsidP="00B07142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color w:val="222222"/>
        </w:rPr>
      </w:pPr>
    </w:p>
    <w:p w:rsidR="00B07142" w:rsidRDefault="00B07142" w:rsidP="00B07142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color w:val="222222"/>
        </w:rPr>
      </w:pPr>
    </w:p>
    <w:p w:rsidR="00B07142" w:rsidRDefault="00B07142" w:rsidP="00B07142">
      <w:pPr>
        <w:pStyle w:val="NormlWeb"/>
        <w:spacing w:before="0" w:beforeAutospacing="0" w:after="0" w:afterAutospacing="0" w:line="300" w:lineRule="exact"/>
        <w:ind w:right="147"/>
        <w:jc w:val="center"/>
        <w:rPr>
          <w:rFonts w:ascii="Arial" w:hAnsi="Arial" w:cs="Arial"/>
          <w:color w:val="222222"/>
        </w:rPr>
      </w:pPr>
      <w:r w:rsidRPr="003E0AC1">
        <w:rPr>
          <w:rFonts w:ascii="Arial" w:hAnsi="Arial" w:cs="Arial"/>
          <w:b/>
          <w:color w:val="222222"/>
        </w:rPr>
        <w:t>Az államigazgatási egyeztetés során felmerült észrevételek, vélemények, javaslatok, illetve az azokra előterjesztett válaszok listája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Pr="001B74B9" w:rsidRDefault="00B07142" w:rsidP="00B07142">
      <w:pPr>
        <w:pStyle w:val="NormlWeb"/>
        <w:spacing w:before="0" w:beforeAutospacing="0" w:after="0" w:afterAutospacing="0" w:line="300" w:lineRule="exact"/>
        <w:ind w:right="147"/>
        <w:jc w:val="both"/>
        <w:rPr>
          <w:rFonts w:ascii="Arial" w:hAnsi="Arial" w:cs="Arial"/>
          <w:b/>
          <w:color w:val="222222"/>
        </w:rPr>
      </w:pPr>
      <w:r w:rsidRPr="001950BE">
        <w:rPr>
          <w:rFonts w:ascii="Arial" w:hAnsi="Arial" w:cs="Arial"/>
          <w:b/>
          <w:color w:val="000000"/>
        </w:rPr>
        <w:t>VASIVÍZ</w:t>
      </w:r>
      <w:r>
        <w:rPr>
          <w:rFonts w:ascii="Arial" w:hAnsi="Arial" w:cs="Arial"/>
          <w:color w:val="000000"/>
        </w:rPr>
        <w:t xml:space="preserve"> </w:t>
      </w:r>
      <w:r w:rsidRPr="001B74B9">
        <w:rPr>
          <w:rFonts w:ascii="Arial" w:hAnsi="Arial" w:cs="Arial"/>
          <w:b/>
          <w:color w:val="222222"/>
        </w:rPr>
        <w:t>Vas megyei Víz és Csatornaművek Zrt.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Az FF/289-56/2016 iktatószámú levelében tett véleményét fenntartja: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ind w:left="709"/>
        <w:jc w:val="both"/>
        <w:rPr>
          <w:rFonts w:ascii="Arial" w:hAnsi="Arial" w:cs="Arial"/>
          <w:i/>
          <w:color w:val="000000"/>
        </w:rPr>
      </w:pPr>
      <w:r w:rsidRPr="001E2EBC">
        <w:rPr>
          <w:rFonts w:ascii="Arial" w:hAnsi="Arial" w:cs="Arial"/>
          <w:i/>
          <w:color w:val="000000"/>
        </w:rPr>
        <w:t>„A viziközmű hálózat és a szennyvízelvezető rendszer bővítését igénylő módosítások során fel kell keresni az üzemeltetőt, hogy a meglévő fogyasztók felé az ellátást zavartalanul biztosítani lehessen.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ind w:left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A meglévő vezetékek védelméről, valamint védelem alá helyezéséről (védőcső, kiváltás…) gondoskodni kell minden esetben.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ind w:left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A telekalakítások és a telekhatárok módosítása esetén a meglevő vezetékeknek minden esetben közterületen kell maradniuk.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ind w:left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A rendezési terv kidolgozása során tekintettel kell lenni a meglevő viziközmű (víz-, szennyvíz) létesítmények biztonságára.</w:t>
      </w:r>
    </w:p>
    <w:p w:rsidR="00B07142" w:rsidRPr="001E2EBC" w:rsidRDefault="00B07142" w:rsidP="00B07142">
      <w:pPr>
        <w:pStyle w:val="lfej"/>
        <w:tabs>
          <w:tab w:val="clear" w:pos="4536"/>
          <w:tab w:val="clear" w:pos="9072"/>
        </w:tabs>
        <w:ind w:left="709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Közterületi fogyasztók esetében a 2011. évi CCIX. számú törvény 69. § (1) bekezdése szerint kell eljárni: „A nem lakossági felhasználó a viziközmű szolgáltatóval kötött szerződésben foglaltak szerint a viziközmű szolgáltató részére viziközmű-fejlesztési hozzájárulást fizet közüzemi szerződéses jogviszony esetén a felhasználási helyen biztosítandó szolgáltatási kapacitásért, a viziközmű-szolgáltatásba bekapcsolt ingatlanhoz biztosított kapacitás általa kezdeményezett bővítéséért, továbbá a viziközmű-szolgáltatás minőségének (a víz minőségi paramétereinek) általa igényelt emelése esetén.”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  <w:r w:rsidRPr="001950BE">
        <w:rPr>
          <w:rFonts w:ascii="Arial" w:hAnsi="Arial" w:cs="Arial"/>
          <w:b/>
          <w:color w:val="000000"/>
        </w:rPr>
        <w:t>Nemzeti Közlekedési Hatóság Út- és Hídügyi Főosztály Engedélyezési és Forgalomszabályozási Osztály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Pr="001950BE">
        <w:rPr>
          <w:rFonts w:ascii="Arial" w:hAnsi="Arial" w:cs="Arial"/>
          <w:color w:val="000000"/>
        </w:rPr>
        <w:t xml:space="preserve">Az UVH/UH/668/8/2016 számú véleményének fenntartása mellett a tervezett </w:t>
      </w:r>
      <w:r>
        <w:rPr>
          <w:rFonts w:ascii="Arial" w:hAnsi="Arial" w:cs="Arial"/>
          <w:color w:val="000000"/>
        </w:rPr>
        <w:tab/>
      </w:r>
      <w:r w:rsidRPr="001950BE">
        <w:rPr>
          <w:rFonts w:ascii="Arial" w:hAnsi="Arial" w:cs="Arial"/>
          <w:color w:val="000000"/>
        </w:rPr>
        <w:t>módosítás</w:t>
      </w:r>
      <w:r>
        <w:rPr>
          <w:rFonts w:ascii="Arial" w:hAnsi="Arial" w:cs="Arial"/>
          <w:color w:val="000000"/>
        </w:rPr>
        <w:t xml:space="preserve"> elfogadásá</w:t>
      </w:r>
      <w:r w:rsidRPr="001950BE">
        <w:rPr>
          <w:rFonts w:ascii="Arial" w:hAnsi="Arial" w:cs="Arial"/>
          <w:color w:val="000000"/>
        </w:rPr>
        <w:t>t támogatja.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  <w:r w:rsidRPr="001B2D7A">
        <w:rPr>
          <w:rFonts w:ascii="Arial" w:hAnsi="Arial" w:cs="Arial"/>
          <w:b/>
          <w:color w:val="000000"/>
        </w:rPr>
        <w:t>Vas Megyei Kormányhivatal Földművelésügyi és Erdőgazdálkodási Főosztály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Pr="001B2D7A">
        <w:rPr>
          <w:rFonts w:ascii="Arial" w:hAnsi="Arial" w:cs="Arial"/>
          <w:color w:val="000000"/>
        </w:rPr>
        <w:t>A módosításnak erdészeti szempontból nincs akadálya.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  <w:r w:rsidRPr="001B2D7A">
        <w:rPr>
          <w:rFonts w:ascii="Arial" w:hAnsi="Arial" w:cs="Arial"/>
          <w:b/>
          <w:color w:val="000000"/>
        </w:rPr>
        <w:t>Vas Megyei Kormányhivatal</w:t>
      </w:r>
      <w:r>
        <w:rPr>
          <w:rFonts w:ascii="Arial" w:hAnsi="Arial" w:cs="Arial"/>
          <w:b/>
          <w:color w:val="000000"/>
        </w:rPr>
        <w:t xml:space="preserve"> Környezetvédelmi és Természetvédelmi Főosztály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A tervezett módosítást elfogadja.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  <w:r w:rsidRPr="001B2D7A">
        <w:rPr>
          <w:rFonts w:ascii="Arial" w:hAnsi="Arial" w:cs="Arial"/>
          <w:b/>
          <w:color w:val="000000"/>
        </w:rPr>
        <w:t>Vas Megyei Kormányhivatal</w:t>
      </w:r>
      <w:r>
        <w:rPr>
          <w:rFonts w:ascii="Arial" w:hAnsi="Arial" w:cs="Arial"/>
          <w:b/>
          <w:color w:val="000000"/>
        </w:rPr>
        <w:t xml:space="preserve"> Szombathelyi Járási Hivatala Építési és Örökségvédelmi Osztály 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A módosítások örökségvédelmi érdeket nem sértenek, a megvalósítást támogatja.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  <w:r w:rsidRPr="001B2D7A">
        <w:rPr>
          <w:rFonts w:ascii="Arial" w:hAnsi="Arial" w:cs="Arial"/>
          <w:b/>
          <w:color w:val="000000"/>
        </w:rPr>
        <w:t>Vas Megyei Kormányhivatal</w:t>
      </w:r>
      <w:r>
        <w:rPr>
          <w:rFonts w:ascii="Arial" w:hAnsi="Arial" w:cs="Arial"/>
          <w:b/>
          <w:color w:val="000000"/>
        </w:rPr>
        <w:t xml:space="preserve"> Népegészségügyi Főosztály</w:t>
      </w:r>
    </w:p>
    <w:p w:rsidR="00B07142" w:rsidRDefault="00B07142" w:rsidP="00B07142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közműellátás tekintetében a fejlesztendő területeken gondoskodni kell az ivóvíz minőségű víz biztosításáról és a keletkező szennyvíz zárt rendszerű elvezetéséről, gyűjtéséről és majdani megsemmisítéséről.</w:t>
      </w:r>
    </w:p>
    <w:p w:rsidR="00B07142" w:rsidRDefault="00B07142" w:rsidP="00B07142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fejlesztés során vízzel érintkezésbe csak olyan anyagok, termékek, technológiák kerülhetnek, amelyek nem jelentenek veszélyt az emberi egészségre, hatásukra nem történik vízminőség romlás.</w:t>
      </w:r>
    </w:p>
    <w:p w:rsidR="00B07142" w:rsidRDefault="00B07142" w:rsidP="00B07142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Hóvirág utcai (Herényi temető) esetén a temető fenntartója, üzemeltetője kertészeti megoldásokkal, a temető szabályzatban foglaltakkal tegyen olyan intézkedéseket, </w:t>
      </w:r>
      <w:r>
        <w:rPr>
          <w:rFonts w:ascii="Arial" w:hAnsi="Arial" w:cs="Arial"/>
          <w:color w:val="000000"/>
        </w:rPr>
        <w:lastRenderedPageBreak/>
        <w:t>melyek a közegészségügyi és kegyeleti érdeket szem előtt tartva a lakókörnyezet megelégedésére, méltányolható érdekeire szolgálnak.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</w:rPr>
      </w:pPr>
      <w:r w:rsidRPr="001B2D7A">
        <w:rPr>
          <w:rFonts w:ascii="Arial" w:hAnsi="Arial" w:cs="Arial"/>
          <w:b/>
          <w:color w:val="000000"/>
        </w:rPr>
        <w:t>Vas Megyei Kormányhivatal</w:t>
      </w:r>
      <w:r>
        <w:rPr>
          <w:rFonts w:ascii="Arial" w:hAnsi="Arial" w:cs="Arial"/>
          <w:b/>
          <w:color w:val="000000"/>
        </w:rPr>
        <w:t xml:space="preserve"> Műszaki Engedélyezési és Fogyasztóvédelmi Főosztály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A tervezett módosítások ellen kifogást nem emel.</w:t>
      </w: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Pr="00C877F3" w:rsidRDefault="00B07142" w:rsidP="00B07142">
      <w:pPr>
        <w:rPr>
          <w:rFonts w:ascii="Arial" w:hAnsi="Arial" w:cs="Arial"/>
          <w:b/>
          <w:color w:val="000000"/>
        </w:rPr>
      </w:pPr>
      <w:r w:rsidRPr="00C877F3">
        <w:rPr>
          <w:rFonts w:ascii="Arial" w:hAnsi="Arial" w:cs="Arial"/>
          <w:b/>
          <w:color w:val="000000"/>
        </w:rPr>
        <w:t>Vas Megyei Katasztrófavédelmi Igazgatóság</w:t>
      </w:r>
    </w:p>
    <w:p w:rsidR="00B07142" w:rsidRPr="00C877F3" w:rsidRDefault="00B07142" w:rsidP="00B07142">
      <w:pPr>
        <w:pStyle w:val="Style28"/>
        <w:widowControl/>
        <w:numPr>
          <w:ilvl w:val="0"/>
          <w:numId w:val="1"/>
        </w:numPr>
        <w:spacing w:before="34" w:line="274" w:lineRule="exact"/>
        <w:jc w:val="left"/>
        <w:rPr>
          <w:rStyle w:val="FontStyle104"/>
          <w:b w:val="0"/>
        </w:rPr>
      </w:pPr>
      <w:r w:rsidRPr="00C877F3">
        <w:rPr>
          <w:rStyle w:val="FontStyle104"/>
        </w:rPr>
        <w:t>Tűzvédelmi, Iparbiztonsági, Polgári védelmi követelmények:</w:t>
      </w:r>
    </w:p>
    <w:p w:rsidR="00B07142" w:rsidRPr="00C877F3" w:rsidRDefault="00B07142" w:rsidP="00B07142">
      <w:pPr>
        <w:pStyle w:val="Style27"/>
        <w:widowControl/>
        <w:spacing w:line="274" w:lineRule="exact"/>
        <w:ind w:left="709"/>
        <w:rPr>
          <w:rStyle w:val="FontStyle98"/>
        </w:rPr>
      </w:pPr>
      <w:r w:rsidRPr="00C877F3">
        <w:rPr>
          <w:rStyle w:val="FontStyle98"/>
        </w:rPr>
        <w:t>Hivatkozási számon benyújtott településrendezési eszközök módosításban megküldött dokumentáció ellen nem emelek kifogást.</w:t>
      </w:r>
    </w:p>
    <w:p w:rsidR="00B07142" w:rsidRPr="00C877F3" w:rsidRDefault="00B07142" w:rsidP="00B07142">
      <w:pPr>
        <w:pStyle w:val="Style28"/>
        <w:widowControl/>
        <w:numPr>
          <w:ilvl w:val="0"/>
          <w:numId w:val="1"/>
        </w:numPr>
        <w:spacing w:before="58" w:line="240" w:lineRule="auto"/>
        <w:jc w:val="left"/>
        <w:rPr>
          <w:rStyle w:val="FontStyle104"/>
          <w:b w:val="0"/>
        </w:rPr>
      </w:pPr>
      <w:r w:rsidRPr="00C877F3">
        <w:rPr>
          <w:rStyle w:val="FontStyle104"/>
        </w:rPr>
        <w:t>Vízügyi- vízvédelmi követelmények:</w:t>
      </w:r>
    </w:p>
    <w:p w:rsidR="00B07142" w:rsidRPr="00C877F3" w:rsidRDefault="00B07142" w:rsidP="00B07142">
      <w:pPr>
        <w:pStyle w:val="Style27"/>
        <w:widowControl/>
        <w:ind w:left="709" w:right="62"/>
        <w:rPr>
          <w:rStyle w:val="FontStyle98"/>
        </w:rPr>
      </w:pPr>
      <w:r w:rsidRPr="00C877F3">
        <w:rPr>
          <w:rStyle w:val="FontStyle98"/>
        </w:rPr>
        <w:t>A településrendezési terv módosításával szemben vízvédelmi - vízgazdálkodási szempontból kifogást nem emelek.</w:t>
      </w:r>
    </w:p>
    <w:p w:rsidR="00B07142" w:rsidRPr="00C877F3" w:rsidRDefault="00B07142" w:rsidP="00B07142">
      <w:pPr>
        <w:pStyle w:val="Style28"/>
        <w:widowControl/>
        <w:spacing w:before="58" w:line="240" w:lineRule="auto"/>
        <w:jc w:val="left"/>
        <w:rPr>
          <w:rStyle w:val="FontStyle104"/>
        </w:rPr>
      </w:pPr>
    </w:p>
    <w:p w:rsidR="00B07142" w:rsidRPr="00C877F3" w:rsidRDefault="00B07142" w:rsidP="00B07142">
      <w:pPr>
        <w:pStyle w:val="Style28"/>
        <w:widowControl/>
        <w:spacing w:before="58" w:line="240" w:lineRule="auto"/>
        <w:rPr>
          <w:rStyle w:val="FontStyle104"/>
        </w:rPr>
      </w:pPr>
      <w:r w:rsidRPr="00C877F3">
        <w:rPr>
          <w:rStyle w:val="FontStyle104"/>
        </w:rPr>
        <w:t>Nyugat-dunántúli Vízügyi Igazgatóság</w:t>
      </w:r>
    </w:p>
    <w:p w:rsidR="00B07142" w:rsidRPr="00C877F3" w:rsidRDefault="00B07142" w:rsidP="00B07142">
      <w:pPr>
        <w:pStyle w:val="Style28"/>
        <w:widowControl/>
        <w:spacing w:before="58" w:line="240" w:lineRule="auto"/>
        <w:ind w:left="709"/>
        <w:rPr>
          <w:rStyle w:val="FontStyle104"/>
          <w:b w:val="0"/>
        </w:rPr>
      </w:pPr>
      <w:r w:rsidRPr="00C877F3">
        <w:rPr>
          <w:rStyle w:val="FontStyle104"/>
        </w:rPr>
        <w:t>A 0317-019/2016. ikt. számú levelének I. és II. pontjában leírt véleményét fenntartja: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„I. Településrendezési tervet és helyi építési szabályzatot érintő változásokra vonatkozó állásfoglalás: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</w:p>
    <w:p w:rsidR="00B07142" w:rsidRPr="00C877F3" w:rsidRDefault="00B07142" w:rsidP="00B07142">
      <w:pPr>
        <w:pStyle w:val="Style28"/>
        <w:spacing w:before="58" w:line="240" w:lineRule="auto"/>
        <w:ind w:left="708"/>
        <w:rPr>
          <w:bCs/>
          <w:color w:val="000000"/>
        </w:rPr>
      </w:pPr>
      <w:r w:rsidRPr="00C877F3">
        <w:rPr>
          <w:bCs/>
          <w:color w:val="000000"/>
        </w:rPr>
        <w:t>Vízgazdálkodási tárgyú jogszabályokra kell figyelemmel lenni, és betartani az azokban foglaltakat:</w:t>
      </w:r>
    </w:p>
    <w:p w:rsidR="00B07142" w:rsidRPr="00C877F3" w:rsidRDefault="00B07142" w:rsidP="00B07142">
      <w:pPr>
        <w:pStyle w:val="Style28"/>
        <w:widowControl/>
        <w:numPr>
          <w:ilvl w:val="0"/>
          <w:numId w:val="7"/>
        </w:numPr>
        <w:spacing w:before="58" w:line="240" w:lineRule="auto"/>
        <w:ind w:firstLine="709"/>
        <w:rPr>
          <w:bCs/>
          <w:color w:val="000000"/>
        </w:rPr>
      </w:pPr>
      <w:r w:rsidRPr="00C877F3">
        <w:rPr>
          <w:bCs/>
          <w:color w:val="000000"/>
        </w:rPr>
        <w:t>1995. évi LVII. törvény a vízgazdálkodásról,</w:t>
      </w:r>
    </w:p>
    <w:p w:rsidR="00B07142" w:rsidRPr="00C877F3" w:rsidRDefault="00B07142" w:rsidP="00B07142">
      <w:pPr>
        <w:pStyle w:val="Style28"/>
        <w:widowControl/>
        <w:numPr>
          <w:ilvl w:val="0"/>
          <w:numId w:val="7"/>
        </w:numPr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123/1997.(VII.18.) Kormányrendelet a vízbázisok, a távlati vízbázisok, valamint az ivóvízellátást szolgáló vízilétesítmények védelméről,</w:t>
      </w:r>
    </w:p>
    <w:p w:rsidR="00B07142" w:rsidRPr="00C877F3" w:rsidRDefault="00B07142" w:rsidP="00B07142">
      <w:pPr>
        <w:pStyle w:val="Style28"/>
        <w:widowControl/>
        <w:numPr>
          <w:ilvl w:val="0"/>
          <w:numId w:val="7"/>
        </w:numPr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83/2014.(111.14.) Kormányrendelet a nagyvízi meder, a parti sáv, a vízjárta és a fakadó vizek által veszélyeztetett területek használatáról, hasznosításáról, valamint a folyók esetében a nagyvízi mederkezelési terv készítésének rendjére és tartalmára vonatkozó szabályokról,</w:t>
      </w:r>
    </w:p>
    <w:p w:rsidR="00B07142" w:rsidRPr="00C877F3" w:rsidRDefault="00B07142" w:rsidP="00B07142">
      <w:pPr>
        <w:pStyle w:val="Style28"/>
        <w:widowControl/>
        <w:numPr>
          <w:ilvl w:val="0"/>
          <w:numId w:val="7"/>
        </w:numPr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30/2008.(XII.31.) KvVM rendelet a vizek hasznosítását, védelmét és kártételeinek elhárítását szolgáló tevékenységekre és létesítményekre vonatkozó műszaki szabályokról,</w:t>
      </w:r>
    </w:p>
    <w:p w:rsidR="00B07142" w:rsidRPr="00C877F3" w:rsidRDefault="00B07142" w:rsidP="00B07142">
      <w:pPr>
        <w:pStyle w:val="Style28"/>
        <w:widowControl/>
        <w:numPr>
          <w:ilvl w:val="0"/>
          <w:numId w:val="7"/>
        </w:numPr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147/2010.(IV.29.) Kormányrendelet a vizek hasznosítását, védelmét és kártételeinek elhárítását szolgáló tevékenységekre és létesítményekre vonatkozó általános szabályokról,</w:t>
      </w:r>
    </w:p>
    <w:p w:rsidR="00B07142" w:rsidRPr="00C877F3" w:rsidRDefault="00B07142" w:rsidP="00B07142">
      <w:pPr>
        <w:pStyle w:val="Style28"/>
        <w:widowControl/>
        <w:numPr>
          <w:ilvl w:val="0"/>
          <w:numId w:val="7"/>
        </w:numPr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A víziközmű-szolgáltatásról szóló 2011. évi CCIX. számú törvény alkalmazása szükséges.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Különálló vízgazdálkodási fejezetben kell foglalkozni az alábbiakkal:</w:t>
      </w:r>
    </w:p>
    <w:p w:rsidR="00B07142" w:rsidRPr="00C877F3" w:rsidRDefault="00B07142" w:rsidP="00B07142">
      <w:pPr>
        <w:pStyle w:val="Style28"/>
        <w:numPr>
          <w:ilvl w:val="0"/>
          <w:numId w:val="7"/>
        </w:numPr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Hidrológiai állapot (meteorológiai, domborzat) Felszíni és felszín alatti vizek</w:t>
      </w:r>
    </w:p>
    <w:p w:rsidR="00B07142" w:rsidRPr="00C877F3" w:rsidRDefault="00B07142" w:rsidP="00B07142">
      <w:pPr>
        <w:pStyle w:val="Style28"/>
        <w:numPr>
          <w:ilvl w:val="0"/>
          <w:numId w:val="7"/>
        </w:numPr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Vízkárelhárítás (vízrendezés, árvízvédelem, vízhasznosítás)</w:t>
      </w:r>
    </w:p>
    <w:p w:rsidR="00B07142" w:rsidRPr="00C877F3" w:rsidRDefault="00B07142" w:rsidP="00B07142">
      <w:pPr>
        <w:pStyle w:val="Style28"/>
        <w:numPr>
          <w:ilvl w:val="0"/>
          <w:numId w:val="7"/>
        </w:numPr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Víziközművek (vízellátás, szennyvíz-elvezetés és tisztítás, csapadékvíz elvezetés)</w:t>
      </w:r>
    </w:p>
    <w:p w:rsidR="00B07142" w:rsidRPr="00C877F3" w:rsidRDefault="00B07142" w:rsidP="00B07142">
      <w:pPr>
        <w:pStyle w:val="Style28"/>
        <w:numPr>
          <w:ilvl w:val="0"/>
          <w:numId w:val="7"/>
        </w:numPr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Egyéb vízgazdálkodási létesítmények</w:t>
      </w:r>
    </w:p>
    <w:p w:rsidR="00B07142" w:rsidRPr="00C877F3" w:rsidRDefault="00B07142" w:rsidP="00B07142">
      <w:pPr>
        <w:pStyle w:val="Style28"/>
        <w:widowControl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A csapadékvíz-elvezető rendszert úgy kell kiépíteni, hogy a vizek kártétel nélküli elvezetése biztosított legyen. A fejlesztési területek csapadékvíz-elvezető rendszerét a meglévőre csak abban az esetben lehet rákötni, ha a meglévő rendszer a megnövekedett vízmennyiséget kiöntésmentesen vezeti a közcélú befogadóba.</w:t>
      </w:r>
    </w:p>
    <w:p w:rsidR="00B07142" w:rsidRPr="00C877F3" w:rsidRDefault="00B07142" w:rsidP="00B07142">
      <w:pPr>
        <w:pStyle w:val="Style28"/>
        <w:widowControl/>
        <w:spacing w:before="58" w:line="240" w:lineRule="auto"/>
        <w:ind w:left="709"/>
        <w:rPr>
          <w:bCs/>
          <w:color w:val="000000"/>
        </w:rPr>
      </w:pPr>
    </w:p>
    <w:p w:rsidR="00B07142" w:rsidRPr="00C877F3" w:rsidRDefault="00B07142" w:rsidP="00B07142">
      <w:pPr>
        <w:pStyle w:val="Style28"/>
        <w:widowControl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lastRenderedPageBreak/>
        <w:t>A vízfolyások, víztározók területét azok parti sávjait, valamint a szennyvíztisztító telepek területét vízgazdálkodási (V) területként kell feltüntetni, a hatályos településrendezési terveken, valamint a változással érintett tervlapokon.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A Kupor árok, Bogáca ér, Sárd-ér, Pap árok, Gally árok, Potyondi árok, Gyöngyös műcsatorna, Sorok-Perint vízfolyás, Arany patak vonatkozásában a parti sáv szélessége a kizárólagos állami tulajdonú vízfolyások mentén a partvonaltól számított 6 méter, melynek jelölése minden esetben szükséges. Az érintett vízfolyások kezelője a Nyugat</w:t>
      </w:r>
      <w:r w:rsidRPr="00C877F3">
        <w:rPr>
          <w:bCs/>
          <w:color w:val="000000"/>
        </w:rPr>
        <w:softHyphen/>
        <w:t>dunántúli Vízügyi Igazgatóság. A vízfolyások parti sávjában történő beavatkozás során a vízgazdálkodási tárgyú jogszabály figyelembevétele szükséges.</w:t>
      </w:r>
    </w:p>
    <w:p w:rsidR="00B07142" w:rsidRPr="00C877F3" w:rsidRDefault="00B07142" w:rsidP="00B07142">
      <w:pPr>
        <w:pStyle w:val="Style28"/>
        <w:widowControl/>
        <w:spacing w:before="58" w:line="240" w:lineRule="auto"/>
        <w:rPr>
          <w:bCs/>
          <w:color w:val="000000"/>
        </w:rPr>
      </w:pPr>
    </w:p>
    <w:p w:rsidR="00B07142" w:rsidRPr="00C877F3" w:rsidRDefault="00B07142" w:rsidP="00B07142">
      <w:pPr>
        <w:pStyle w:val="Style28"/>
        <w:widowControl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Az Igazgatóság kéri beilleszteni Szombathely Megyei Jogú Város településrendezési tervébe 0995-005/2015. ikt. számú levelében leírt árvízi elöntési határok jelölését, a Dozmati tározót illetve az Új Perint programot.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II. Nyugat-dunántúli Vízügyi Igazgatóság a módosítással érintett területekre vonatkozó észrevételei:</w:t>
      </w:r>
    </w:p>
    <w:p w:rsidR="00B07142" w:rsidRPr="00C877F3" w:rsidRDefault="00B07142" w:rsidP="00B07142">
      <w:pPr>
        <w:pStyle w:val="Style28"/>
        <w:widowControl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Az előzőekben az I. pontban leírt vízgazdálkodási tárgyú jogszabályok betartása, különálló vízgazdálkodási fejezet írása, csapadékvíz-elvezetésre vonatkozó előírások figyelembe vétele.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A változással érintett településrendezési tervekre vonatkozóan a következő megállapításokat tesszük: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3. sz. módosítás esetében figyelembe kell venni, hogy az iparterület kialakítása miatt</w:t>
      </w:r>
      <w:r>
        <w:rPr>
          <w:bCs/>
          <w:color w:val="000000"/>
        </w:rPr>
        <w:t xml:space="preserve"> </w:t>
      </w:r>
      <w:r w:rsidRPr="00C877F3">
        <w:rPr>
          <w:bCs/>
          <w:color w:val="000000"/>
        </w:rPr>
        <w:t>megnövekedő burkolt felületek, beépített területek miatt megnő a csapadékvíz lefolyása.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8. sz. módosítás esetében figyelembe kell venni, hogy az iparterület kialakítása miatt</w:t>
      </w:r>
      <w:r>
        <w:rPr>
          <w:bCs/>
          <w:color w:val="000000"/>
        </w:rPr>
        <w:t xml:space="preserve"> </w:t>
      </w:r>
      <w:r w:rsidRPr="00C877F3">
        <w:rPr>
          <w:bCs/>
          <w:color w:val="000000"/>
        </w:rPr>
        <w:t>megnövekedő burkolt felületek, beépített területek miatt megnő a csapadékvíz lefolyása.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11. sz. módosítás esetében a Sorok-Perint vízfolyás elöntési határait különös tekintettel kérjük</w:t>
      </w:r>
      <w:r>
        <w:rPr>
          <w:bCs/>
          <w:color w:val="000000"/>
        </w:rPr>
        <w:t xml:space="preserve"> </w:t>
      </w:r>
      <w:r w:rsidRPr="00C877F3">
        <w:rPr>
          <w:bCs/>
          <w:color w:val="000000"/>
        </w:rPr>
        <w:t>figyelembe venni.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13. sz. módosítás: a z övezeti besorolás megváltoztatása a lefolyási viszonyok változásával is együtt járhat.</w:t>
      </w:r>
    </w:p>
    <w:p w:rsidR="00B07142" w:rsidRPr="00C877F3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>16. sz. módosításra a Gyöngyös műcsatorna tekintetében a parti sávra vonatkozó rendelkezések vonatkoznak.</w:t>
      </w:r>
    </w:p>
    <w:p w:rsidR="00B07142" w:rsidRPr="003B1384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C877F3">
        <w:rPr>
          <w:bCs/>
          <w:color w:val="000000"/>
        </w:rPr>
        <w:t xml:space="preserve">18. sz. módosításra a Gyöngyös műcsatorna tekintetében a parti sávra vonatkozó </w:t>
      </w:r>
      <w:r w:rsidRPr="003B1384">
        <w:rPr>
          <w:bCs/>
          <w:color w:val="000000"/>
        </w:rPr>
        <w:t>rendelkezések vonatkoznak.</w:t>
      </w:r>
    </w:p>
    <w:p w:rsidR="00B07142" w:rsidRPr="003B1384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3B1384">
        <w:rPr>
          <w:bCs/>
          <w:color w:val="000000"/>
        </w:rPr>
        <w:t>20. sz. módosításra a Gyöngyös műcsatorna tekintetében a parti sávra vonatkozó rendelkezések vonatkoznak.</w:t>
      </w:r>
    </w:p>
    <w:p w:rsidR="00B07142" w:rsidRPr="003B1384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3B1384">
        <w:rPr>
          <w:bCs/>
          <w:color w:val="000000"/>
        </w:rPr>
        <w:t>32. sz. módosítás: A telekalakítás során meg kell oldani a keletkező új telkek vízelvezetését is. 38. sz. módosítás: Az út vízelvezető rendszerét úgy kell kialakítani, hogy az megfeleljen a környező vízgyűjtő területről lefolyó vizek befogadóba vezetésére.</w:t>
      </w:r>
    </w:p>
    <w:p w:rsidR="00B07142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3B1384">
        <w:rPr>
          <w:bCs/>
          <w:color w:val="000000"/>
        </w:rPr>
        <w:t>56. sz. módosítás: A kialakított egyedi építési telek csapadékvíz elvezetését meg kell oldani.</w:t>
      </w:r>
    </w:p>
    <w:p w:rsidR="00B07142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</w:p>
    <w:p w:rsidR="00B07142" w:rsidRPr="003B1384" w:rsidRDefault="00B07142" w:rsidP="00B07142">
      <w:pPr>
        <w:pStyle w:val="Style28"/>
        <w:spacing w:before="58" w:line="240" w:lineRule="auto"/>
        <w:ind w:left="709"/>
        <w:rPr>
          <w:bCs/>
          <w:color w:val="000000"/>
        </w:rPr>
      </w:pPr>
      <w:r w:rsidRPr="003B1384">
        <w:rPr>
          <w:bCs/>
          <w:color w:val="000000"/>
        </w:rPr>
        <w:t xml:space="preserve">A rendezési terv tervezett módosításai ellen vízbázisvédelmi, valamint vízi közmű </w:t>
      </w:r>
      <w:r w:rsidRPr="003B1384">
        <w:rPr>
          <w:bCs/>
          <w:color w:val="000000"/>
        </w:rPr>
        <w:lastRenderedPageBreak/>
        <w:t>szempontból ellenvetésünk nincs, megjegyezzük, hogy azon a módosítások esetében, melyek érintenek felszín alatti vízbázis védőterületet (a 11., a 12., a 15., az 50. és az 58.) a 123/1997. (VII. 18.) Korm. rendelet vonatkozó előírásai az irányadók, egyéb észrevételt nem teszünk.</w:t>
      </w:r>
      <w:r>
        <w:rPr>
          <w:bCs/>
          <w:color w:val="000000"/>
        </w:rPr>
        <w:t>”</w:t>
      </w:r>
    </w:p>
    <w:p w:rsidR="00B07142" w:rsidRDefault="00B07142" w:rsidP="00B07142">
      <w:pPr>
        <w:pStyle w:val="Style28"/>
        <w:widowControl/>
        <w:spacing w:before="58" w:line="240" w:lineRule="auto"/>
        <w:rPr>
          <w:rStyle w:val="FontStyle104"/>
          <w:b w:val="0"/>
        </w:rPr>
      </w:pPr>
    </w:p>
    <w:p w:rsidR="00B07142" w:rsidRPr="007B511E" w:rsidRDefault="00B07142" w:rsidP="00B07142">
      <w:pPr>
        <w:jc w:val="both"/>
        <w:rPr>
          <w:rFonts w:ascii="Arial" w:hAnsi="Arial" w:cs="Arial"/>
          <w:b/>
        </w:rPr>
      </w:pPr>
      <w:r w:rsidRPr="007B511E">
        <w:rPr>
          <w:rFonts w:ascii="Arial" w:hAnsi="Arial" w:cs="Arial"/>
          <w:b/>
        </w:rPr>
        <w:t>Vas Megyei Kormányhivatal Építésügyi, Hatósági, Oktatási és Törvényességi Felügyeleti Főosztály</w:t>
      </w:r>
    </w:p>
    <w:p w:rsidR="00B07142" w:rsidRPr="007B511E" w:rsidRDefault="00B07142" w:rsidP="00B07142">
      <w:pPr>
        <w:spacing w:after="200" w:line="276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„</w:t>
      </w:r>
      <w:r w:rsidRPr="007B511E">
        <w:rPr>
          <w:rFonts w:ascii="Arial" w:eastAsia="Calibri" w:hAnsi="Arial" w:cs="Arial"/>
          <w:color w:val="000000"/>
        </w:rPr>
        <w:t>Az Akcióterv Mérnöki Iroda Kft. által „Szombathely MJV, Településrendezési eszközök módosítása” címen, 34+1 területet érintő, 2016. szeptember 9-én készített dokumentációval kapcsolatos 435-138/2016. számú megkeresésére, az épített környezet alakításáról és védelméről szóló 1997. évi LXXVIII. törvény 8. § (2) bekezdése, továbbá a településfejlesztési koncepcióról, az integrált településfejlesztési stratégiáról és a településrendezési eszközökről, valamint egyes településrendezési sajátos jogintézményekről szóló 314/2012. (XI. 8.) Korm. rendelet (továbbiakban: Korm. rendelet) 38.§ (4) és (5) bekezdései alapján az alábbi véleményt adom, illetve észrevételeket teszem:</w:t>
      </w:r>
    </w:p>
    <w:p w:rsidR="00B07142" w:rsidRPr="007B511E" w:rsidRDefault="00B07142" w:rsidP="00B07142">
      <w:pPr>
        <w:spacing w:after="200" w:line="276" w:lineRule="auto"/>
        <w:jc w:val="both"/>
        <w:rPr>
          <w:rFonts w:ascii="Arial" w:eastAsia="Calibri" w:hAnsi="Arial" w:cs="Arial"/>
          <w:color w:val="000000"/>
          <w:u w:val="single"/>
        </w:rPr>
      </w:pPr>
      <w:r w:rsidRPr="007B511E">
        <w:rPr>
          <w:rFonts w:ascii="Arial" w:eastAsia="Calibri" w:hAnsi="Arial" w:cs="Arial"/>
          <w:color w:val="000000"/>
          <w:u w:val="single"/>
        </w:rPr>
        <w:t>A „Véleményezési tervdokumentáció” és a „Munkafüzet” vonatkozásában: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3. pont szerinti módosítás során a „Munkafüzet” 12. oldalán, illetve „Véleményezési tervdokumentáció” 36. oldalán hivatkozott jogszabály téves. A helyes jogszabály a vasúti közlekedésről szóló 2005. évi CLXXXIII. tv.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4.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6.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 xml:space="preserve"> A 8. pont szerinti módosítás-tervezet több kérdést is felvet:</w:t>
      </w:r>
    </w:p>
    <w:p w:rsidR="00B07142" w:rsidRPr="007B511E" w:rsidRDefault="00B07142" w:rsidP="00B07142">
      <w:pPr>
        <w:numPr>
          <w:ilvl w:val="1"/>
          <w:numId w:val="3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helyszín ismerete alapján megállapítottam, hogy a módosítással érintett, megtartott Lk építési övezetű telkek vonatkozásában sem indokolt a lakó építési övezet megtartása, ezért ennek felülvizsgálatát szükségesnek tartom, annál is inkább, mert 7291/15 hrsz. alatti ingatlan 80-85 %-a jelenleg is a Gip építési övezetben fekszik.</w:t>
      </w:r>
    </w:p>
    <w:p w:rsidR="00B07142" w:rsidRPr="007B511E" w:rsidRDefault="00B07142" w:rsidP="00B07142">
      <w:pPr>
        <w:numPr>
          <w:ilvl w:val="1"/>
          <w:numId w:val="3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Amennyiben az Lk építési övezetet az önkormányzat mégis fenn kívánja tartani a módosítással érintett területen, aggályosnak tartom a beültetési kötelezettség tervezett elrendelését, tekintettel arra, hogy a módosítási javaslatot a 7291/6 hrsz. alatti ingatlannal rendelkezni jogosult kérelmére vizsgálta meg, illetve támogatja az önkormányzat, a beültetési kötelezettséget a megmaradó kisvárosi lakó építési övezet védelmére viszont a szomszédos 7291/15 hrsz. alatti, lakó építési övezet területén írja elő, mely ellentétes a településrendezési és építési követelményekről szóló 253/1997.(XII.20.) Korm. rendelet (továbbiakban: OTÉK) 38. § (7) bekezdésével.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11. pont szerinti módosítást támogatom, a beültetési kötelezettségre történő felhívásom mellett.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12. pont szerinti módosítást támogatom, a beültetési kötelezettségre történő felhívásom mellett.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lastRenderedPageBreak/>
        <w:t>A 13.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14. pont szerinti, Farkas Károly u. 1006 hrsz. alatti ingatlan módosításával kapcsolatban a dokumentáció két javaslatot tartalmaz:</w:t>
      </w:r>
    </w:p>
    <w:p w:rsidR="00B07142" w:rsidRPr="007B511E" w:rsidRDefault="00B07142" w:rsidP="00B07142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E változat szerint a jogalkotó nem javasolja az építési övezet megváltoztatását a közérdekre hivatkozva, miszerint a város és a városrész hosszú távú érdekeit az szolgálná leginkább, ha jelenlegi szabályozás kerülne megtartásra.</w:t>
      </w:r>
    </w:p>
    <w:p w:rsidR="00B07142" w:rsidRPr="007B511E" w:rsidRDefault="00B07142" w:rsidP="00B07142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E javaslat eleget tesz a tulajdonosi kérelemnek – a városrész adta igények és fejlesztési lehetőségekre hivatkozva – a lakóépületek kialakítását lehetővé tevő építési övezetbe (településközpont vegyes Vt) sorolja át a területet, továbbá negyedére csökkenti a minimális teleknagyságot, egyben növeli a maximális beépíthetőséget.</w:t>
      </w:r>
    </w:p>
    <w:p w:rsidR="00B07142" w:rsidRPr="007B511E" w:rsidRDefault="00B07142" w:rsidP="00B07142">
      <w:pPr>
        <w:spacing w:after="200" w:line="276" w:lineRule="auto"/>
        <w:ind w:left="720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Fentiekkel kapcsolatban szakmai álláspontom az, hogy az önkormányzat az épített környezet alakításáról és védelméről szóló 1997. évi LXXVIII. tv. (továbbiakban: Étv.) 7. § (1) bekezdésével összhangban, a közérdek érvényre juttatása miatt fogalmazta meg az „A” pont szerinti javaslatát. Ezt a hosszú távú elképzelést, illetve annak biztosítását támasztja alá, hogy az önkormányzatnak a területre vonatkozóan 2008. december 5-én elővásárlási joga lett bejegyezve az 1006 hrsz. alatti ingatlanra.</w:t>
      </w:r>
    </w:p>
    <w:p w:rsidR="00B07142" w:rsidRPr="007B511E" w:rsidRDefault="00B07142" w:rsidP="00B07142">
      <w:pPr>
        <w:spacing w:after="200" w:line="276" w:lineRule="auto"/>
        <w:ind w:left="720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Amennyiben az önkormányzat mégis a „B” módosítási javaslat mellett dönt, azt támogatja, szükségesnek látom az önkormányzat részéről átgondolni az esetlegesen megjelenő lakó rendeltetés mellett, a városrész, illetve a közvetlen környezetben lakók szabadidő és sport tevékenységének további biztosításának lehetőségeit. Megoldás lehet a két rendeltetés által igényelt terület markáns különválasztása: két külön építési övezetbe sorolása, a településközpont vegyes építési övezetbe sorolás helyett. Ennek előnye lenne, hogy a külön rendeltetéseknek megfelelően lehetne az építési övezet előírásait meghatározni, a rendeltetésekhez szükséges infrastruktúrát megtervezni.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15. pont szerinti módosítást támogatom, a beültetési kötelezettségre történő felhívásom mellett.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16.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17. pont vonatkozásában a „Munkafüzet” és a „Véleményezési tervdokumentáció” egymásnak ellentmondó adatokat tartalmaz:</w:t>
      </w:r>
    </w:p>
    <w:p w:rsidR="00B07142" w:rsidRPr="007B511E" w:rsidRDefault="00B07142" w:rsidP="00B07142">
      <w:pPr>
        <w:numPr>
          <w:ilvl w:val="1"/>
          <w:numId w:val="5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„Munkafüzet” szerint a 17. pont Gyöngyöshermán, lakóterületet védő erdősáv felülvizsgálatának kérelme, melyet a közgyűlés nem támogatott, agy nem képezi jelen egyeztetési eljárás részét.</w:t>
      </w:r>
    </w:p>
    <w:p w:rsidR="00B07142" w:rsidRPr="007B511E" w:rsidRDefault="00B07142" w:rsidP="00B07142">
      <w:pPr>
        <w:numPr>
          <w:ilvl w:val="1"/>
          <w:numId w:val="5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 xml:space="preserve">A „Véleményezési tervdokumentáció” szerint a 17. pont Az Lf1 jelű falusias lakóterület övezet szabályozási előírásainak generális módosítása (Márton Áron u.). Feltételezzük, hogy ez a pont csak tévedésből maradt a dokumentációban, mivel a rendelkezésünkre álló adatok szerint az Lf1 építési </w:t>
      </w:r>
      <w:r w:rsidRPr="007B511E">
        <w:rPr>
          <w:rFonts w:ascii="Arial" w:eastAsia="Calibri" w:hAnsi="Arial" w:cs="Arial"/>
        </w:rPr>
        <w:lastRenderedPageBreak/>
        <w:t>övezetet mind a helyi építési szabályzatból, mind a mellékletét képező szabályozási tervből 2016. május 29-i hatállyal az önkormányzat törölte, illetve jelen módosító normaszövegben nem találtunk utalást ezzel kapcsolatos törlésre.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18.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19.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20. pont szerinti herényi, Hóvirág utcai temető bővítésének kialakítása, a védőterület meghatározása során figyelembe kell venni az OTÉK 38. §-ban foglaltakat.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25.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26.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31. pont szerinti módosítást támogatom, a beültetési kötelezettségre történő felhívásom mellett.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32. pont szerinti módosítást támogatom, ugyanakkor meg szeretném jegyezni, hogy a változással érintett ingatlanok – a rendelkezésemre álló adatok szerint – a 7273/58 és 7273/59 hrsz. alatti ingatlanok, és nem az előkészítő iratban szereplő 7273/63 hrsz. alatti.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34.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35.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36.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38.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 xml:space="preserve">A 44. pont vonatkozásában álláspontunk az, hogy a módosítás </w:t>
      </w:r>
      <w:r w:rsidRPr="007B511E">
        <w:rPr>
          <w:rFonts w:ascii="Arial" w:eastAsia="Calibri" w:hAnsi="Arial" w:cs="Arial"/>
          <w:u w:val="single"/>
        </w:rPr>
        <w:t>szükségtelen, a telekalakítási eljárás szempontjából irreleváns</w:t>
      </w:r>
      <w:r w:rsidRPr="007B511E">
        <w:rPr>
          <w:rFonts w:ascii="Arial" w:eastAsia="Calibri" w:hAnsi="Arial" w:cs="Arial"/>
        </w:rPr>
        <w:t xml:space="preserve"> az alábbiak miatt:</w:t>
      </w:r>
    </w:p>
    <w:p w:rsidR="00B07142" w:rsidRPr="007B511E" w:rsidRDefault="00B07142" w:rsidP="00B07142">
      <w:pPr>
        <w:numPr>
          <w:ilvl w:val="1"/>
          <w:numId w:val="4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javasolt telekhatár, mint szabályozási elem betartása a telekalakítás során nem kötelező, ezért nem segíti elő az ingatlan-nyilvántartásban történő átvezetést.</w:t>
      </w:r>
    </w:p>
    <w:p w:rsidR="00B07142" w:rsidRPr="007B511E" w:rsidRDefault="00B07142" w:rsidP="00B07142">
      <w:pPr>
        <w:numPr>
          <w:ilvl w:val="1"/>
          <w:numId w:val="4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telekalakítás jele hatályos HÉSZ esetén – és a módosítás során is – csak akkor engedélyezhető, ha az övezetre vonatkozó mutatószámok a telekalakítást követően betarthatók. Az övezeti besorolás, illetve mutatószámai jelen módosítás során nem változnak.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 46.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 xml:space="preserve">A 48. pont szerinti módosítást támogatom, azonban felhívom a figyelmet egyrészt az Étv. 29. § (4) és (5) bekezdése alapján a beültetési kötelezettség módosítása vonatkozásában az egyedi önkormányzati döntés meghozatalának és az ingatlan-nyilvántartásba történő bejegyzés szükségességére, másrészt az OTÉK kerítés </w:t>
      </w:r>
      <w:r w:rsidRPr="007B511E">
        <w:rPr>
          <w:rFonts w:ascii="Arial" w:eastAsia="Calibri" w:hAnsi="Arial" w:cs="Arial"/>
          <w:color w:val="000000"/>
        </w:rPr>
        <w:lastRenderedPageBreak/>
        <w:t>építésével kapcsolatos, az építtet személyére vonatkozó előírásaira, illetve az esetlegesen abból fakadható problémákra, követelésekre.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Az 50.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Az 51.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Az 52.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Az 53.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Az 55. pont szerinti módosítást támogatom.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 xml:space="preserve">Az 56. pont szerinti módosítási javaslat ellentétes egyrészt magával a hatályos – és e tekintetben a módosítás során sem változó – helyi építési szabályzattal, hiszen olyan telek kialakítására tesz (nem kötelező) javaslatot, mely méretében nem felel meg a rá vonatkozó övezeti előírásoknak, másrészt az OTÉK 7. § (2) bekezdésével. Előzőek alapján a telekalakítási eljárás szempontjából „az egyedi telekalakítási javaslat” megléte vagy hiánya irreleváns. </w:t>
      </w:r>
      <w:r w:rsidRPr="007B511E">
        <w:rPr>
          <w:rFonts w:ascii="Arial" w:eastAsia="Calibri" w:hAnsi="Arial" w:cs="Arial"/>
          <w:u w:val="single"/>
        </w:rPr>
        <w:t>A módosítást nem támogatom</w:t>
      </w:r>
      <w:r w:rsidRPr="007B511E">
        <w:rPr>
          <w:rFonts w:ascii="Arial" w:eastAsia="Calibri" w:hAnsi="Arial" w:cs="Arial"/>
        </w:rPr>
        <w:t>.</w:t>
      </w:r>
    </w:p>
    <w:p w:rsidR="00B07142" w:rsidRPr="007B511E" w:rsidRDefault="00B07142" w:rsidP="00B07142">
      <w:pPr>
        <w:spacing w:after="200" w:line="276" w:lineRule="auto"/>
        <w:ind w:left="720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Esetleges megoldás lehet a terület építési övezeti megosztása.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Az 58. pont szerinti módosítás – álláspontom szerint – szükségtelen, a telekalakítás, illetve útlejegyzés szempontjából irreleváns. Az egyenként útként lejegyzett ingatlanok közúthoz való csatolásának, tehát az út tényleges szélesítésének megvalósítása, az azt távlati célként meghatározó feladata. A megvalósításra most is rendelkezésére állnak az jogszabályokban meghatározott eszközök (pl. adásvétel, út céljára szolgáló lejegyzés az Étv. 27. §-a alapján).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Az 59. pontban megfogalmazottakkal kapcsolatban továbbra is fenntartjuk, hogy páratlan számú lakóegység kialakításánál az előírás nem egyértelmű, pontosítása szükséges. Előzőek alapján a tervezett rendelkezés ellentétes a jogalkotásról szóló 2010. évi CXXX. tv. (továbbiakban: Jat.) 2. § (1) bekezdésével, miszerint a jogszabálynak a címzett számára egyértelműen értelmezhető jogszabályi tartalommal kell rendelkeznie.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60. pont szerinti kialakítható további rendeltetési egységek számának csökkentésével egyetértek, azonban számunkra és a címzett számára is nehezen beazonosítható, hogy mit ért a jogalkotó a kivételként megnevezett „korábban gazdasági területként hasznosított területen”? Gazdasági építési övezetet vagy egyéb építési övezetben gazdasági célra felhasznált területet? Az egyértelmű szabályozás céljából javasoljuk a további kialakítandó rendeltetési egységek számának csökkentésével nem érintett építési övezetek eltérő jelölését. A tervezett rendelkezés jelen állapotában ellentétes a Jat. 2. § (1) bekezdésével.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 xml:space="preserve">A 61. pont vonatkozásában fenntartjuk jogszabályon alapuló véleményünket, miszerint </w:t>
      </w:r>
      <w:r w:rsidRPr="007B511E">
        <w:rPr>
          <w:rFonts w:ascii="Arial" w:eastAsia="Calibri" w:hAnsi="Arial" w:cs="Arial"/>
          <w:color w:val="000000"/>
        </w:rPr>
        <w:t xml:space="preserve">az építési övezethatárt és az övezethatár rendelet, azaz jogszabály határozza meg. A telekhatár módosítására közigazgatási eljárás keretében kerülhet sor, mely eljárás során figyelembe kell venni – többek között – az építésügyi jogszabályokban meghatározott előírásokat, ezen belül a HÉSZ-ben rögzítetteket, </w:t>
      </w:r>
      <w:r w:rsidRPr="007B511E">
        <w:rPr>
          <w:rFonts w:ascii="Arial" w:eastAsia="Calibri" w:hAnsi="Arial" w:cs="Arial"/>
          <w:color w:val="000000"/>
        </w:rPr>
        <w:lastRenderedPageBreak/>
        <w:t>valamint az OTÉK 7. § (2) bekezdésében foglaltakat is. Közigazgatási eljárás során hozott döntés nem módosíthat jogszabályt!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  <w:color w:val="000000"/>
        </w:rPr>
        <w:t>Az újonnan meghatározott beültetési kötelezettségeket (8., 11., 12., 15., 20., 31., 48. pont) az Étv. 29. § (4) és (5) bekezdései szerint önkormányzati egyedi döntéssel kell elrendelni (mely ellen önálló jogorvoslatnak van helye) és gondoskodni kell az ingatlan nyilvántartásba történő bejegyzésükről.</w:t>
      </w:r>
    </w:p>
    <w:p w:rsidR="00B07142" w:rsidRPr="007B511E" w:rsidRDefault="00B07142" w:rsidP="00B07142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  <w:r w:rsidRPr="007B511E">
        <w:rPr>
          <w:rFonts w:ascii="Arial" w:eastAsia="Calibri" w:hAnsi="Arial" w:cs="Arial"/>
          <w:u w:val="single"/>
        </w:rPr>
        <w:t>A tervezett normaszöveg (továbbiakban: R.) vonatkozásában: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R. 1. §-a által beiktatandó (6) bekezdés ellentétes a magasabb szintű jogszabályokkal (jelen vélemény 35. pontja). A jogszabályhelyet törölni kell.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R. 2. §-a által beiktatandó (20) bekezdés nem szabályoz egyértelműen, ezért ellentétes a Jat. 2. § (1) bekezdésével (jelen vélemény 34. pontja). A szabályozást újra kell gondolni.</w:t>
      </w: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R. 4. §-a álal beiktatandó (2) bekezdés kivételt megfogalmazó mondatrésze nem egyértelmű, ezért ellentétes a Jat. 2. § (1) bekezdésével. A szabályozást újra kell gondolni.</w:t>
      </w:r>
    </w:p>
    <w:p w:rsidR="00B07142" w:rsidRPr="007B511E" w:rsidRDefault="00B07142" w:rsidP="00B07142">
      <w:pPr>
        <w:spacing w:after="200" w:line="276" w:lineRule="auto"/>
        <w:jc w:val="both"/>
        <w:rPr>
          <w:rFonts w:ascii="Arial" w:eastAsia="Calibri" w:hAnsi="Arial" w:cs="Arial"/>
          <w:u w:val="single"/>
        </w:rPr>
      </w:pPr>
      <w:r w:rsidRPr="007B511E">
        <w:rPr>
          <w:rFonts w:ascii="Arial" w:eastAsia="Calibri" w:hAnsi="Arial" w:cs="Arial"/>
          <w:u w:val="single"/>
        </w:rPr>
        <w:t>Felhívom továbbá szíves figyelmét az alábbiakra:</w:t>
      </w:r>
    </w:p>
    <w:p w:rsidR="00B07142" w:rsidRPr="007B511E" w:rsidRDefault="00B07142" w:rsidP="00B07142">
      <w:pPr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helyi építési szabályzatról szóló – módosító - önkormányzati rendelet megalkotása során vegyék figyelembe a jogszabályszerkesztésről szóló 61/2009. (XII. 14.) IRM rendeletben (a továbbiakban: R.) foglalt rendelkezéseket a kiegészítő módosító rendelkezések (R. 108. § - rendelet tervezet 1.§, 2.§), illetve a szerkezeti egységet újraszabályozó módosító rendelkezések (R. 107. § - rendelet tervezet 3.§, 4.§) alkalmazása vonatkozásában.</w:t>
      </w:r>
    </w:p>
    <w:p w:rsidR="00B07142" w:rsidRPr="007B511E" w:rsidRDefault="00B07142" w:rsidP="00B07142">
      <w:pPr>
        <w:spacing w:line="360" w:lineRule="auto"/>
        <w:jc w:val="both"/>
        <w:rPr>
          <w:rFonts w:ascii="Arial" w:eastAsia="Calibri" w:hAnsi="Arial" w:cs="Arial"/>
        </w:rPr>
      </w:pPr>
    </w:p>
    <w:p w:rsidR="00B07142" w:rsidRPr="007B511E" w:rsidRDefault="00B07142" w:rsidP="00B07142">
      <w:pPr>
        <w:numPr>
          <w:ilvl w:val="0"/>
          <w:numId w:val="2"/>
        </w:numPr>
        <w:spacing w:after="200" w:line="276" w:lineRule="auto"/>
        <w:jc w:val="both"/>
        <w:rPr>
          <w:rFonts w:ascii="Arial" w:eastAsia="Calibri" w:hAnsi="Arial" w:cs="Arial"/>
        </w:rPr>
      </w:pPr>
      <w:r w:rsidRPr="007B511E">
        <w:rPr>
          <w:rFonts w:ascii="Arial" w:eastAsia="Calibri" w:hAnsi="Arial" w:cs="Arial"/>
        </w:rPr>
        <w:t>A rendelet hatályba lépésének időpontját a 314/2012. (XI. 8.) Korm. rendelet 43. § (1) bekezdésében foglaltak figyelembe vételével kell meghatározni (rendelet tervezet 6.§).</w:t>
      </w:r>
    </w:p>
    <w:p w:rsidR="00B07142" w:rsidRPr="007B511E" w:rsidRDefault="00B07142" w:rsidP="00B07142">
      <w:p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7B511E">
        <w:rPr>
          <w:rFonts w:ascii="Arial" w:eastAsia="Calibri" w:hAnsi="Arial" w:cs="Arial"/>
          <w:color w:val="000000"/>
        </w:rPr>
        <w:t>Az egyeztetési eljárás további fázisaiban részt kívánok venni.</w:t>
      </w:r>
    </w:p>
    <w:p w:rsidR="00B07142" w:rsidRPr="007B511E" w:rsidRDefault="00B07142" w:rsidP="00B07142">
      <w:p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7B511E">
        <w:rPr>
          <w:rFonts w:ascii="Arial" w:eastAsia="Calibri" w:hAnsi="Arial" w:cs="Arial"/>
          <w:color w:val="000000"/>
        </w:rPr>
        <w:t>Felhívom a Tisztelt Polgármester Úr szíves figyelmét, hogy a tervmódosítással kapcsolatos további teendőkről a 314/2012. (XI. 8.) Korm. rendelet 39. §-a az alábbiak szerint rendelkezik:</w:t>
      </w:r>
    </w:p>
    <w:p w:rsidR="00B07142" w:rsidRPr="007B511E" w:rsidRDefault="00B07142" w:rsidP="00B07142">
      <w:pPr>
        <w:spacing w:after="200" w:line="276" w:lineRule="auto"/>
        <w:ind w:left="709"/>
        <w:jc w:val="both"/>
        <w:rPr>
          <w:rFonts w:ascii="Arial" w:eastAsia="Calibri" w:hAnsi="Arial" w:cs="Arial"/>
          <w:i/>
          <w:iCs/>
          <w:color w:val="000000"/>
        </w:rPr>
      </w:pPr>
      <w:r w:rsidRPr="007B511E">
        <w:rPr>
          <w:rFonts w:ascii="Arial" w:eastAsia="Calibri" w:hAnsi="Arial" w:cs="Arial"/>
          <w:i/>
          <w:iCs/>
          <w:color w:val="000000"/>
        </w:rPr>
        <w:t>„(1) Véleményeltérés esetén a polgármester egyeztetést kezdeményezhet, amelyről jegyzőkönyvet kell készíteni.</w:t>
      </w:r>
    </w:p>
    <w:p w:rsidR="00B07142" w:rsidRPr="007B511E" w:rsidRDefault="00B07142" w:rsidP="00B07142">
      <w:pPr>
        <w:spacing w:after="200" w:line="276" w:lineRule="auto"/>
        <w:ind w:left="709"/>
        <w:jc w:val="both"/>
        <w:rPr>
          <w:rFonts w:ascii="Arial" w:eastAsia="Calibri" w:hAnsi="Arial" w:cs="Arial"/>
          <w:i/>
          <w:iCs/>
          <w:color w:val="000000"/>
        </w:rPr>
      </w:pPr>
      <w:r w:rsidRPr="007B511E">
        <w:rPr>
          <w:rFonts w:ascii="Arial" w:eastAsia="Calibri" w:hAnsi="Arial" w:cs="Arial"/>
          <w:i/>
          <w:iCs/>
          <w:color w:val="000000"/>
        </w:rPr>
        <w:t>(2) A véleményezést követően a beérkezett véleményeket – egyeztetés esetén a jegyzőkönyvet is – ismertetni kell a képviselő-testülettel, amelyek elfogadásáról vagy el nem fogadásáról a képviselő-testület dönt. A vélemény, észrevétel el nem fogadása esetén a döntést indokolnia kell.</w:t>
      </w:r>
    </w:p>
    <w:p w:rsidR="00B07142" w:rsidRPr="007B511E" w:rsidRDefault="00B07142" w:rsidP="00B07142">
      <w:pPr>
        <w:spacing w:after="200" w:line="276" w:lineRule="auto"/>
        <w:ind w:left="709"/>
        <w:jc w:val="both"/>
        <w:rPr>
          <w:rFonts w:ascii="Arial" w:eastAsia="Calibri" w:hAnsi="Arial" w:cs="Arial"/>
          <w:i/>
          <w:iCs/>
          <w:color w:val="000000"/>
        </w:rPr>
      </w:pPr>
      <w:r w:rsidRPr="007B511E">
        <w:rPr>
          <w:rFonts w:ascii="Arial" w:eastAsia="Calibri" w:hAnsi="Arial" w:cs="Arial"/>
          <w:i/>
          <w:iCs/>
          <w:color w:val="000000"/>
        </w:rPr>
        <w:lastRenderedPageBreak/>
        <w:t>(3) A véleményezési szakasz lezárul a (2) bekezdés szerinti döntés dokumentálásával és közzétételével.”</w:t>
      </w:r>
    </w:p>
    <w:p w:rsidR="00B07142" w:rsidRPr="007B511E" w:rsidRDefault="00B07142" w:rsidP="00B07142">
      <w:p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7B511E">
        <w:rPr>
          <w:rFonts w:ascii="Arial" w:eastAsia="Calibri" w:hAnsi="Arial" w:cs="Arial"/>
          <w:color w:val="000000"/>
        </w:rPr>
        <w:t xml:space="preserve">Kérem, hogy 314/2012. (XI. 8.) Korm. rendelet 40.§-a szerinti (végső szakmai) véleményezésre benyújtandó dokumentációt a Korm. rendelet 38-41. §-a alapján beérkezett </w:t>
      </w:r>
      <w:r w:rsidRPr="007B511E">
        <w:rPr>
          <w:rFonts w:ascii="Arial" w:eastAsia="Calibri" w:hAnsi="Arial" w:cs="Arial"/>
          <w:color w:val="000000"/>
          <w:u w:val="single"/>
        </w:rPr>
        <w:t>véleményekkel, előzményiratokkal együtt, papír alapon és elektronikusan is</w:t>
      </w:r>
      <w:r w:rsidRPr="007B511E">
        <w:rPr>
          <w:rFonts w:ascii="Arial" w:eastAsia="Calibri" w:hAnsi="Arial" w:cs="Arial"/>
          <w:color w:val="000000"/>
        </w:rPr>
        <w:t xml:space="preserve"> szíveskedjék megküldeni.</w:t>
      </w:r>
      <w:r>
        <w:rPr>
          <w:rFonts w:ascii="Arial" w:eastAsia="Calibri" w:hAnsi="Arial" w:cs="Arial"/>
          <w:color w:val="000000"/>
        </w:rPr>
        <w:t>”</w:t>
      </w:r>
      <w:r w:rsidRPr="007B511E">
        <w:rPr>
          <w:rFonts w:ascii="Arial" w:eastAsia="Calibri" w:hAnsi="Arial" w:cs="Arial"/>
          <w:color w:val="000000"/>
        </w:rPr>
        <w:t xml:space="preserve"> </w:t>
      </w:r>
    </w:p>
    <w:p w:rsidR="00B07142" w:rsidRPr="007B511E" w:rsidRDefault="00B07142" w:rsidP="00B07142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  <w:r w:rsidRPr="007B511E">
        <w:rPr>
          <w:rFonts w:ascii="Arial" w:eastAsia="Calibri" w:hAnsi="Arial" w:cs="Arial"/>
          <w:b/>
          <w:bCs/>
        </w:rPr>
        <w:t>Közlekedésfejlesztési Koordinációs Központ</w:t>
      </w:r>
    </w:p>
    <w:p w:rsidR="00B07142" w:rsidRPr="007B511E" w:rsidRDefault="00B07142" w:rsidP="00B071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</w:rPr>
      </w:pPr>
      <w:r w:rsidRPr="007B511E">
        <w:rPr>
          <w:rFonts w:ascii="Arial" w:eastAsia="Calibri" w:hAnsi="Arial" w:cs="Arial"/>
          <w:bCs/>
        </w:rPr>
        <w:t>A várost érinti a 86. sz. főút Szombathely és Egyházasrádóc közötti szakaszának 2x2 sávos úttá történő fejlesztésének előkészítése. Kéri, hogy további információkért vegyük fel a kapcsolatot a NIF Zrt.-vel.</w:t>
      </w:r>
    </w:p>
    <w:p w:rsidR="00B07142" w:rsidRPr="00E96030" w:rsidRDefault="00B07142" w:rsidP="00B07142">
      <w:pPr>
        <w:pStyle w:val="Style28"/>
        <w:widowControl/>
        <w:spacing w:before="58" w:line="240" w:lineRule="auto"/>
        <w:rPr>
          <w:rStyle w:val="FontStyle104"/>
          <w:b w:val="0"/>
        </w:rPr>
      </w:pP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Default="00B07142" w:rsidP="00B07142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B07142" w:rsidRDefault="00B07142" w:rsidP="00B07142"/>
    <w:p w:rsidR="00E40D62" w:rsidRDefault="00B07142"/>
    <w:sectPr w:rsidR="00E40D62" w:rsidSect="00E82F69">
      <w:footerReference w:type="default" r:id="rId5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1" w:rsidRPr="0034130E" w:rsidRDefault="00B0714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8403DB2" wp14:editId="738B89A9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11C7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</w:instrText>
    </w:r>
    <w:r>
      <w:rPr>
        <w:rFonts w:ascii="Arial" w:hAnsi="Arial" w:cs="Arial"/>
        <w:sz w:val="20"/>
        <w:szCs w:val="20"/>
      </w:rPr>
      <w:instrText xml:space="preserve">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B07142">
      <w:rPr>
        <w:rFonts w:ascii="Arial" w:hAnsi="Arial" w:cs="Arial"/>
        <w:noProof/>
        <w:sz w:val="20"/>
        <w:szCs w:val="20"/>
      </w:rPr>
      <w:t>9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16D22C"/>
    <w:lvl w:ilvl="0">
      <w:numFmt w:val="bullet"/>
      <w:lvlText w:val="*"/>
      <w:lvlJc w:val="left"/>
    </w:lvl>
  </w:abstractNum>
  <w:abstractNum w:abstractNumId="1" w15:restartNumberingAfterBreak="0">
    <w:nsid w:val="0AFC1F0E"/>
    <w:multiLevelType w:val="hybridMultilevel"/>
    <w:tmpl w:val="426EEF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44A47"/>
    <w:multiLevelType w:val="hybridMultilevel"/>
    <w:tmpl w:val="B374F7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93631"/>
    <w:multiLevelType w:val="hybridMultilevel"/>
    <w:tmpl w:val="84C26C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521B3"/>
    <w:multiLevelType w:val="hybridMultilevel"/>
    <w:tmpl w:val="030066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443C6"/>
    <w:multiLevelType w:val="hybridMultilevel"/>
    <w:tmpl w:val="8DA45A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96034"/>
    <w:multiLevelType w:val="hybridMultilevel"/>
    <w:tmpl w:val="532655F6"/>
    <w:lvl w:ilvl="0" w:tplc="8966B07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42"/>
    <w:rsid w:val="00A749A9"/>
    <w:rsid w:val="00B07142"/>
    <w:rsid w:val="00E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9A873-C802-4E43-9922-86B1C90C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B0714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B071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071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71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07142"/>
    <w:pPr>
      <w:spacing w:before="100" w:beforeAutospacing="1" w:after="100" w:afterAutospacing="1"/>
    </w:pPr>
  </w:style>
  <w:style w:type="paragraph" w:customStyle="1" w:styleId="Style27">
    <w:name w:val="Style27"/>
    <w:basedOn w:val="Norml"/>
    <w:uiPriority w:val="99"/>
    <w:rsid w:val="00B07142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</w:rPr>
  </w:style>
  <w:style w:type="paragraph" w:customStyle="1" w:styleId="Style28">
    <w:name w:val="Style28"/>
    <w:basedOn w:val="Norml"/>
    <w:uiPriority w:val="99"/>
    <w:rsid w:val="00B07142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98">
    <w:name w:val="Font Style98"/>
    <w:uiPriority w:val="99"/>
    <w:rsid w:val="00B0714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4">
    <w:name w:val="Font Style104"/>
    <w:uiPriority w:val="99"/>
    <w:rsid w:val="00B0714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2636</Words>
  <Characters>18195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1</cp:revision>
  <dcterms:created xsi:type="dcterms:W3CDTF">2016-10-20T12:36:00Z</dcterms:created>
  <dcterms:modified xsi:type="dcterms:W3CDTF">2016-10-20T12:37:00Z</dcterms:modified>
</cp:coreProperties>
</file>