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BC" w:rsidRPr="00A77B70" w:rsidRDefault="00A77B70" w:rsidP="00A77B70">
      <w:pPr>
        <w:jc w:val="center"/>
        <w:rPr>
          <w:b/>
          <w:sz w:val="24"/>
          <w:szCs w:val="24"/>
        </w:rPr>
      </w:pPr>
      <w:r w:rsidRPr="00A77B70">
        <w:rPr>
          <w:b/>
          <w:sz w:val="24"/>
          <w:szCs w:val="24"/>
        </w:rPr>
        <w:t>Műszaki melléklet</w:t>
      </w:r>
    </w:p>
    <w:p w:rsidR="00A77B70" w:rsidRPr="00A77B70" w:rsidRDefault="00A77B70" w:rsidP="00A77B70">
      <w:pPr>
        <w:jc w:val="center"/>
        <w:rPr>
          <w:rFonts w:cs="Arial"/>
          <w:b/>
          <w:bCs/>
          <w:sz w:val="24"/>
          <w:szCs w:val="24"/>
        </w:rPr>
      </w:pPr>
      <w:r w:rsidRPr="00A77B70">
        <w:rPr>
          <w:rFonts w:cs="Arial"/>
          <w:b/>
          <w:bCs/>
          <w:sz w:val="24"/>
          <w:szCs w:val="24"/>
        </w:rPr>
        <w:t>a</w:t>
      </w:r>
    </w:p>
    <w:p w:rsidR="00A77B70" w:rsidRPr="00A77B70" w:rsidRDefault="003B2994" w:rsidP="00A77B70">
      <w:pPr>
        <w:jc w:val="center"/>
        <w:rPr>
          <w:rFonts w:cs="Arial"/>
          <w:b/>
          <w:color w:val="000000"/>
          <w:sz w:val="24"/>
          <w:szCs w:val="24"/>
        </w:rPr>
      </w:pPr>
      <w:r w:rsidRPr="003B2994">
        <w:rPr>
          <w:rFonts w:cs="Arial"/>
          <w:b/>
          <w:color w:val="000000"/>
          <w:sz w:val="24"/>
          <w:szCs w:val="24"/>
        </w:rPr>
        <w:t>„Javaslat a TOP-6.5.2-15 „Önkormányzatok által vezérelt, a helyi adottságokhoz illeszkedő, megújuló energiaforrások kiaknázására irányuló energiaellátás megvalósítása, komplex fejlesztési programok keretében” című pályázati felhívással kapcsolatos döntések meghozatalára”</w:t>
      </w:r>
    </w:p>
    <w:p w:rsidR="00A77B70" w:rsidRPr="00A77B70" w:rsidRDefault="00A77B70" w:rsidP="00A77B70">
      <w:pPr>
        <w:jc w:val="center"/>
        <w:rPr>
          <w:rFonts w:cs="Arial"/>
          <w:b/>
          <w:color w:val="000000"/>
          <w:sz w:val="24"/>
          <w:szCs w:val="24"/>
        </w:rPr>
      </w:pPr>
      <w:proofErr w:type="gramStart"/>
      <w:r w:rsidRPr="00A77B70">
        <w:rPr>
          <w:rFonts w:cs="Arial"/>
          <w:b/>
          <w:color w:val="000000"/>
          <w:sz w:val="24"/>
          <w:szCs w:val="24"/>
        </w:rPr>
        <w:t>című</w:t>
      </w:r>
      <w:proofErr w:type="gramEnd"/>
      <w:r w:rsidRPr="00A77B70">
        <w:rPr>
          <w:rFonts w:cs="Arial"/>
          <w:b/>
          <w:color w:val="000000"/>
          <w:sz w:val="24"/>
          <w:szCs w:val="24"/>
        </w:rPr>
        <w:t xml:space="preserve"> előterjesztéshez</w:t>
      </w:r>
    </w:p>
    <w:p w:rsidR="00A77B70" w:rsidRPr="00A77B70" w:rsidRDefault="00A77B70" w:rsidP="00A77B70">
      <w:pPr>
        <w:jc w:val="center"/>
        <w:rPr>
          <w:rFonts w:cs="Arial"/>
          <w:b/>
          <w:color w:val="000000"/>
          <w:sz w:val="24"/>
          <w:szCs w:val="24"/>
        </w:rPr>
      </w:pPr>
    </w:p>
    <w:p w:rsidR="00A77B70" w:rsidRPr="00A77B70" w:rsidRDefault="00A77B70" w:rsidP="00A77B70">
      <w:pPr>
        <w:rPr>
          <w:rFonts w:cs="Arial"/>
          <w:color w:val="000000"/>
          <w:sz w:val="24"/>
          <w:szCs w:val="24"/>
        </w:rPr>
      </w:pPr>
      <w:r w:rsidRPr="00A77B70">
        <w:rPr>
          <w:rFonts w:cs="Arial"/>
          <w:color w:val="000000"/>
          <w:sz w:val="24"/>
          <w:szCs w:val="24"/>
        </w:rPr>
        <w:t>A kiírás szerint szóba jöhető megújuló energetikai hasznosítási lehetőségek közül Szombathelyen az alábbiak megvalósítására van műszaki-, gazdasági és társadalmi szempontokból megvalósítható lehetőség:</w:t>
      </w:r>
    </w:p>
    <w:p w:rsidR="00A77B70" w:rsidRPr="00A77B70" w:rsidRDefault="00A77B70" w:rsidP="00A77B70">
      <w:pPr>
        <w:pStyle w:val="Listaszerbekezds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 w:rsidRPr="00A77B70">
        <w:rPr>
          <w:rFonts w:cs="Arial"/>
          <w:color w:val="000000"/>
          <w:sz w:val="24"/>
          <w:szCs w:val="24"/>
        </w:rPr>
        <w:t xml:space="preserve">biomassza hőtermelési célú hasznosítása, továbbá az ennek során megtermelt hő eljuttatását és a kiadott hő mennyisége mérését biztosító berendezések létesítése, illetve </w:t>
      </w:r>
    </w:p>
    <w:p w:rsidR="00A77B70" w:rsidRPr="00A77B70" w:rsidRDefault="00A77B70" w:rsidP="00A77B70">
      <w:pPr>
        <w:pStyle w:val="Listaszerbekezds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 w:rsidRPr="00A77B70">
        <w:rPr>
          <w:rFonts w:cs="Arial"/>
          <w:color w:val="000000"/>
          <w:sz w:val="24"/>
          <w:szCs w:val="24"/>
        </w:rPr>
        <w:t>a napenergiára alapuló kiserőmű létesítésének és a megtermelt villamos energia eljuttatását, mérését biztosító berendezések létesítése.</w:t>
      </w:r>
    </w:p>
    <w:p w:rsidR="002434BB" w:rsidRDefault="002434BB">
      <w:pPr>
        <w:rPr>
          <w:sz w:val="24"/>
          <w:szCs w:val="24"/>
        </w:rPr>
      </w:pPr>
      <w:r>
        <w:rPr>
          <w:sz w:val="24"/>
          <w:szCs w:val="24"/>
        </w:rPr>
        <w:t xml:space="preserve">A kiírás célja, hogy a megyei jogú város és intézményei, valamint 100 %-ban saját tulajdonú cégei energiaigényét ellátó megújuló energiatermelési kapacitások épüljenek ki. A kapacitások kiépítésétől elvárt eredmény, hogy általuk a lehető legnagyobb mértékben kerüljenek kiváltásra az eddigi fosszilis energiahordozók, ezáltal jelentős CO2 kibocsátás-csökkenés legyen elérhető. </w:t>
      </w:r>
    </w:p>
    <w:p w:rsidR="002434BB" w:rsidRDefault="00101F47">
      <w:pPr>
        <w:rPr>
          <w:sz w:val="24"/>
          <w:szCs w:val="24"/>
        </w:rPr>
      </w:pPr>
      <w:r>
        <w:rPr>
          <w:sz w:val="24"/>
          <w:szCs w:val="24"/>
        </w:rPr>
        <w:t xml:space="preserve">A fejlesztési tartalom kidolgozásakor korlátot jelent, hogy </w:t>
      </w:r>
      <w:r w:rsidR="002434BB">
        <w:rPr>
          <w:sz w:val="24"/>
          <w:szCs w:val="24"/>
        </w:rPr>
        <w:t xml:space="preserve">az EU elvárásai szerint </w:t>
      </w:r>
      <w:r>
        <w:rPr>
          <w:sz w:val="24"/>
          <w:szCs w:val="24"/>
        </w:rPr>
        <w:t xml:space="preserve">azonos célt két kiírásból </w:t>
      </w:r>
      <w:r w:rsidR="002434BB">
        <w:rPr>
          <w:sz w:val="24"/>
          <w:szCs w:val="24"/>
        </w:rPr>
        <w:t>nem lehet finanszírozni</w:t>
      </w:r>
      <w:r>
        <w:rPr>
          <w:sz w:val="24"/>
          <w:szCs w:val="24"/>
        </w:rPr>
        <w:t xml:space="preserve">. Ez alapján a gyakorlatban </w:t>
      </w:r>
      <w:r w:rsidR="002434BB">
        <w:rPr>
          <w:sz w:val="24"/>
          <w:szCs w:val="24"/>
        </w:rPr>
        <w:t>a jelen kiíráson a TOP-6.5.1-15-ös, épületenergetikai kiírástól eltérően</w:t>
      </w:r>
      <w:r>
        <w:rPr>
          <w:sz w:val="24"/>
          <w:szCs w:val="24"/>
        </w:rPr>
        <w:t xml:space="preserve"> csak</w:t>
      </w:r>
      <w:r w:rsidR="002434BB">
        <w:rPr>
          <w:sz w:val="24"/>
          <w:szCs w:val="24"/>
        </w:rPr>
        <w:t xml:space="preserve"> az 50 </w:t>
      </w:r>
      <w:proofErr w:type="spellStart"/>
      <w:r w:rsidR="002434BB">
        <w:rPr>
          <w:sz w:val="24"/>
          <w:szCs w:val="24"/>
        </w:rPr>
        <w:t>kVA</w:t>
      </w:r>
      <w:proofErr w:type="spellEnd"/>
      <w:r w:rsidR="002434BB">
        <w:rPr>
          <w:sz w:val="24"/>
          <w:szCs w:val="24"/>
        </w:rPr>
        <w:t xml:space="preserve"> feletti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kiserőművi</w:t>
      </w:r>
      <w:proofErr w:type="spellEnd"/>
      <w:r w:rsidR="002434BB">
        <w:rPr>
          <w:sz w:val="24"/>
          <w:szCs w:val="24"/>
        </w:rPr>
        <w:t xml:space="preserve"> napenergia termelési kapacitások</w:t>
      </w:r>
      <w:r>
        <w:rPr>
          <w:sz w:val="24"/>
          <w:szCs w:val="24"/>
        </w:rPr>
        <w:t xml:space="preserve"> és biomassza alapú hőtermelési kapacitások épülhetnek ki. Nem valósíthatók meg önállóan ezen méret alatti és például hőszivattyús megoldások sem. A KEHOP várható, még meg nem jelent kiírásaitól való elkülönítési kötelezettség miatt nem valósulhatnak meg ugyanakkor hálózatra eladásra termelő naperőművi kapacitások, és a </w:t>
      </w:r>
      <w:proofErr w:type="spellStart"/>
      <w:r>
        <w:rPr>
          <w:sz w:val="24"/>
          <w:szCs w:val="24"/>
        </w:rPr>
        <w:t>távhő</w:t>
      </w:r>
      <w:proofErr w:type="spellEnd"/>
      <w:r>
        <w:rPr>
          <w:sz w:val="24"/>
          <w:szCs w:val="24"/>
        </w:rPr>
        <w:t xml:space="preserve"> rendszerét fejlesztő, arra csatlakozó fejlesztések sem.</w:t>
      </w:r>
    </w:p>
    <w:p w:rsidR="00A77B70" w:rsidRDefault="00101F47">
      <w:pPr>
        <w:rPr>
          <w:sz w:val="24"/>
          <w:szCs w:val="24"/>
        </w:rPr>
      </w:pPr>
      <w:r>
        <w:rPr>
          <w:sz w:val="24"/>
          <w:szCs w:val="24"/>
        </w:rPr>
        <w:t xml:space="preserve">A fejlesztés műszaki tartalma meghatározásánál figyelembe kell venni, hogy </w:t>
      </w:r>
      <w:r w:rsidR="00A77B70" w:rsidRPr="00A77B70">
        <w:rPr>
          <w:sz w:val="24"/>
          <w:szCs w:val="24"/>
        </w:rPr>
        <w:t xml:space="preserve">Szombathely </w:t>
      </w:r>
      <w:r w:rsidR="00A77B70">
        <w:rPr>
          <w:sz w:val="24"/>
          <w:szCs w:val="24"/>
        </w:rPr>
        <w:t>Megyei Jogú Város településszerkezete</w:t>
      </w:r>
      <w:r>
        <w:rPr>
          <w:sz w:val="24"/>
          <w:szCs w:val="24"/>
        </w:rPr>
        <w:t xml:space="preserve"> rendkívül</w:t>
      </w:r>
      <w:r w:rsidR="00A77B70">
        <w:rPr>
          <w:sz w:val="24"/>
          <w:szCs w:val="24"/>
        </w:rPr>
        <w:t xml:space="preserve"> kompakt képet mutat, nagy beépítettségi sűrűséggel. A város intézményei, illetve saját tulajdonban álló közfeladatot ellátó cégei jelentős részben a legsűrűbben beépíte</w:t>
      </w:r>
      <w:r w:rsidR="002434BB">
        <w:rPr>
          <w:sz w:val="24"/>
          <w:szCs w:val="24"/>
        </w:rPr>
        <w:t xml:space="preserve">tt várostömbben helyezkednek el. </w:t>
      </w:r>
      <w:r>
        <w:rPr>
          <w:sz w:val="24"/>
          <w:szCs w:val="24"/>
        </w:rPr>
        <w:t>Emellett a</w:t>
      </w:r>
      <w:r w:rsidR="002434BB">
        <w:rPr>
          <w:sz w:val="24"/>
          <w:szCs w:val="24"/>
        </w:rPr>
        <w:t xml:space="preserve"> város legnagyobb energiafogyasztó intézményei közül a </w:t>
      </w:r>
      <w:proofErr w:type="spellStart"/>
      <w:r w:rsidR="002434BB">
        <w:rPr>
          <w:sz w:val="24"/>
          <w:szCs w:val="24"/>
        </w:rPr>
        <w:t>Markusovszky</w:t>
      </w:r>
      <w:proofErr w:type="spellEnd"/>
      <w:r w:rsidR="002434BB">
        <w:rPr>
          <w:sz w:val="24"/>
          <w:szCs w:val="24"/>
        </w:rPr>
        <w:t xml:space="preserve"> Kórház, a SEK, a Kormányhivatal intézményei illetve a városi Uszoda jogosultsági okok </w:t>
      </w:r>
      <w:proofErr w:type="gramStart"/>
      <w:r w:rsidR="002434BB">
        <w:rPr>
          <w:sz w:val="24"/>
          <w:szCs w:val="24"/>
        </w:rPr>
        <w:t>miatt  nem</w:t>
      </w:r>
      <w:proofErr w:type="gramEnd"/>
      <w:r w:rsidR="002434BB">
        <w:rPr>
          <w:sz w:val="24"/>
          <w:szCs w:val="24"/>
        </w:rPr>
        <w:t xml:space="preserve"> jöhet szóba, mint potenciális energiafelhasználási végpont. </w:t>
      </w:r>
    </w:p>
    <w:p w:rsidR="00101F47" w:rsidRDefault="00101F47">
      <w:pPr>
        <w:rPr>
          <w:sz w:val="24"/>
          <w:szCs w:val="24"/>
        </w:rPr>
      </w:pPr>
      <w:r>
        <w:rPr>
          <w:sz w:val="24"/>
          <w:szCs w:val="24"/>
        </w:rPr>
        <w:t xml:space="preserve">A fenti korlátok figyelembe vétele mellett a javasolt fejlesztés, figyelembe véve a megfelelően nagy energiaigényű, reális távolságból ellátható, lakosságot nem zavaróan </w:t>
      </w:r>
      <w:r>
        <w:rPr>
          <w:sz w:val="24"/>
          <w:szCs w:val="24"/>
        </w:rPr>
        <w:lastRenderedPageBreak/>
        <w:t>megvalósítható fejlesztéseket, az alábbi javaslatot fogalmaztuk meg (építve Szombathely MJV Energetikai és Klímavédelmi Stratégiája elfogadott céljaira is):</w:t>
      </w:r>
    </w:p>
    <w:p w:rsidR="00101F47" w:rsidRDefault="00101F47" w:rsidP="00101F4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egy 1 MW névleges kapacitású, biomassza </w:t>
      </w:r>
      <w:proofErr w:type="spellStart"/>
      <w:r>
        <w:rPr>
          <w:sz w:val="24"/>
          <w:szCs w:val="24"/>
        </w:rPr>
        <w:t>hőközpont</w:t>
      </w:r>
      <w:proofErr w:type="spellEnd"/>
      <w:r>
        <w:rPr>
          <w:sz w:val="24"/>
          <w:szCs w:val="24"/>
        </w:rPr>
        <w:t xml:space="preserve"> kialakítása </w:t>
      </w:r>
      <w:r w:rsidR="00C6115F">
        <w:rPr>
          <w:sz w:val="24"/>
          <w:szCs w:val="24"/>
        </w:rPr>
        <w:t xml:space="preserve">az </w:t>
      </w:r>
      <w:proofErr w:type="spellStart"/>
      <w:r w:rsidR="00C6115F">
        <w:rPr>
          <w:sz w:val="24"/>
          <w:szCs w:val="24"/>
        </w:rPr>
        <w:t>Arena</w:t>
      </w:r>
      <w:proofErr w:type="spellEnd"/>
      <w:r w:rsidR="00C6115F">
        <w:rPr>
          <w:sz w:val="24"/>
          <w:szCs w:val="24"/>
        </w:rPr>
        <w:t xml:space="preserve"> Savaria, a Neumann János Általános Iskola és a </w:t>
      </w:r>
      <w:proofErr w:type="spellStart"/>
      <w:r w:rsidR="00833B66">
        <w:rPr>
          <w:sz w:val="24"/>
          <w:szCs w:val="24"/>
        </w:rPr>
        <w:t>Donászy</w:t>
      </w:r>
      <w:proofErr w:type="spellEnd"/>
      <w:r w:rsidR="00833B66">
        <w:rPr>
          <w:sz w:val="24"/>
          <w:szCs w:val="24"/>
        </w:rPr>
        <w:t xml:space="preserve"> Magda</w:t>
      </w:r>
      <w:r w:rsidR="00C6115F">
        <w:rPr>
          <w:sz w:val="24"/>
          <w:szCs w:val="24"/>
        </w:rPr>
        <w:t xml:space="preserve"> óvoda hőigénye kielégítésére</w:t>
      </w:r>
    </w:p>
    <w:p w:rsidR="00CA6DF1" w:rsidRDefault="00833B66" w:rsidP="00CA6DF1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CA6DF1">
        <w:rPr>
          <w:sz w:val="24"/>
          <w:szCs w:val="24"/>
        </w:rPr>
        <w:t>egvalósítás tervezett helye: a 11-es Huszár úti Huszár Laktanya északi területén, jelenlegi földgáz üzemű telephely mellett, modulárisan bővíthető technológiával</w:t>
      </w:r>
    </w:p>
    <w:p w:rsidR="00833B66" w:rsidRDefault="00833B66" w:rsidP="00833B6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bővíthetőség megteremtésével a fejlesztés egyben a Huszárlaktanya alapinfrastruktúra fejlesztését is jelenti, elősegítve ezzel annak mielőbbi hasznosulását</w:t>
      </w:r>
    </w:p>
    <w:p w:rsidR="00833B66" w:rsidRDefault="00833B66" w:rsidP="00833B6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telephely lehetővé teszi a későbbiekben a közeli lakás célú ingatlanok ellátását, illetve a </w:t>
      </w:r>
      <w:proofErr w:type="spellStart"/>
      <w:r>
        <w:rPr>
          <w:sz w:val="24"/>
          <w:szCs w:val="24"/>
        </w:rPr>
        <w:t>Markusovszky</w:t>
      </w:r>
      <w:proofErr w:type="spellEnd"/>
      <w:r>
        <w:rPr>
          <w:sz w:val="24"/>
          <w:szCs w:val="24"/>
        </w:rPr>
        <w:t xml:space="preserve"> Kórház 11-es Huszár úti létesítménye hőigénye megújulóval való ellátását </w:t>
      </w:r>
    </w:p>
    <w:p w:rsidR="00833B66" w:rsidRDefault="00833B66" w:rsidP="00833B6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kiépítendő kapacitás néhány nagyobb társasház kazánméretének felel meg, így érdemi terhelés-növekedést nem jelent a környező lakosságnak</w:t>
      </w:r>
    </w:p>
    <w:p w:rsidR="00833B66" w:rsidRDefault="00833B66" w:rsidP="00833B6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terület egyike a kevésbé beépített városi területeknek, a jellemző észak-északnyugati széljárás miatt az elsődleges hatásterülete is kialakítható úgy, hogy az az északra fekvő lakótömböket ne érintse</w:t>
      </w:r>
    </w:p>
    <w:p w:rsidR="00CA6DF1" w:rsidRDefault="00CA6DF1" w:rsidP="00CA6DF1">
      <w:pPr>
        <w:pStyle w:val="Listaszerbekezds"/>
        <w:ind w:left="2160"/>
        <w:rPr>
          <w:sz w:val="24"/>
          <w:szCs w:val="24"/>
        </w:rPr>
      </w:pPr>
    </w:p>
    <w:p w:rsidR="00833B66" w:rsidRDefault="00CA6DF1" w:rsidP="00CA6DF1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távvezetékek kiépítése a tervezett kazánház és az </w:t>
      </w:r>
      <w:proofErr w:type="spellStart"/>
      <w:r>
        <w:rPr>
          <w:sz w:val="24"/>
          <w:szCs w:val="24"/>
        </w:rPr>
        <w:t>Arena</w:t>
      </w:r>
      <w:proofErr w:type="spellEnd"/>
      <w:r>
        <w:rPr>
          <w:sz w:val="24"/>
          <w:szCs w:val="24"/>
        </w:rPr>
        <w:t xml:space="preserve"> Savaria régi és új csarnoka, továbbá déli irányban, a Huszár laktanya területén a Neumann Iskola és </w:t>
      </w:r>
      <w:proofErr w:type="spellStart"/>
      <w:r>
        <w:rPr>
          <w:sz w:val="24"/>
          <w:szCs w:val="24"/>
        </w:rPr>
        <w:t>Donászy</w:t>
      </w:r>
      <w:proofErr w:type="spellEnd"/>
      <w:r>
        <w:rPr>
          <w:sz w:val="24"/>
          <w:szCs w:val="24"/>
        </w:rPr>
        <w:t xml:space="preserve"> Magda óvoda felé</w:t>
      </w:r>
      <w:r w:rsidR="00833B66">
        <w:rPr>
          <w:sz w:val="24"/>
          <w:szCs w:val="24"/>
        </w:rPr>
        <w:t xml:space="preserve"> </w:t>
      </w:r>
    </w:p>
    <w:p w:rsidR="00CA6DF1" w:rsidRDefault="00833B66" w:rsidP="00833B6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1020 folyóméter D200-as gerinc és 440 fm bekötő vezeték kiépítése</w:t>
      </w:r>
    </w:p>
    <w:p w:rsidR="00CA6DF1" w:rsidRDefault="00CA6DF1" w:rsidP="00CA6DF1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déli </w:t>
      </w:r>
      <w:proofErr w:type="spellStart"/>
      <w:r>
        <w:rPr>
          <w:sz w:val="24"/>
          <w:szCs w:val="24"/>
        </w:rPr>
        <w:t>távhő</w:t>
      </w:r>
      <w:proofErr w:type="spellEnd"/>
      <w:r>
        <w:rPr>
          <w:sz w:val="24"/>
          <w:szCs w:val="24"/>
        </w:rPr>
        <w:t xml:space="preserve"> vezeték kiépítése egyben a Huszár laktanya épületeit ellátó alap-infrastruktúra fejlesztést is jelent, elősegítve azok későbbi hasznosítását</w:t>
      </w:r>
    </w:p>
    <w:p w:rsidR="00CA6DF1" w:rsidRDefault="00CA6DF1" w:rsidP="00CA6DF1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távvezeték a fenntartási időszak után rákapcsolódhat a </w:t>
      </w:r>
      <w:proofErr w:type="spellStart"/>
      <w:r>
        <w:rPr>
          <w:sz w:val="24"/>
          <w:szCs w:val="24"/>
        </w:rPr>
        <w:t>távhő</w:t>
      </w:r>
      <w:proofErr w:type="spellEnd"/>
      <w:r>
        <w:rPr>
          <w:sz w:val="24"/>
          <w:szCs w:val="24"/>
        </w:rPr>
        <w:t xml:space="preserve"> Szabolcs utcai ágára, melynek az </w:t>
      </w:r>
      <w:proofErr w:type="spellStart"/>
      <w:r>
        <w:rPr>
          <w:sz w:val="24"/>
          <w:szCs w:val="24"/>
        </w:rPr>
        <w:t>Arena</w:t>
      </w:r>
      <w:proofErr w:type="spellEnd"/>
      <w:r>
        <w:rPr>
          <w:sz w:val="24"/>
          <w:szCs w:val="24"/>
        </w:rPr>
        <w:t xml:space="preserve"> Savariától kiinduló rákötési ágának tervei korábban már elkészültek </w:t>
      </w:r>
    </w:p>
    <w:p w:rsidR="00CA6DF1" w:rsidRDefault="00CA6DF1" w:rsidP="00CA6DF1">
      <w:pPr>
        <w:pStyle w:val="Listaszerbekezds"/>
        <w:ind w:left="2160"/>
        <w:rPr>
          <w:sz w:val="24"/>
          <w:szCs w:val="24"/>
        </w:rPr>
      </w:pPr>
    </w:p>
    <w:tbl>
      <w:tblPr>
        <w:tblW w:w="813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27"/>
        <w:gridCol w:w="1417"/>
        <w:gridCol w:w="1560"/>
        <w:gridCol w:w="1008"/>
        <w:gridCol w:w="991"/>
      </w:tblGrid>
      <w:tr w:rsidR="00105F0C" w:rsidRPr="00D673BA" w:rsidTr="00105F0C">
        <w:trPr>
          <w:trHeight w:val="288"/>
        </w:trPr>
        <w:tc>
          <w:tcPr>
            <w:tcW w:w="2127" w:type="dxa"/>
          </w:tcPr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Megnevezés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05F0C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beépített,</w:t>
            </w:r>
          </w:p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MW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05F0C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nettó költség,</w:t>
            </w:r>
          </w:p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MFt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05F0C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bruttó költség,</w:t>
            </w:r>
          </w:p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MFt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05F0C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járulékos,</w:t>
            </w:r>
          </w:p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MFt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05F0C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összesen,</w:t>
            </w:r>
          </w:p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MFt</w:t>
            </w:r>
            <w:proofErr w:type="spellEnd"/>
          </w:p>
        </w:tc>
      </w:tr>
      <w:tr w:rsidR="00105F0C" w:rsidRPr="00D673BA" w:rsidTr="00105F0C">
        <w:trPr>
          <w:trHeight w:val="288"/>
        </w:trPr>
        <w:tc>
          <w:tcPr>
            <w:tcW w:w="2127" w:type="dxa"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Biomassza kazán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190,5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28,6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219,1</w:t>
            </w:r>
          </w:p>
        </w:tc>
      </w:tr>
      <w:tr w:rsidR="00105F0C" w:rsidRPr="00D673BA" w:rsidTr="00105F0C">
        <w:trPr>
          <w:trHeight w:val="288"/>
        </w:trPr>
        <w:tc>
          <w:tcPr>
            <w:tcW w:w="2127" w:type="dxa"/>
          </w:tcPr>
          <w:p w:rsidR="00105F0C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Távhő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vezeték (1460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)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190,5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19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209,5</w:t>
            </w:r>
          </w:p>
        </w:tc>
      </w:tr>
      <w:tr w:rsidR="00105F0C" w:rsidRPr="00D673BA" w:rsidTr="00105F0C">
        <w:trPr>
          <w:trHeight w:val="288"/>
        </w:trPr>
        <w:tc>
          <w:tcPr>
            <w:tcW w:w="2127" w:type="dxa"/>
          </w:tcPr>
          <w:p w:rsidR="00105F0C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ÖSSZESEN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105F0C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05F0C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F0C" w:rsidRPr="00D673BA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105F0C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105F0C" w:rsidRDefault="00105F0C" w:rsidP="00D6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428,6</w:t>
            </w:r>
          </w:p>
        </w:tc>
      </w:tr>
    </w:tbl>
    <w:p w:rsidR="00D673BA" w:rsidRDefault="00D673BA" w:rsidP="00CA6DF1">
      <w:pPr>
        <w:pStyle w:val="Listaszerbekezds"/>
        <w:ind w:left="2160"/>
        <w:rPr>
          <w:sz w:val="24"/>
          <w:szCs w:val="24"/>
        </w:rPr>
      </w:pPr>
    </w:p>
    <w:p w:rsidR="00D673BA" w:rsidRDefault="00D673BA" w:rsidP="00CA6DF1">
      <w:pPr>
        <w:pStyle w:val="Listaszerbekezds"/>
        <w:ind w:left="2160"/>
        <w:rPr>
          <w:sz w:val="24"/>
          <w:szCs w:val="24"/>
        </w:rPr>
      </w:pPr>
    </w:p>
    <w:p w:rsidR="00CA6DF1" w:rsidRDefault="00C6115F" w:rsidP="00CA6DF1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összesen …</w:t>
      </w:r>
      <w:proofErr w:type="gramEnd"/>
      <w:r>
        <w:rPr>
          <w:sz w:val="24"/>
          <w:szCs w:val="24"/>
        </w:rPr>
        <w:t>. kW névleges teljesítményű napenergia</w:t>
      </w:r>
      <w:r w:rsidR="00CA6DF1">
        <w:rPr>
          <w:sz w:val="24"/>
          <w:szCs w:val="24"/>
        </w:rPr>
        <w:t xml:space="preserve"> kiserőművi kapacitás kiépítése</w:t>
      </w:r>
    </w:p>
    <w:p w:rsidR="00833B66" w:rsidRDefault="00833B66" w:rsidP="00CA6DF1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ellátandó igények és főbb kapacitások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112"/>
        <w:gridCol w:w="1552"/>
        <w:gridCol w:w="1579"/>
        <w:gridCol w:w="1566"/>
        <w:gridCol w:w="1173"/>
      </w:tblGrid>
      <w:tr w:rsidR="00D673BA" w:rsidTr="00D673BA">
        <w:tc>
          <w:tcPr>
            <w:tcW w:w="2112" w:type="dxa"/>
          </w:tcPr>
          <w:p w:rsidR="00D673BA" w:rsidRDefault="00D673BA" w:rsidP="0083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Létesítmény</w:t>
            </w:r>
          </w:p>
        </w:tc>
        <w:tc>
          <w:tcPr>
            <w:tcW w:w="1552" w:type="dxa"/>
          </w:tcPr>
          <w:p w:rsidR="00D673BA" w:rsidRDefault="00D673BA" w:rsidP="0083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Éves villamos energia fogyasztás (kWh)</w:t>
            </w:r>
          </w:p>
        </w:tc>
        <w:tc>
          <w:tcPr>
            <w:tcW w:w="1579" w:type="dxa"/>
          </w:tcPr>
          <w:p w:rsidR="00D673BA" w:rsidRDefault="00D673BA" w:rsidP="0083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Potenciális kiépíthető kapacitás (kW)</w:t>
            </w:r>
          </w:p>
        </w:tc>
        <w:tc>
          <w:tcPr>
            <w:tcW w:w="1566" w:type="dxa"/>
          </w:tcPr>
          <w:p w:rsidR="00D673BA" w:rsidRDefault="00D673BA" w:rsidP="00D6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 megtakarítás, kg (0,93 kg/kWh)</w:t>
            </w:r>
          </w:p>
        </w:tc>
        <w:tc>
          <w:tcPr>
            <w:tcW w:w="1173" w:type="dxa"/>
          </w:tcPr>
          <w:p w:rsidR="00D673BA" w:rsidRDefault="00105F0C" w:rsidP="00D6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Bekerülés m</w:t>
            </w:r>
            <w:r w:rsidR="00D673BA">
              <w:rPr>
                <w:sz w:val="24"/>
                <w:szCs w:val="24"/>
              </w:rPr>
              <w:t xml:space="preserve"> Ft, bruttó</w:t>
            </w:r>
          </w:p>
        </w:tc>
      </w:tr>
      <w:tr w:rsidR="00D673BA" w:rsidTr="00D673BA">
        <w:tc>
          <w:tcPr>
            <w:tcW w:w="2112" w:type="dxa"/>
          </w:tcPr>
          <w:p w:rsidR="00D673BA" w:rsidRDefault="00D673BA" w:rsidP="001C12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Arena</w:t>
            </w:r>
            <w:proofErr w:type="spellEnd"/>
            <w:r>
              <w:rPr>
                <w:sz w:val="24"/>
                <w:szCs w:val="24"/>
              </w:rPr>
              <w:t xml:space="preserve"> Savaria</w:t>
            </w:r>
          </w:p>
        </w:tc>
        <w:tc>
          <w:tcPr>
            <w:tcW w:w="1552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280000</w:t>
            </w:r>
          </w:p>
        </w:tc>
        <w:tc>
          <w:tcPr>
            <w:tcW w:w="1579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66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</w:p>
        </w:tc>
      </w:tr>
      <w:tr w:rsidR="00D673BA" w:rsidTr="00D673BA">
        <w:tc>
          <w:tcPr>
            <w:tcW w:w="2112" w:type="dxa"/>
          </w:tcPr>
          <w:p w:rsidR="00D673BA" w:rsidRDefault="00D673BA" w:rsidP="00D6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Neumann Általános iskola és </w:t>
            </w:r>
            <w:proofErr w:type="spellStart"/>
            <w:r>
              <w:rPr>
                <w:sz w:val="24"/>
                <w:szCs w:val="24"/>
              </w:rPr>
              <w:t>Donászy</w:t>
            </w:r>
            <w:proofErr w:type="spellEnd"/>
            <w:r>
              <w:rPr>
                <w:sz w:val="24"/>
                <w:szCs w:val="24"/>
              </w:rPr>
              <w:t xml:space="preserve"> Magda Óvoda</w:t>
            </w:r>
          </w:p>
        </w:tc>
        <w:tc>
          <w:tcPr>
            <w:tcW w:w="1552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579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6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</w:p>
        </w:tc>
      </w:tr>
      <w:tr w:rsidR="00D673BA" w:rsidTr="00D673BA">
        <w:tc>
          <w:tcPr>
            <w:tcW w:w="2112" w:type="dxa"/>
          </w:tcPr>
          <w:p w:rsidR="00D673BA" w:rsidRDefault="00D673BA" w:rsidP="00D6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Strandfürdő és Műjégpálya</w:t>
            </w:r>
          </w:p>
        </w:tc>
        <w:tc>
          <w:tcPr>
            <w:tcW w:w="1552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730000</w:t>
            </w:r>
          </w:p>
        </w:tc>
        <w:tc>
          <w:tcPr>
            <w:tcW w:w="1579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1566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</w:p>
        </w:tc>
      </w:tr>
      <w:tr w:rsidR="00D673BA" w:rsidTr="00D673BA">
        <w:tc>
          <w:tcPr>
            <w:tcW w:w="2112" w:type="dxa"/>
          </w:tcPr>
          <w:p w:rsidR="00D673BA" w:rsidRDefault="00D673BA" w:rsidP="00D67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1552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566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760,74</w:t>
            </w:r>
          </w:p>
        </w:tc>
        <w:tc>
          <w:tcPr>
            <w:tcW w:w="1173" w:type="dxa"/>
          </w:tcPr>
          <w:p w:rsidR="00D673BA" w:rsidRDefault="00D673BA" w:rsidP="00D673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105F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184</w:t>
            </w:r>
          </w:p>
        </w:tc>
      </w:tr>
    </w:tbl>
    <w:p w:rsidR="00101F47" w:rsidRDefault="00101F47" w:rsidP="00550FF3">
      <w:pPr>
        <w:ind w:left="360"/>
        <w:rPr>
          <w:sz w:val="24"/>
          <w:szCs w:val="24"/>
        </w:rPr>
      </w:pPr>
    </w:p>
    <w:p w:rsidR="00105F0C" w:rsidRDefault="00105F0C" w:rsidP="00550FF3">
      <w:pPr>
        <w:ind w:left="360"/>
        <w:rPr>
          <w:sz w:val="24"/>
          <w:szCs w:val="24"/>
        </w:rPr>
      </w:pPr>
      <w:r>
        <w:rPr>
          <w:sz w:val="24"/>
          <w:szCs w:val="24"/>
        </w:rPr>
        <w:t>Beruházások összesítése</w:t>
      </w:r>
    </w:p>
    <w:p w:rsidR="00105F0C" w:rsidRDefault="00105F0C" w:rsidP="00550FF3">
      <w:pPr>
        <w:ind w:left="360"/>
        <w:rPr>
          <w:sz w:val="24"/>
          <w:szCs w:val="24"/>
        </w:rPr>
      </w:pPr>
    </w:p>
    <w:tbl>
      <w:tblPr>
        <w:tblW w:w="692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104"/>
      </w:tblGrid>
      <w:tr w:rsidR="00105F0C" w:rsidRPr="00D673BA" w:rsidTr="00105F0C">
        <w:trPr>
          <w:trHeight w:val="288"/>
        </w:trPr>
        <w:tc>
          <w:tcPr>
            <w:tcW w:w="3686" w:type="dxa"/>
          </w:tcPr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Megnevezés</w:t>
            </w:r>
          </w:p>
        </w:tc>
        <w:tc>
          <w:tcPr>
            <w:tcW w:w="1134" w:type="dxa"/>
            <w:vAlign w:val="bottom"/>
          </w:tcPr>
          <w:p w:rsidR="00105F0C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összesen,</w:t>
            </w:r>
          </w:p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D673BA">
              <w:rPr>
                <w:rFonts w:ascii="Calibri" w:eastAsia="Times New Roman" w:hAnsi="Calibri" w:cs="Times New Roman"/>
                <w:color w:val="000000"/>
                <w:lang w:eastAsia="hu-HU"/>
              </w:rPr>
              <w:t>MFt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bottom"/>
          </w:tcPr>
          <w:p w:rsidR="00105F0C" w:rsidRPr="00D673BA" w:rsidRDefault="00105F0C" w:rsidP="00105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CO2 megtakarítás</w:t>
            </w:r>
          </w:p>
        </w:tc>
      </w:tr>
      <w:tr w:rsidR="00105F0C" w:rsidRPr="00D673BA" w:rsidTr="00105F0C">
        <w:trPr>
          <w:trHeight w:val="288"/>
        </w:trPr>
        <w:tc>
          <w:tcPr>
            <w:tcW w:w="3686" w:type="dxa"/>
          </w:tcPr>
          <w:p w:rsidR="00105F0C" w:rsidRPr="00D673BA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Biomassza kazán és távhővezeték</w:t>
            </w:r>
          </w:p>
        </w:tc>
        <w:tc>
          <w:tcPr>
            <w:tcW w:w="1134" w:type="dxa"/>
            <w:vAlign w:val="bottom"/>
          </w:tcPr>
          <w:p w:rsidR="00105F0C" w:rsidRPr="00D673BA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428,6</w:t>
            </w:r>
          </w:p>
        </w:tc>
        <w:tc>
          <w:tcPr>
            <w:tcW w:w="2104" w:type="dxa"/>
            <w:shd w:val="clear" w:color="auto" w:fill="auto"/>
            <w:noWrap/>
            <w:vAlign w:val="bottom"/>
          </w:tcPr>
          <w:p w:rsidR="00105F0C" w:rsidRPr="00D673BA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716</w:t>
            </w:r>
          </w:p>
        </w:tc>
      </w:tr>
      <w:tr w:rsidR="00105F0C" w:rsidRPr="00D673BA" w:rsidTr="00105F0C">
        <w:trPr>
          <w:trHeight w:val="288"/>
        </w:trPr>
        <w:tc>
          <w:tcPr>
            <w:tcW w:w="3686" w:type="dxa"/>
          </w:tcPr>
          <w:p w:rsidR="00105F0C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Naperőművek</w:t>
            </w:r>
          </w:p>
        </w:tc>
        <w:tc>
          <w:tcPr>
            <w:tcW w:w="1134" w:type="dxa"/>
            <w:vAlign w:val="bottom"/>
          </w:tcPr>
          <w:p w:rsidR="00105F0C" w:rsidRPr="00D673BA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379,2</w:t>
            </w:r>
          </w:p>
        </w:tc>
        <w:tc>
          <w:tcPr>
            <w:tcW w:w="2104" w:type="dxa"/>
            <w:shd w:val="clear" w:color="auto" w:fill="auto"/>
            <w:noWrap/>
            <w:vAlign w:val="bottom"/>
          </w:tcPr>
          <w:p w:rsidR="00105F0C" w:rsidRPr="00D673BA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760</w:t>
            </w:r>
          </w:p>
        </w:tc>
      </w:tr>
      <w:tr w:rsidR="00105F0C" w:rsidTr="00105F0C">
        <w:trPr>
          <w:trHeight w:val="288"/>
        </w:trPr>
        <w:tc>
          <w:tcPr>
            <w:tcW w:w="3686" w:type="dxa"/>
          </w:tcPr>
          <w:p w:rsidR="00105F0C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Tartalék</w:t>
            </w:r>
          </w:p>
        </w:tc>
        <w:tc>
          <w:tcPr>
            <w:tcW w:w="1134" w:type="dxa"/>
            <w:vAlign w:val="bottom"/>
          </w:tcPr>
          <w:p w:rsidR="00105F0C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92,2</w:t>
            </w:r>
          </w:p>
        </w:tc>
        <w:tc>
          <w:tcPr>
            <w:tcW w:w="2104" w:type="dxa"/>
            <w:shd w:val="clear" w:color="auto" w:fill="auto"/>
            <w:noWrap/>
            <w:vAlign w:val="bottom"/>
          </w:tcPr>
          <w:p w:rsidR="00105F0C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</w:p>
        </w:tc>
      </w:tr>
      <w:tr w:rsidR="00105F0C" w:rsidTr="00105F0C">
        <w:trPr>
          <w:trHeight w:val="288"/>
        </w:trPr>
        <w:tc>
          <w:tcPr>
            <w:tcW w:w="3686" w:type="dxa"/>
          </w:tcPr>
          <w:p w:rsidR="00105F0C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ÖSSZESEN</w:t>
            </w:r>
          </w:p>
        </w:tc>
        <w:tc>
          <w:tcPr>
            <w:tcW w:w="1134" w:type="dxa"/>
            <w:vAlign w:val="bottom"/>
          </w:tcPr>
          <w:p w:rsidR="00105F0C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900</w:t>
            </w:r>
          </w:p>
        </w:tc>
        <w:tc>
          <w:tcPr>
            <w:tcW w:w="2104" w:type="dxa"/>
            <w:shd w:val="clear" w:color="auto" w:fill="auto"/>
            <w:noWrap/>
            <w:vAlign w:val="bottom"/>
          </w:tcPr>
          <w:p w:rsidR="00105F0C" w:rsidRDefault="00105F0C" w:rsidP="00105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1416</w:t>
            </w:r>
          </w:p>
        </w:tc>
      </w:tr>
    </w:tbl>
    <w:p w:rsidR="00105F0C" w:rsidRDefault="00105F0C" w:rsidP="00550FF3">
      <w:pPr>
        <w:ind w:left="360"/>
        <w:rPr>
          <w:sz w:val="24"/>
          <w:szCs w:val="24"/>
        </w:rPr>
      </w:pPr>
    </w:p>
    <w:p w:rsidR="00105F0C" w:rsidRDefault="00105F0C" w:rsidP="00550FF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Biomassza kazán és </w:t>
      </w:r>
      <w:proofErr w:type="spellStart"/>
      <w:r>
        <w:rPr>
          <w:sz w:val="24"/>
          <w:szCs w:val="24"/>
        </w:rPr>
        <w:t>távhő</w:t>
      </w:r>
      <w:proofErr w:type="spellEnd"/>
      <w:r>
        <w:rPr>
          <w:sz w:val="24"/>
          <w:szCs w:val="24"/>
        </w:rPr>
        <w:t xml:space="preserve"> nyomvonal tervezett megvalósítás </w:t>
      </w:r>
    </w:p>
    <w:p w:rsidR="00550FF3" w:rsidRDefault="00550FF3" w:rsidP="00550FF3">
      <w:pPr>
        <w:ind w:left="360"/>
        <w:rPr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5760720" cy="3106157"/>
            <wp:effectExtent l="0" t="0" r="0" b="0"/>
            <wp:docPr id="1" name="Kép 1" descr="cid:image001.jpg@01D1C0B2.BD40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1C0B2.BD4089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7A" w:rsidRDefault="00DA347A" w:rsidP="00550FF3">
      <w:pPr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Készítette: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Bozzay Balázs klímavédelmi és e</w:t>
      </w:r>
      <w:r w:rsidR="00C10FA7">
        <w:rPr>
          <w:sz w:val="24"/>
          <w:szCs w:val="24"/>
        </w:rPr>
        <w:t>nergetikai szakértő, BFH Európa</w:t>
      </w:r>
      <w:r>
        <w:rPr>
          <w:sz w:val="24"/>
          <w:szCs w:val="24"/>
        </w:rPr>
        <w:t xml:space="preserve"> </w:t>
      </w:r>
      <w:r w:rsidR="00C10FA7">
        <w:rPr>
          <w:sz w:val="24"/>
          <w:szCs w:val="24"/>
        </w:rPr>
        <w:t>K</w:t>
      </w:r>
      <w:r>
        <w:rPr>
          <w:sz w:val="24"/>
          <w:szCs w:val="24"/>
        </w:rPr>
        <w:t>ft.</w:t>
      </w:r>
    </w:p>
    <w:p w:rsidR="00DA347A" w:rsidRPr="00550FF3" w:rsidRDefault="00DA347A" w:rsidP="00550FF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Németh Gábor vezérigazgató, SZOVA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</w:t>
      </w:r>
    </w:p>
    <w:sectPr w:rsidR="00DA347A" w:rsidRPr="0055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F2AFC"/>
    <w:multiLevelType w:val="hybridMultilevel"/>
    <w:tmpl w:val="5CFCB06E"/>
    <w:lvl w:ilvl="0" w:tplc="359C2F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70"/>
    <w:rsid w:val="00101F47"/>
    <w:rsid w:val="00105F0C"/>
    <w:rsid w:val="001C1221"/>
    <w:rsid w:val="002434BB"/>
    <w:rsid w:val="002F54FE"/>
    <w:rsid w:val="003B2994"/>
    <w:rsid w:val="00550FF3"/>
    <w:rsid w:val="00833B66"/>
    <w:rsid w:val="00A77B70"/>
    <w:rsid w:val="00B67C7F"/>
    <w:rsid w:val="00C10FA7"/>
    <w:rsid w:val="00C6115F"/>
    <w:rsid w:val="00CA6224"/>
    <w:rsid w:val="00CA6DF1"/>
    <w:rsid w:val="00CF32BC"/>
    <w:rsid w:val="00D673BA"/>
    <w:rsid w:val="00D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E0635-A271-4362-A635-6535F7F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7B70"/>
    <w:pPr>
      <w:ind w:left="720"/>
      <w:contextualSpacing/>
    </w:pPr>
  </w:style>
  <w:style w:type="table" w:styleId="Rcsostblzat">
    <w:name w:val="Table Grid"/>
    <w:basedOn w:val="Normltblzat"/>
    <w:uiPriority w:val="39"/>
    <w:rsid w:val="0083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1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C0B2.BD40895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8013B-13D4-4E5D-AFD9-CF16587E0FE0}"/>
</file>

<file path=customXml/itemProps2.xml><?xml version="1.0" encoding="utf-8"?>
<ds:datastoreItem xmlns:ds="http://schemas.openxmlformats.org/officeDocument/2006/customXml" ds:itemID="{94B01BBF-E44D-44DD-BD25-2C70C124A857}"/>
</file>

<file path=customXml/itemProps3.xml><?xml version="1.0" encoding="utf-8"?>
<ds:datastoreItem xmlns:ds="http://schemas.openxmlformats.org/officeDocument/2006/customXml" ds:itemID="{2A2CFDEA-87B0-4247-AA41-46192D47C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Bozzay Balázs</dc:creator>
  <cp:keywords/>
  <dc:description/>
  <cp:lastModifiedBy>Nagy Babett</cp:lastModifiedBy>
  <cp:revision>6</cp:revision>
  <cp:lastPrinted>2016-06-08T10:26:00Z</cp:lastPrinted>
  <dcterms:created xsi:type="dcterms:W3CDTF">2016-06-07T12:16:00Z</dcterms:created>
  <dcterms:modified xsi:type="dcterms:W3CDTF">2016-06-08T10:37:00Z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