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B6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SZOMBATHELY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„Helyi gazdaságfejlesztés” c. pályázati felhíváshoz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 xml:space="preserve"> (TOP-6.1.3-15)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 xml:space="preserve"> 2014-2020 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Koncepcionális javaslat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i/>
          <w:sz w:val="20"/>
          <w:szCs w:val="20"/>
        </w:rPr>
      </w:pPr>
      <w:r w:rsidRPr="0065437B">
        <w:rPr>
          <w:rFonts w:ascii="Verdana" w:hAnsi="Verdana"/>
          <w:i/>
          <w:sz w:val="20"/>
          <w:szCs w:val="20"/>
        </w:rPr>
        <w:t>Készítette: Savaria Városfejlesztési Nonprofit Kft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i/>
          <w:sz w:val="20"/>
          <w:szCs w:val="20"/>
        </w:rPr>
      </w:pPr>
      <w:r w:rsidRPr="0065437B">
        <w:rPr>
          <w:rFonts w:ascii="Verdana" w:hAnsi="Verdana"/>
          <w:i/>
          <w:sz w:val="20"/>
          <w:szCs w:val="20"/>
        </w:rPr>
        <w:t>2016.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65437B">
        <w:rPr>
          <w:rFonts w:ascii="Verdana" w:hAnsi="Verdana"/>
          <w:i/>
          <w:sz w:val="20"/>
          <w:szCs w:val="20"/>
        </w:rPr>
        <w:t xml:space="preserve">április 6. </w:t>
      </w:r>
    </w:p>
    <w:p w:rsidR="00334EB6" w:rsidRPr="0065437B" w:rsidRDefault="00334EB6" w:rsidP="00334EB6">
      <w:pPr>
        <w:spacing w:after="120"/>
        <w:rPr>
          <w:rFonts w:ascii="Verdana" w:hAnsi="Verdana"/>
          <w:sz w:val="20"/>
          <w:szCs w:val="20"/>
        </w:rPr>
      </w:pPr>
      <w:r w:rsidRPr="0065437B">
        <w:rPr>
          <w:rFonts w:ascii="Verdana" w:hAnsi="Verdana"/>
          <w:sz w:val="20"/>
          <w:szCs w:val="20"/>
        </w:rPr>
        <w:t xml:space="preserve">Az alábbi javaslat a Terület- és településfejlesztési Operatív Program és Szombathely Megyei Jogú Város Integrált </w:t>
      </w:r>
      <w:proofErr w:type="gramStart"/>
      <w:r w:rsidRPr="0065437B">
        <w:rPr>
          <w:rFonts w:ascii="Verdana" w:hAnsi="Verdana"/>
          <w:sz w:val="20"/>
          <w:szCs w:val="20"/>
        </w:rPr>
        <w:t>Területi  Program</w:t>
      </w:r>
      <w:proofErr w:type="gramEnd"/>
      <w:r w:rsidRPr="0065437B">
        <w:rPr>
          <w:rFonts w:ascii="Verdana" w:hAnsi="Verdana"/>
          <w:sz w:val="20"/>
          <w:szCs w:val="20"/>
        </w:rPr>
        <w:t xml:space="preserve"> 2014-2020 alapján készült el.</w:t>
      </w:r>
      <w:r>
        <w:rPr>
          <w:rFonts w:ascii="Verdana" w:hAnsi="Verdana"/>
          <w:sz w:val="20"/>
          <w:szCs w:val="20"/>
        </w:rPr>
        <w:t xml:space="preserve"> A TOP6.1.3-15 felhívás </w:t>
      </w:r>
      <w:proofErr w:type="spellStart"/>
      <w:r>
        <w:rPr>
          <w:rFonts w:ascii="Verdana" w:hAnsi="Verdana"/>
          <w:sz w:val="20"/>
          <w:szCs w:val="20"/>
        </w:rPr>
        <w:t>területspecifikus</w:t>
      </w:r>
      <w:proofErr w:type="spellEnd"/>
      <w:r>
        <w:rPr>
          <w:rFonts w:ascii="Verdana" w:hAnsi="Verdana"/>
          <w:sz w:val="20"/>
          <w:szCs w:val="20"/>
        </w:rPr>
        <w:t xml:space="preserve"> mellékletének várható módosítása alapján SZMJV Önkormányzata számára elkülönített indikatív keretösszeg 1.225 Millió forintról 2.301 Millió forintra emelkedik.</w:t>
      </w:r>
    </w:p>
    <w:p w:rsidR="00334EB6" w:rsidRDefault="00334EB6" w:rsidP="00334EB6">
      <w:pPr>
        <w:numPr>
          <w:ilvl w:val="0"/>
          <w:numId w:val="11"/>
        </w:numPr>
        <w:spacing w:after="120" w:line="240" w:lineRule="auto"/>
        <w:rPr>
          <w:rFonts w:ascii="Verdana" w:hAnsi="Verdana"/>
          <w:b/>
          <w:sz w:val="20"/>
          <w:szCs w:val="20"/>
          <w:u w:val="single"/>
        </w:rPr>
      </w:pPr>
      <w:r w:rsidRPr="0065437B">
        <w:rPr>
          <w:rFonts w:ascii="Verdana" w:hAnsi="Verdana"/>
          <w:b/>
          <w:sz w:val="20"/>
          <w:szCs w:val="20"/>
          <w:u w:val="single"/>
        </w:rPr>
        <w:t xml:space="preserve">Javasolt </w:t>
      </w:r>
      <w:r>
        <w:rPr>
          <w:rFonts w:ascii="Verdana" w:hAnsi="Verdana"/>
          <w:b/>
          <w:sz w:val="20"/>
          <w:szCs w:val="20"/>
          <w:u w:val="single"/>
        </w:rPr>
        <w:t>akció</w:t>
      </w:r>
      <w:r w:rsidRPr="0065437B">
        <w:rPr>
          <w:rFonts w:ascii="Verdana" w:hAnsi="Verdana"/>
          <w:b/>
          <w:sz w:val="20"/>
          <w:szCs w:val="20"/>
          <w:u w:val="single"/>
        </w:rPr>
        <w:t>területi lehatárolás</w:t>
      </w:r>
    </w:p>
    <w:p w:rsidR="00334EB6" w:rsidRPr="0065437B" w:rsidRDefault="00334EB6" w:rsidP="00334EB6">
      <w:pPr>
        <w:spacing w:after="120"/>
        <w:ind w:left="644"/>
        <w:rPr>
          <w:rFonts w:ascii="Verdana" w:hAnsi="Verdana"/>
          <w:b/>
          <w:sz w:val="20"/>
          <w:szCs w:val="20"/>
          <w:u w:val="single"/>
        </w:rPr>
      </w:pPr>
    </w:p>
    <w:p w:rsidR="00334EB6" w:rsidRPr="0065437B" w:rsidRDefault="00334EB6" w:rsidP="00334EB6">
      <w:pPr>
        <w:rPr>
          <w:rFonts w:ascii="Verdana" w:hAnsi="Verdana"/>
          <w:noProof/>
          <w:sz w:val="20"/>
          <w:szCs w:val="20"/>
        </w:rPr>
      </w:pPr>
      <w:r w:rsidRPr="0065437B">
        <w:rPr>
          <w:rFonts w:ascii="Verdana" w:hAnsi="Verdana"/>
          <w:noProof/>
          <w:sz w:val="20"/>
          <w:szCs w:val="20"/>
        </w:rPr>
        <w:t>Szombathely, Hunyadi J. u. 5-7., 6615/1, 6615/24, 6615/25, 6615/26, 6615/27, 6615/28, 6615/29 és 8262/2 hrsz-ú telken.</w:t>
      </w:r>
    </w:p>
    <w:p w:rsidR="00334EB6" w:rsidRPr="0065437B" w:rsidRDefault="00334EB6" w:rsidP="00334EB6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>
            <wp:extent cx="5257800" cy="4433015"/>
            <wp:effectExtent l="19050" t="19050" r="19050" b="24765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59" cy="44356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b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sz w:val="20"/>
          <w:szCs w:val="20"/>
          <w:u w:val="single"/>
        </w:rPr>
        <w:t>A projekt célja: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rossz műszaki-fizikai állapotú meglévő belvárosi vásárcsarnok értéknövelő komplex felújítása a környező vidék helyi élelmiszeripari termékeinek piacra juttatása, valamint a </w:t>
      </w:r>
      <w:r>
        <w:rPr>
          <w:rFonts w:ascii="Verdana" w:eastAsiaTheme="minorHAnsi" w:hAnsi="Verdana"/>
          <w:sz w:val="20"/>
          <w:szCs w:val="20"/>
        </w:rPr>
        <w:t>b</w:t>
      </w:r>
      <w:r w:rsidRPr="0065437B">
        <w:rPr>
          <w:rFonts w:ascii="Verdana" w:eastAsiaTheme="minorHAnsi" w:hAnsi="Verdana"/>
          <w:sz w:val="20"/>
          <w:szCs w:val="20"/>
        </w:rPr>
        <w:t>elváros vonzerejének növelése és szolgáltatásainak fejle</w:t>
      </w:r>
      <w:r>
        <w:rPr>
          <w:rFonts w:ascii="Verdana" w:eastAsiaTheme="minorHAnsi" w:hAnsi="Verdana"/>
          <w:sz w:val="20"/>
          <w:szCs w:val="20"/>
        </w:rPr>
        <w:t>sztése érdekében, és ezáltal a b</w:t>
      </w:r>
      <w:r w:rsidRPr="0065437B">
        <w:rPr>
          <w:rFonts w:ascii="Verdana" w:eastAsiaTheme="minorHAnsi" w:hAnsi="Verdana"/>
          <w:sz w:val="20"/>
          <w:szCs w:val="20"/>
        </w:rPr>
        <w:t>elváros valamint az egész város népességvonzó és megtartó erejének növelése érdekében.</w:t>
      </w:r>
    </w:p>
    <w:p w:rsidR="00334EB6" w:rsidRPr="00334EB6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vidékkel harmonikus kapcsolatban a falvakban termelt egészséges élelmiszerek rövid csatornás eljuttatásának biztosítása a város és a FVT fogyasztói felé, a vidéki őstermelők piacra jutásának támogatása és a szükséges városi létesítmények fejlesztése. Fontos volna megoldani a közvetlen környezet közlekedési anomáliáit, a parkoló felületek gazdaságos felhasználását, felületeinek megújítását. A közvetlen környezetben szegényesen megjelenő zöldfelületek megújítását, lehetőség szerinti nagyságrendekkel történő megnövelését akár az épületek felületein, tetőzetén. Az épület árufeltöltési rendszerét át kell gondolni,</w:t>
      </w:r>
      <w:r>
        <w:rPr>
          <w:rFonts w:ascii="Verdana" w:eastAsiaTheme="minorHAnsi" w:hAnsi="Verdana"/>
          <w:sz w:val="20"/>
          <w:szCs w:val="20"/>
        </w:rPr>
        <w:t xml:space="preserve"> akár időben ütemezve megoldani, a</w:t>
      </w:r>
      <w:r w:rsidRPr="0065437B">
        <w:rPr>
          <w:rFonts w:ascii="Verdana" w:eastAsiaTheme="minorHAnsi" w:hAnsi="Verdana"/>
          <w:sz w:val="20"/>
          <w:szCs w:val="20"/>
        </w:rPr>
        <w:t xml:space="preserve">z épület délnyugati kétszintes, építészetileg összeépített, burjánzó épületrészét </w:t>
      </w:r>
      <w:r>
        <w:rPr>
          <w:rFonts w:ascii="Verdana" w:eastAsiaTheme="minorHAnsi" w:hAnsi="Verdana"/>
          <w:sz w:val="20"/>
          <w:szCs w:val="20"/>
        </w:rPr>
        <w:t>egységes arculattal javasolt ellátni.</w:t>
      </w:r>
      <w:bookmarkStart w:id="0" w:name="_GoBack"/>
      <w:bookmarkEnd w:id="0"/>
      <w:r w:rsidRPr="0065437B">
        <w:rPr>
          <w:rFonts w:ascii="Verdana" w:eastAsiaTheme="minorHAnsi" w:hAnsi="Verdana"/>
          <w:color w:val="FFFFFF"/>
          <w:sz w:val="20"/>
          <w:szCs w:val="20"/>
        </w:rPr>
        <w:t xml:space="preserve"> gazdájának megnevezése:</w:t>
      </w:r>
    </w:p>
    <w:p w:rsidR="00334EB6" w:rsidRPr="0065437B" w:rsidRDefault="00334EB6" w:rsidP="00334EB6">
      <w:pPr>
        <w:jc w:val="both"/>
        <w:rPr>
          <w:rFonts w:ascii="Verdana" w:eastAsiaTheme="minorHAnsi" w:hAnsi="Verdana"/>
          <w:b/>
          <w:color w:val="000000"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color w:val="000000"/>
          <w:sz w:val="20"/>
          <w:szCs w:val="20"/>
          <w:u w:val="single"/>
        </w:rPr>
        <w:t>Tevékenység leírása: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3.1.1. Önállóan támogatható tevékenységek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b.) Meglévő piaci terület, átalakítása, felújítása, bővítése, korszerűsítése, helyreállítása.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hu-HU"/>
        </w:rPr>
        <w:drawing>
          <wp:inline distT="0" distB="0" distL="0" distR="0">
            <wp:extent cx="5267325" cy="3467100"/>
            <wp:effectExtent l="0" t="0" r="0" b="0"/>
            <wp:docPr id="1" name="Kép 1" descr="C:\Users\User\AppData\Local\Microsoft\Windows\INetCache\Content.Word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fot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Jelenleg a piacon 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beltéri lévő üzletek 100%-ban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-bérbeadás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útján- hasznosítva vannak,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kültéri elárusítóhelyek kihasználtsága alacsonyabb szintű,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fontos szempont a helyi termékek piacra juttatása,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helyi termék piac szabadtéren történő elhelyezése,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az épület előtti téren vagy egyéb nyitott területen helyi termelői piac kialakítása (MMIK előtti termelői piac áthelyezésével),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fontos szempont a meglévő bérlők megtartása.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piac fejlesztésére vonatkozóan az alábbi koncepció átgondolását javasoljuk: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108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Meglévő vásárcsarnok épület felújítása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Első csarnok: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külső megjelenés mai </w:t>
      </w:r>
      <w:r>
        <w:rPr>
          <w:rFonts w:ascii="Verdana" w:eastAsiaTheme="minorHAnsi" w:hAnsi="Verdana"/>
          <w:sz w:val="20"/>
          <w:szCs w:val="20"/>
        </w:rPr>
        <w:t xml:space="preserve">új </w:t>
      </w:r>
      <w:r w:rsidRPr="0065437B">
        <w:rPr>
          <w:rFonts w:ascii="Verdana" w:eastAsiaTheme="minorHAnsi" w:hAnsi="Verdana"/>
          <w:sz w:val="20"/>
          <w:szCs w:val="20"/>
        </w:rPr>
        <w:t>arculattal történő átalakítása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fejépület funkcionális, építészeti tisztázása,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megújuló homlokzati koncepció kialakítása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WC</w:t>
      </w:r>
      <w:r>
        <w:rPr>
          <w:rFonts w:ascii="Verdana" w:eastAsiaTheme="minorHAnsi" w:hAnsi="Verdana"/>
          <w:sz w:val="20"/>
          <w:szCs w:val="20"/>
        </w:rPr>
        <w:t>-k</w:t>
      </w:r>
      <w:r w:rsidRPr="0065437B">
        <w:rPr>
          <w:rFonts w:ascii="Verdana" w:eastAsiaTheme="minorHAnsi" w:hAnsi="Verdana"/>
          <w:sz w:val="20"/>
          <w:szCs w:val="20"/>
        </w:rPr>
        <w:t>, mosdók, vizes blokk</w:t>
      </w:r>
      <w:r>
        <w:rPr>
          <w:rFonts w:ascii="Verdana" w:eastAsiaTheme="minorHAnsi" w:hAnsi="Verdana"/>
          <w:sz w:val="20"/>
          <w:szCs w:val="20"/>
        </w:rPr>
        <w:t>ok</w:t>
      </w:r>
      <w:r w:rsidRPr="0065437B">
        <w:rPr>
          <w:rFonts w:ascii="Verdana" w:eastAsiaTheme="minorHAnsi" w:hAnsi="Verdana"/>
          <w:sz w:val="20"/>
          <w:szCs w:val="20"/>
        </w:rPr>
        <w:t xml:space="preserve"> megújítása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Teljes körű akadálymentesítés</w:t>
      </w:r>
      <w:r>
        <w:rPr>
          <w:rFonts w:ascii="Verdana" w:eastAsiaTheme="minorHAnsi" w:hAnsi="Verdana"/>
          <w:sz w:val="20"/>
          <w:szCs w:val="20"/>
        </w:rPr>
        <w:t>, szükség esetén lift telepítése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tetőszigetelés</w:t>
      </w:r>
      <w:r>
        <w:rPr>
          <w:rFonts w:ascii="Verdana" w:eastAsiaTheme="minorHAnsi" w:hAnsi="Verdana"/>
          <w:sz w:val="20"/>
          <w:szCs w:val="20"/>
        </w:rPr>
        <w:t>, felülvilágítók felújítása, szellőztethetőség, árnyékolás megoldásával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hulladékgazdálkodás megújítása, komposztálás, zárt hulladékgyűjtés, szelektív gyűjtés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helyi termék részére előtetőkkel kültéri árusítóhelyek fejlesztése</w:t>
      </w:r>
    </w:p>
    <w:p w:rsidR="00334EB6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</w:p>
    <w:p w:rsidR="00334EB6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Hátsó csarnok: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felújítás: padozat, belső üzletek átalakítása, gépészet, festés, nyílászárók cseréje,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felülvilágító</w:t>
      </w:r>
      <w:r>
        <w:rPr>
          <w:rFonts w:ascii="Verdana" w:eastAsiaTheme="minorHAnsi" w:hAnsi="Verdana"/>
          <w:sz w:val="20"/>
          <w:szCs w:val="20"/>
        </w:rPr>
        <w:t>k felújítása, árnyékolás, szellőztethetőség megoldásával.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külső kis üzlethelyiségek kibontásával oldalfelületek újjáépítése, új üzletek kialakítása</w:t>
      </w:r>
      <w:r>
        <w:rPr>
          <w:rFonts w:ascii="Verdana" w:eastAsiaTheme="minorHAnsi" w:hAnsi="Verdana"/>
          <w:sz w:val="20"/>
          <w:szCs w:val="20"/>
        </w:rPr>
        <w:t xml:space="preserve"> (fűtési lehetőség biztosításával)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az 1. csarnokkal történő csatlakoztatása tetővel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helyi termék részére előtetőkkel kültéri árusítás fejlesztése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villamos energia ellátás újragondolása, egyedi fogyasztásmérők telepítésével.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esetleges bontással új csarnok építése</w:t>
      </w:r>
      <w:r>
        <w:rPr>
          <w:rFonts w:ascii="Verdana" w:eastAsiaTheme="minorHAnsi" w:hAnsi="Verdana"/>
          <w:sz w:val="20"/>
          <w:szCs w:val="20"/>
        </w:rPr>
        <w:t xml:space="preserve"> igényeknek megfelelően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Közvetlen környezet: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parkolási rendszer átgondolása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közlekedési rendszer átgondolása (megközelítés, terület elhagyása)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árumozgatási rendszer átgondolása</w:t>
      </w:r>
    </w:p>
    <w:p w:rsidR="00334EB6" w:rsidRPr="00DF0BB7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DF0BB7">
        <w:rPr>
          <w:rFonts w:ascii="Verdana" w:eastAsiaTheme="minorHAnsi" w:hAnsi="Verdana"/>
          <w:sz w:val="20"/>
          <w:szCs w:val="20"/>
        </w:rPr>
        <w:t>zöldfelületek megújítása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zöldfelületek tervezése homlokzatra, tetőzetekre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külső </w:t>
      </w:r>
      <w:r>
        <w:rPr>
          <w:rFonts w:ascii="Verdana" w:eastAsiaTheme="minorHAnsi" w:hAnsi="Verdana"/>
          <w:sz w:val="20"/>
          <w:szCs w:val="20"/>
        </w:rPr>
        <w:t>vásárrész szerepének tisztázása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Default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t xml:space="preserve">Építészeti és környezeti leírás </w:t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t>I. Elemzés: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Szombathely városi vásárcsarnok a Hunyadi út – Barátság u. és a Szt. Márton u. – Szőkeföldi u. által határolt területen található. Északról a parkolók sávján túl 10 emeletes, nyugatról pedig 4 emeletes panel lakóházak határolják, a déli oldalon kisvárosias lakóterülettel szomszédos. Nyugati oldalról a Hunyadi u. négysávos aszfaltja húzódik.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inline distT="0" distB="0" distL="0" distR="0">
            <wp:extent cx="5760720" cy="3379293"/>
            <wp:effectExtent l="19050" t="0" r="0" b="0"/>
            <wp:docPr id="10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proofErr w:type="spellStart"/>
      <w:r w:rsidRPr="0065437B">
        <w:rPr>
          <w:rFonts w:ascii="Verdana" w:eastAsiaTheme="minorHAnsi" w:hAnsi="Verdana"/>
          <w:sz w:val="20"/>
          <w:szCs w:val="20"/>
        </w:rPr>
        <w:t>Légifotó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a piacról és környékéről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Jelenleg a piac környezete parkoló autóktól zsúfolt, a megközelítés nehézkes. Mivel a lakótelepen élők között is egyre több az autótulajdonos, így az épületek alatt elhelyezett garázsok kevésnek bizonyulnak, annál is inkább, hogy sokat üzletté alakítottak át. Így a környéken lakók is kénytelenek a piac parkolójában megállni, ezáltal piaci napokon a parkolók kevésnek bizonyulnak, különösen a szabadnapokon, szombaton délelőttönként érzékelhető ez.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Szintén problémát okoz, hogy az üzletek/árusok rakodóhelyei és a vásárlóközönség parkolóhelyei nem különülnek el. A teherautós, autós, kerékpáros és gyalogos közlekedés gyakorlatilag ugyanott történik, ami meglehetősen balesetveszélyes. Meg kell még említeni, hogy a piacra járók közül sokan kerékpárral közlekednek, viszont ezek (esetleg fedett) tárolása nem megoldott.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lastRenderedPageBreak/>
        <w:t>A vizsgált területen növényzet alig található, a meglévők meglehetősen elhanyagoltak. A piac és a Szt. Márton utca közé szorult lakóépületek semmilyen zöldfelülettel nem érintkeznek. Nehéz megfejteni azt, hogy hogyan jött létre ezen a területen ilyen kedvezőtlen adottságú beépítés, hiszen ez a mind közönség-, mind árufeltöltési forgalmát nézve- nagy forgalmú létesítmény úgy került egy lakótelepi beépítés és kisvárosi lakóterületi városszövet közé, hogy semmiféle lehatároló-védő puffer-zóna nem választja el tőlük. A közös érintkező felület a parkoló-közlekedő zóna, ami természetszerűleg vonja maga után a közlekedési parkolási gondokat, koszolódási- erodálódási folyamatokat indukálva.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Problémás a terület megközelítése, problémás a terület elhagyása. Az elárusítótér praktikusnak tűnő, közvetlenül és minden oldalról történő feltöltése azt eredményezi, hogy végkép elveszíti a környezettel a kapcsolatát a piaci elárusítás. A környezeti kapcsolatot a kültéri piac jelenti a kisvárosi beépítésbe ékelődő foghíj telek területén. Az erodálódás - építészetileg- megfigyelhető ezen a területen is, az ide épült új épületek építészeti kialakításában, minőségében.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túloldali lakótelep lakói a piacterületnek csak a hátrányaiból részesülnek: A városközpont kiemelt forgalmú kivezető útjainak találkozása egyik oldalról, másik oldalról a kiszolgáló funkciókkal feléjük forduló piac a maga összes hátrányával (parkolók, és a feltöltés zaj-, hang-, szag-, és vizuális hatásai).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Mindezek ellenére, bár forgalmát lecsökkentették a városszéli bevásárló központok, a piac működik, mérsékelten bár, de nyereséges. Ez azt jelenti, hogy erre a tevékenységre igény van itt.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inline distT="0" distB="0" distL="0" distR="0">
            <wp:extent cx="5760720" cy="1402666"/>
            <wp:effectExtent l="1905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Default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  <w:r>
        <w:rPr>
          <w:rFonts w:ascii="Verdana" w:eastAsiaTheme="minorHAnsi" w:hAnsi="Verdana"/>
          <w:b/>
          <w:bCs/>
          <w:sz w:val="20"/>
          <w:szCs w:val="20"/>
          <w:u w:val="single"/>
        </w:rPr>
        <w:br w:type="page"/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lastRenderedPageBreak/>
        <w:t>III. Funkcionális leírás és helyiséglisták:</w:t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bCs/>
          <w:noProof/>
          <w:sz w:val="20"/>
          <w:szCs w:val="20"/>
          <w:u w:val="single"/>
          <w:lang w:eastAsia="hu-HU"/>
        </w:rPr>
        <w:drawing>
          <wp:inline distT="0" distB="0" distL="0" distR="0">
            <wp:extent cx="5719727" cy="3124200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76" cy="31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jelenlegi piac területén 3 épület található. A Hunyadi u. felőli első épület a piac többszintes fejépülete, illetve egy mögé épített vásárcsarnok. A fejépület pince + fszt. + emelet + galéria szintből áll. A pinceszinten található helyiségek nagyrészt gépészeti helyiségek illetve raktárak. A </w:t>
      </w:r>
      <w:proofErr w:type="gramStart"/>
      <w:r w:rsidRPr="0065437B">
        <w:rPr>
          <w:rFonts w:ascii="Verdana" w:eastAsiaTheme="minorHAnsi" w:hAnsi="Verdana"/>
          <w:sz w:val="20"/>
          <w:szCs w:val="20"/>
        </w:rPr>
        <w:t>szellőző-</w:t>
      </w:r>
      <w:proofErr w:type="gramEnd"/>
      <w:r w:rsidRPr="0065437B">
        <w:rPr>
          <w:rFonts w:ascii="Verdana" w:eastAsiaTheme="minorHAnsi" w:hAnsi="Verdana"/>
          <w:sz w:val="20"/>
          <w:szCs w:val="20"/>
        </w:rPr>
        <w:t xml:space="preserve"> ill. hűtőgépek találhatók itt, valamint a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GoodsMarket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üzlet egyes raktárai, amelyeket a földszintről csak lifttel lehet megközelíteni. A pincében található az épület kazánja is.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623570</wp:posOffset>
            </wp:positionV>
            <wp:extent cx="2173605" cy="1633855"/>
            <wp:effectExtent l="19050" t="0" r="0" b="0"/>
            <wp:wrapSquare wrapText="bothSides"/>
            <wp:docPr id="6" name="Kép 6" descr="http://www.alon.hu/ezimagecatalogue/catalogue/variations/3563-4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on.hu/ezimagecatalogue/catalogue/variations/3563-40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37B">
        <w:rPr>
          <w:rFonts w:ascii="Verdana" w:eastAsiaTheme="minorHAnsi" w:hAnsi="Verdana"/>
          <w:sz w:val="20"/>
          <w:szCs w:val="20"/>
        </w:rPr>
        <w:t xml:space="preserve">A földszinten a Hunyadi u. felől érkezve jobbra a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GoodsMarket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vegyiáru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üzlet található gazdasági helyiségeivel, balra pedig az átjáró mentén kisebb bérlők különböző üzletei találhatók. Van közöttük újságárus, presszó, hentes üzlet, dohányáru és virágüzlet. Az átjárón keresztüljutva a fedett piactér található a piacosok áruló asztalaival, körben kisebb üzletekkel.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Ezek jellemzően szintén élelmiszer üzletek. A déli oldalon egy kisebb helyiségben kapott helyet a gombavizsgáló, mellette a férfi – női mosdók találhatóak. Ezek mellett következnek a takarítók tároló és személyzeti helyiségei. A csarnok déli és északi oldalán vezet fel a lépcső az emeletre. Az északi lépcsőn felérkezve a piac igazgatóságának irodái találhatók egy raktárral, egy irattárral és a </w:t>
      </w:r>
      <w:r w:rsidRPr="0065437B">
        <w:rPr>
          <w:rFonts w:ascii="Verdana" w:eastAsiaTheme="minorHAnsi" w:hAnsi="Verdana"/>
          <w:sz w:val="20"/>
          <w:szCs w:val="20"/>
        </w:rPr>
        <w:lastRenderedPageBreak/>
        <w:t>dohányzó helyiséggel, valamint férfi és női mosdóval. A déli lépcsőn pedig egy italboltot és egy kisvendéglőt érünk el. Egy harmadik, külső lépcső is vezet az emeletre az épület északi oldaláról. Ezen a lépcsőn egy kávézóhoz valamint egy ruházati üzlethez érkezünk. Az üzletből alacsony belmagasságú galéria szint is megközelíthető. Ez a helyiség valamikor szórakozóhelyként működött.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középső épület egy fedett piactér, körben szintén üzletekkel. Bejáratai az északi, nyugati és keleti oldalról nyílnak. Az üzletek között találunk ruházati, rövidáru üzletet, régiségkereskedést. Az épületben szintén található közönségforgalmi mosdó.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harmadik épületben jelenleg a Gazdaáruház működik. Ennek bejárata az északi oldalon találhatóak. Az eladótér mögött délről a gazdasági helyiségek (irodák, öltözők és raktárak) helyezkednek el. A középső épület és a Gazdaáruház közötti udvar az utcától kerítéssel elzárt. Ebben az udvarban utólag egy kisebb raktárépület épült, mely a Gazdaáruházhoz tartozik.</w:t>
      </w:r>
      <w:r>
        <w:rPr>
          <w:rFonts w:ascii="Verdana" w:eastAsiaTheme="minorHAnsi" w:hAnsi="Verdana"/>
          <w:sz w:val="20"/>
          <w:szCs w:val="20"/>
        </w:rPr>
        <w:t xml:space="preserve"> Az Önkormányzat az áruház tulajdonosi körével tárgyalásokat kezdeményezett az üzlet, piaccal együtt történő fejlesztéséről, mely nagyban befolyásolja projekt műszaki szakmai tartalmának végleges meghatározását.</w:t>
      </w:r>
    </w:p>
    <w:p w:rsidR="00334EB6" w:rsidRDefault="00334EB6" w:rsidP="00334EB6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334EB6" w:rsidRPr="00E63F7F" w:rsidRDefault="00334EB6" w:rsidP="00334EB6">
      <w:pPr>
        <w:keepNext/>
        <w:jc w:val="both"/>
        <w:outlineLvl w:val="0"/>
        <w:rPr>
          <w:rFonts w:ascii="Verdana" w:hAnsi="Verdana"/>
          <w:b/>
          <w:bCs/>
          <w:iCs/>
          <w:sz w:val="20"/>
          <w:szCs w:val="20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t>2</w:t>
      </w:r>
      <w:r w:rsidRPr="0040453F">
        <w:rPr>
          <w:rFonts w:ascii="Verdana" w:hAnsi="Verdana"/>
          <w:bCs/>
          <w:iCs/>
          <w:sz w:val="20"/>
          <w:szCs w:val="20"/>
          <w:u w:val="single"/>
        </w:rPr>
        <w:t>.</w:t>
      </w:r>
      <w:r>
        <w:rPr>
          <w:rFonts w:ascii="Verdana" w:hAnsi="Verdana"/>
          <w:bCs/>
          <w:iCs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bCs/>
          <w:iCs/>
          <w:sz w:val="20"/>
          <w:szCs w:val="20"/>
          <w:u w:val="single"/>
        </w:rPr>
        <w:t>A projekt</w:t>
      </w:r>
      <w:r w:rsidRPr="0040453F">
        <w:rPr>
          <w:rFonts w:ascii="Verdana" w:hAnsi="Verdana"/>
          <w:b/>
          <w:bCs/>
          <w:iCs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bCs/>
          <w:iCs/>
          <w:sz w:val="20"/>
          <w:szCs w:val="20"/>
          <w:u w:val="single"/>
        </w:rPr>
        <w:t>költségvetése</w:t>
      </w:r>
      <w:r w:rsidRPr="00E63F7F">
        <w:rPr>
          <w:rFonts w:ascii="Verdana" w:hAnsi="Verdana"/>
          <w:b/>
          <w:bCs/>
          <w:iCs/>
          <w:sz w:val="20"/>
          <w:szCs w:val="20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>
        <w:rPr>
          <w:rFonts w:ascii="Verdana" w:hAnsi="Verdana"/>
          <w:b/>
          <w:bCs/>
          <w:sz w:val="20"/>
          <w:szCs w:val="20"/>
          <w:lang w:eastAsia="ar-SA"/>
        </w:rPr>
        <w:tab/>
      </w:r>
      <w:r w:rsidRPr="00E63F7F">
        <w:rPr>
          <w:rFonts w:ascii="Verdana" w:hAnsi="Verdana"/>
          <w:b/>
          <w:bCs/>
          <w:sz w:val="20"/>
          <w:szCs w:val="20"/>
          <w:lang w:eastAsia="ar-SA"/>
        </w:rPr>
        <w:t>bruttó Ft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6512"/>
        <w:gridCol w:w="2654"/>
      </w:tblGrid>
      <w:tr w:rsidR="00334EB6" w:rsidRPr="00EE7492" w:rsidTr="00CC62BF">
        <w:trPr>
          <w:trHeight w:val="1065"/>
          <w:jc w:val="center"/>
        </w:trPr>
        <w:tc>
          <w:tcPr>
            <w:tcW w:w="3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  <w:hideMark/>
          </w:tcPr>
          <w:p w:rsidR="00334EB6" w:rsidRPr="00EE7492" w:rsidRDefault="00334EB6" w:rsidP="00CC62BF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Helyi szintű komplex programok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34EB6" w:rsidRPr="00EE7492" w:rsidRDefault="00334EB6" w:rsidP="00CC62BF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Elszámolható költségek</w:t>
            </w:r>
          </w:p>
        </w:tc>
      </w:tr>
      <w:tr w:rsidR="00334EB6" w:rsidRPr="00EE7492" w:rsidTr="00CC62BF">
        <w:trPr>
          <w:trHeight w:val="440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CC62BF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color w:val="000000"/>
                <w:sz w:val="20"/>
                <w:szCs w:val="20"/>
              </w:rPr>
              <w:t>Projekt előkészítési költségek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(tervezés, üzleti terv, CBA, közbeszerzés)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FB60E3" w:rsidRDefault="00334EB6" w:rsidP="00CC62BF">
            <w:pPr>
              <w:jc w:val="right"/>
              <w:rPr>
                <w:rFonts w:ascii="Verdana" w:hAnsi="Verdana"/>
                <w:color w:val="000000"/>
                <w:sz w:val="20"/>
                <w:szCs w:val="20"/>
                <w:highlight w:val="yellow"/>
              </w:rPr>
            </w:pPr>
            <w:r w:rsidRPr="00D5296A">
              <w:rPr>
                <w:rFonts w:ascii="Verdana" w:hAnsi="Verdana"/>
                <w:color w:val="000000"/>
                <w:sz w:val="20"/>
                <w:szCs w:val="20"/>
              </w:rPr>
              <w:t>127 000 000</w:t>
            </w:r>
          </w:p>
        </w:tc>
      </w:tr>
      <w:tr w:rsidR="00334EB6" w:rsidRPr="00EE7492" w:rsidTr="00CC62BF">
        <w:trPr>
          <w:trHeight w:val="480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CC62BF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Építési beruházás költségei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334EB6" w:rsidP="00CC62BF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1 980 630 000</w:t>
            </w:r>
          </w:p>
        </w:tc>
      </w:tr>
      <w:tr w:rsidR="00334EB6" w:rsidRPr="00EE7492" w:rsidTr="00CC62BF">
        <w:trPr>
          <w:trHeight w:val="6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Default="00334EB6" w:rsidP="00CC62BF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color w:val="000000"/>
                <w:sz w:val="20"/>
                <w:szCs w:val="20"/>
              </w:rPr>
              <w:t>E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gyéb költségek </w:t>
            </w:r>
          </w:p>
          <w:p w:rsidR="00334EB6" w:rsidRPr="00CA2B3E" w:rsidRDefault="00334EB6" w:rsidP="00CC62BF">
            <w:pPr>
              <w:rPr>
                <w:rFonts w:ascii="Verdana" w:hAnsi="Verdana"/>
                <w:i/>
                <w:color w:val="000000"/>
                <w:sz w:val="20"/>
                <w:szCs w:val="20"/>
              </w:rPr>
            </w:pPr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(</w:t>
            </w:r>
            <w:proofErr w:type="spell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pr</w:t>
            </w:r>
            <w:proofErr w:type="spellEnd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men</w:t>
            </w:r>
            <w:proofErr w:type="spellEnd"/>
            <w:proofErr w:type="gram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.,</w:t>
            </w:r>
            <w:proofErr w:type="gramEnd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 xml:space="preserve"> nyilvánosság</w:t>
            </w:r>
            <w:r>
              <w:rPr>
                <w:rFonts w:ascii="Verdana" w:hAnsi="Verdana"/>
                <w:i/>
                <w:color w:val="000000"/>
                <w:sz w:val="20"/>
                <w:szCs w:val="20"/>
              </w:rPr>
              <w:t>, műszaki ellenőrzés</w:t>
            </w:r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334EB6" w:rsidP="00CC62BF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78 320 000</w:t>
            </w:r>
          </w:p>
        </w:tc>
      </w:tr>
      <w:tr w:rsidR="00334EB6" w:rsidRPr="00EE7492" w:rsidTr="00CC62BF">
        <w:trPr>
          <w:trHeight w:val="6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CC62BF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Tartalék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334EB6" w:rsidP="00CC62BF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115 050 000</w:t>
            </w:r>
          </w:p>
        </w:tc>
      </w:tr>
      <w:tr w:rsidR="00334EB6" w:rsidRPr="00EE7492" w:rsidTr="00CC62BF">
        <w:trPr>
          <w:trHeight w:val="3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CC62BF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b/>
                <w:color w:val="000000"/>
                <w:sz w:val="20"/>
                <w:szCs w:val="20"/>
              </w:rPr>
              <w:t>Összesen: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7A727B" w:rsidRDefault="00334EB6" w:rsidP="00334EB6">
            <w:pPr>
              <w:pStyle w:val="Listaszerbekezds"/>
              <w:numPr>
                <w:ilvl w:val="0"/>
                <w:numId w:val="12"/>
              </w:numPr>
              <w:spacing w:after="0" w:line="240" w:lineRule="auto"/>
              <w:contextualSpacing w:val="0"/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7A727B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301 000 000</w:t>
            </w:r>
          </w:p>
        </w:tc>
      </w:tr>
    </w:tbl>
    <w:p w:rsidR="00334EB6" w:rsidRDefault="00334EB6" w:rsidP="00334EB6">
      <w:pPr>
        <w:rPr>
          <w:rFonts w:ascii="Verdana" w:hAnsi="Verdana"/>
          <w:b/>
          <w:bCs/>
          <w:iCs/>
          <w:sz w:val="20"/>
          <w:szCs w:val="20"/>
          <w:u w:val="single"/>
        </w:rPr>
      </w:pPr>
    </w:p>
    <w:p w:rsidR="00334EB6" w:rsidRDefault="00334EB6">
      <w:pPr>
        <w:rPr>
          <w:rFonts w:ascii="Verdana" w:hAnsi="Verdana"/>
          <w:b/>
          <w:bCs/>
          <w:iCs/>
          <w:sz w:val="20"/>
          <w:szCs w:val="20"/>
          <w:u w:val="single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br w:type="page"/>
      </w:r>
    </w:p>
    <w:p w:rsidR="00334EB6" w:rsidRPr="007A727B" w:rsidRDefault="00334EB6" w:rsidP="00334EB6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lastRenderedPageBreak/>
        <w:t>3. A projekt</w:t>
      </w:r>
      <w:r w:rsidRPr="007A727B">
        <w:rPr>
          <w:rFonts w:ascii="Verdana" w:hAnsi="Verdana"/>
          <w:b/>
          <w:sz w:val="20"/>
          <w:szCs w:val="20"/>
          <w:u w:val="single"/>
        </w:rPr>
        <w:t xml:space="preserve"> eredményességét mérő mutatók</w:t>
      </w:r>
    </w:p>
    <w:p w:rsidR="00334EB6" w:rsidRPr="00D769A2" w:rsidRDefault="00334EB6" w:rsidP="00334EB6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334EB6" w:rsidRDefault="00334EB6" w:rsidP="00334EB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TOP-6.1.3-15</w:t>
      </w:r>
      <w:r w:rsidRPr="00EE7492">
        <w:rPr>
          <w:rFonts w:ascii="Verdana" w:hAnsi="Verdana"/>
          <w:sz w:val="20"/>
          <w:szCs w:val="20"/>
        </w:rPr>
        <w:t xml:space="preserve"> kód</w:t>
      </w:r>
      <w:r>
        <w:rPr>
          <w:rFonts w:ascii="Verdana" w:hAnsi="Verdana"/>
          <w:sz w:val="20"/>
          <w:szCs w:val="20"/>
        </w:rPr>
        <w:t xml:space="preserve">számú felhívás </w:t>
      </w:r>
      <w:r w:rsidRPr="00EE7492">
        <w:rPr>
          <w:rFonts w:ascii="Verdana" w:hAnsi="Verdana"/>
          <w:sz w:val="20"/>
          <w:szCs w:val="20"/>
        </w:rPr>
        <w:t>alapján:</w:t>
      </w:r>
    </w:p>
    <w:p w:rsidR="00334EB6" w:rsidRPr="00EE7492" w:rsidRDefault="00334EB6" w:rsidP="00334EB6">
      <w:pPr>
        <w:jc w:val="both"/>
        <w:rPr>
          <w:rFonts w:ascii="Verdana" w:hAnsi="Verdana"/>
          <w:sz w:val="20"/>
          <w:szCs w:val="20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2854"/>
        <w:gridCol w:w="1060"/>
        <w:gridCol w:w="1135"/>
        <w:gridCol w:w="1375"/>
        <w:gridCol w:w="1371"/>
        <w:gridCol w:w="1371"/>
      </w:tblGrid>
      <w:tr w:rsidR="00733D2D" w:rsidRPr="00EE7492" w:rsidTr="00A16EF9">
        <w:trPr>
          <w:trHeight w:val="1350"/>
        </w:trPr>
        <w:tc>
          <w:tcPr>
            <w:tcW w:w="1557" w:type="pct"/>
            <w:shd w:val="clear" w:color="auto" w:fill="D9D9D9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Indikátor megnevezése</w:t>
            </w:r>
          </w:p>
        </w:tc>
        <w:tc>
          <w:tcPr>
            <w:tcW w:w="578" w:type="pct"/>
            <w:shd w:val="clear" w:color="auto" w:fill="D9D9D9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Mérték-</w:t>
            </w:r>
          </w:p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egység</w:t>
            </w:r>
          </w:p>
        </w:tc>
        <w:tc>
          <w:tcPr>
            <w:tcW w:w="619" w:type="pct"/>
            <w:shd w:val="clear" w:color="auto" w:fill="D9D9D9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Típusa</w:t>
            </w:r>
          </w:p>
        </w:tc>
        <w:tc>
          <w:tcPr>
            <w:tcW w:w="750" w:type="pct"/>
            <w:shd w:val="clear" w:color="auto" w:fill="D9D9D9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ITP-ben</w:t>
            </w:r>
            <w:proofErr w:type="spellEnd"/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 xml:space="preserve"> vállalt</w:t>
            </w:r>
          </w:p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Célérték</w:t>
            </w:r>
          </w:p>
        </w:tc>
        <w:tc>
          <w:tcPr>
            <w:tcW w:w="748" w:type="pct"/>
            <w:shd w:val="clear" w:color="auto" w:fill="D9D9D9"/>
          </w:tcPr>
          <w:p w:rsidR="00733D2D" w:rsidRPr="00733D2D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733D2D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Jelen projekt keretében vállalt célérték</w:t>
            </w:r>
          </w:p>
        </w:tc>
        <w:tc>
          <w:tcPr>
            <w:tcW w:w="748" w:type="pct"/>
            <w:shd w:val="clear" w:color="auto" w:fill="D9D9D9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Azonosító</w:t>
            </w:r>
          </w:p>
        </w:tc>
      </w:tr>
      <w:tr w:rsidR="00733D2D" w:rsidRPr="00EE7492" w:rsidTr="00A16EF9">
        <w:trPr>
          <w:trHeight w:val="615"/>
        </w:trPr>
        <w:tc>
          <w:tcPr>
            <w:tcW w:w="1557" w:type="pct"/>
            <w:shd w:val="clear" w:color="auto" w:fill="auto"/>
            <w:vAlign w:val="center"/>
            <w:hideMark/>
          </w:tcPr>
          <w:p w:rsidR="00733D2D" w:rsidRPr="000A5CF7" w:rsidRDefault="00733D2D" w:rsidP="00733D2D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0A5CF7">
              <w:rPr>
                <w:rFonts w:ascii="Verdana" w:hAnsi="Verdana"/>
                <w:sz w:val="20"/>
                <w:szCs w:val="20"/>
              </w:rPr>
              <w:t xml:space="preserve">Támogatásban részesülő vállalkozások száma 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db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közös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vAlign w:val="center"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162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CO01</w:t>
            </w:r>
          </w:p>
        </w:tc>
      </w:tr>
      <w:tr w:rsidR="00733D2D" w:rsidRPr="00EE7492" w:rsidTr="00A16EF9">
        <w:trPr>
          <w:trHeight w:val="615"/>
        </w:trPr>
        <w:tc>
          <w:tcPr>
            <w:tcW w:w="1557" w:type="pct"/>
            <w:shd w:val="clear" w:color="auto" w:fill="auto"/>
            <w:vAlign w:val="center"/>
            <w:hideMark/>
          </w:tcPr>
          <w:p w:rsidR="00733D2D" w:rsidRPr="000A5CF7" w:rsidRDefault="00733D2D" w:rsidP="00733D2D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0A5CF7">
              <w:rPr>
                <w:rFonts w:ascii="Verdana" w:hAnsi="Verdana"/>
                <w:sz w:val="20"/>
                <w:szCs w:val="20"/>
              </w:rPr>
              <w:t xml:space="preserve">Vissza nem térítendő támogatásban részesülő vállalkozások száma 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db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közös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8" w:type="pct"/>
            <w:vAlign w:val="center"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CO02</w:t>
            </w:r>
          </w:p>
        </w:tc>
      </w:tr>
      <w:tr w:rsidR="00733D2D" w:rsidRPr="00EE7492" w:rsidTr="00A16EF9">
        <w:trPr>
          <w:trHeight w:val="615"/>
        </w:trPr>
        <w:tc>
          <w:tcPr>
            <w:tcW w:w="1557" w:type="pct"/>
            <w:shd w:val="clear" w:color="auto" w:fill="auto"/>
            <w:vAlign w:val="center"/>
            <w:hideMark/>
          </w:tcPr>
          <w:p w:rsidR="00733D2D" w:rsidRPr="000A5CF7" w:rsidRDefault="00733D2D" w:rsidP="00733D2D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0A5CF7">
              <w:rPr>
                <w:rFonts w:ascii="Verdana" w:hAnsi="Verdana"/>
                <w:sz w:val="20"/>
                <w:szCs w:val="20"/>
              </w:rPr>
              <w:t xml:space="preserve">A nem pénzügyi támogatásban részesülő vállalkozások száma 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db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közös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vAlign w:val="center"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CO04</w:t>
            </w:r>
          </w:p>
        </w:tc>
      </w:tr>
    </w:tbl>
    <w:p w:rsidR="00334EB6" w:rsidRDefault="00334EB6" w:rsidP="00334EB6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334EB6" w:rsidRPr="007A727B" w:rsidRDefault="00334EB6" w:rsidP="00334EB6">
      <w:pPr>
        <w:pStyle w:val="Listaszerbekezds"/>
        <w:keepNext/>
        <w:numPr>
          <w:ilvl w:val="0"/>
          <w:numId w:val="13"/>
        </w:numPr>
        <w:spacing w:before="240" w:after="100" w:line="240" w:lineRule="auto"/>
        <w:ind w:left="284" w:hanging="284"/>
        <w:jc w:val="both"/>
        <w:outlineLvl w:val="0"/>
        <w:rPr>
          <w:rFonts w:ascii="Verdana" w:hAnsi="Verdana"/>
          <w:bCs/>
          <w:iCs/>
          <w:sz w:val="20"/>
          <w:szCs w:val="20"/>
        </w:rPr>
      </w:pPr>
      <w:r w:rsidRPr="007A727B">
        <w:rPr>
          <w:rFonts w:ascii="Verdana" w:hAnsi="Verdana"/>
          <w:b/>
          <w:sz w:val="20"/>
          <w:szCs w:val="20"/>
          <w:u w:val="single"/>
        </w:rPr>
        <w:t>Projekt megvalósítás tervezett időtartama</w:t>
      </w:r>
      <w:r>
        <w:rPr>
          <w:rFonts w:ascii="Verdana" w:hAnsi="Verdana"/>
          <w:b/>
          <w:sz w:val="20"/>
          <w:szCs w:val="20"/>
        </w:rPr>
        <w:t xml:space="preserve"> 2016.09.30-2019.03.24</w:t>
      </w:r>
      <w:r w:rsidRPr="007A727B">
        <w:rPr>
          <w:rFonts w:ascii="Verdana" w:hAnsi="Verdana"/>
          <w:b/>
          <w:sz w:val="20"/>
          <w:szCs w:val="20"/>
        </w:rPr>
        <w:t>. (</w:t>
      </w:r>
      <w:r>
        <w:rPr>
          <w:rFonts w:ascii="Verdana" w:hAnsi="Verdana"/>
          <w:b/>
          <w:sz w:val="20"/>
          <w:szCs w:val="20"/>
        </w:rPr>
        <w:t>30</w:t>
      </w:r>
      <w:r w:rsidRPr="007A727B">
        <w:rPr>
          <w:rFonts w:ascii="Verdana" w:hAnsi="Verdana"/>
          <w:b/>
          <w:sz w:val="20"/>
          <w:szCs w:val="20"/>
        </w:rPr>
        <w:t xml:space="preserve"> hónap)</w:t>
      </w:r>
    </w:p>
    <w:p w:rsidR="00334EB6" w:rsidRPr="00703F86" w:rsidRDefault="00334EB6" w:rsidP="00334EB6">
      <w:pPr>
        <w:jc w:val="both"/>
        <w:rPr>
          <w:rFonts w:ascii="Verdana" w:hAnsi="Verdana"/>
          <w:i/>
          <w:sz w:val="20"/>
          <w:szCs w:val="20"/>
        </w:rPr>
      </w:pPr>
    </w:p>
    <w:p w:rsidR="00334EB6" w:rsidRPr="007A727B" w:rsidRDefault="00334EB6" w:rsidP="00334EB6">
      <w:pPr>
        <w:pStyle w:val="Listaszerbekezds"/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Verdana" w:hAnsi="Verdana"/>
          <w:b/>
          <w:sz w:val="20"/>
          <w:szCs w:val="20"/>
          <w:u w:val="single"/>
        </w:rPr>
      </w:pPr>
      <w:r w:rsidRPr="007A727B">
        <w:rPr>
          <w:rFonts w:ascii="Verdana" w:hAnsi="Verdana"/>
          <w:b/>
          <w:sz w:val="20"/>
          <w:szCs w:val="20"/>
          <w:u w:val="single"/>
        </w:rPr>
        <w:t>Fenntartási kötelezettség</w:t>
      </w:r>
    </w:p>
    <w:p w:rsidR="00334EB6" w:rsidRPr="00F85F74" w:rsidRDefault="00334EB6" w:rsidP="00334EB6">
      <w:pPr>
        <w:pStyle w:val="Listaszerbekezds"/>
        <w:autoSpaceDE w:val="0"/>
        <w:autoSpaceDN w:val="0"/>
        <w:adjustRightInd w:val="0"/>
        <w:ind w:left="501"/>
        <w:rPr>
          <w:rFonts w:ascii="Verdana" w:hAnsi="Verdana"/>
          <w:b/>
          <w:sz w:val="20"/>
          <w:szCs w:val="20"/>
        </w:rPr>
      </w:pPr>
    </w:p>
    <w:p w:rsidR="00334EB6" w:rsidRPr="00A4676E" w:rsidRDefault="00334EB6" w:rsidP="00334EB6">
      <w:pPr>
        <w:spacing w:after="120"/>
        <w:ind w:left="142"/>
        <w:jc w:val="both"/>
        <w:rPr>
          <w:rFonts w:eastAsiaTheme="minorHAnsi"/>
        </w:rPr>
      </w:pPr>
      <w:r w:rsidRPr="00F56A3C">
        <w:rPr>
          <w:rFonts w:ascii="Verdana" w:hAnsi="Verdana"/>
          <w:b/>
          <w:sz w:val="20"/>
          <w:szCs w:val="20"/>
        </w:rPr>
        <w:t xml:space="preserve"> A projekt befejezésétől számított 5 év.</w:t>
      </w:r>
    </w:p>
    <w:p w:rsidR="00291484" w:rsidRDefault="00291484">
      <w:pPr>
        <w:rPr>
          <w:szCs w:val="24"/>
        </w:rPr>
      </w:pPr>
    </w:p>
    <w:p w:rsidR="008B2056" w:rsidRPr="005E55CF" w:rsidRDefault="008B2056" w:rsidP="005E55CF">
      <w:pPr>
        <w:rPr>
          <w:szCs w:val="24"/>
        </w:rPr>
      </w:pPr>
    </w:p>
    <w:sectPr w:rsidR="008B2056" w:rsidRPr="005E55CF" w:rsidSect="005E55C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54" w:right="1440" w:bottom="1440" w:left="1440" w:header="284" w:footer="30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7E5" w:rsidRDefault="00BC47E5" w:rsidP="00856378">
      <w:pPr>
        <w:spacing w:after="0" w:line="240" w:lineRule="auto"/>
      </w:pPr>
      <w:r>
        <w:separator/>
      </w:r>
    </w:p>
  </w:endnote>
  <w:endnote w:type="continuationSeparator" w:id="0">
    <w:p w:rsidR="00BC47E5" w:rsidRDefault="00BC47E5" w:rsidP="0085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484" w:rsidRDefault="00291484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>
      <w:rPr>
        <w:rFonts w:ascii="Verdana" w:hAnsi="Verdana"/>
        <w:color w:val="17365D" w:themeColor="text2" w:themeShade="BF"/>
        <w:sz w:val="18"/>
        <w:szCs w:val="18"/>
      </w:rPr>
      <w:tab/>
    </w:r>
    <w:r w:rsidRPr="00291484">
      <w:rPr>
        <w:rFonts w:ascii="Verdana" w:hAnsi="Verdana"/>
        <w:noProof/>
        <w:color w:val="17365D" w:themeColor="text2" w:themeShade="BF"/>
        <w:sz w:val="18"/>
        <w:szCs w:val="18"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15240</wp:posOffset>
          </wp:positionV>
          <wp:extent cx="762000" cy="504825"/>
          <wp:effectExtent l="19050" t="0" r="0" b="0"/>
          <wp:wrapSquare wrapText="bothSides"/>
          <wp:docPr id="5" name="Kép 2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681" t="25186" r="10581" b="35185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5475">
      <w:rPr>
        <w:rFonts w:ascii="Verdana" w:hAnsi="Verdana"/>
        <w:color w:val="17365D" w:themeColor="text2" w:themeShade="BF"/>
        <w:sz w:val="18"/>
        <w:szCs w:val="18"/>
      </w:rPr>
      <w:t>Savaria Városfejlesztési Nonprofit Kft.</w:t>
    </w:r>
  </w:p>
  <w:p w:rsidR="00291484" w:rsidRPr="00215475" w:rsidRDefault="00291484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  <w:t>9700 Szombathely, Ady tér 5.</w:t>
    </w:r>
  </w:p>
  <w:p w:rsidR="00291484" w:rsidRDefault="00291484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</w:r>
    <w:r w:rsidRPr="00E57221">
      <w:rPr>
        <w:rFonts w:ascii="Verdana" w:hAnsi="Verdana"/>
        <w:color w:val="17365D" w:themeColor="text2" w:themeShade="BF"/>
        <w:sz w:val="18"/>
        <w:szCs w:val="18"/>
      </w:rPr>
      <w:t>info@savaria2020.eu</w:t>
    </w:r>
  </w:p>
  <w:p w:rsidR="00291484" w:rsidRDefault="00291484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221" w:rsidRPr="00E57221" w:rsidRDefault="00E57221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8"/>
        <w:szCs w:val="8"/>
      </w:rPr>
    </w:pPr>
    <w:r>
      <w:rPr>
        <w:rFonts w:ascii="Verdana" w:hAnsi="Verdana"/>
        <w:color w:val="17365D" w:themeColor="text2" w:themeShade="BF"/>
        <w:sz w:val="18"/>
        <w:szCs w:val="18"/>
      </w:rPr>
      <w:tab/>
    </w:r>
  </w:p>
  <w:p w:rsidR="00E57221" w:rsidRDefault="00E57221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>
      <w:rPr>
        <w:rFonts w:ascii="Verdana" w:hAnsi="Verdana"/>
        <w:noProof/>
        <w:color w:val="17365D" w:themeColor="text2" w:themeShade="BF"/>
        <w:sz w:val="18"/>
        <w:szCs w:val="18"/>
        <w:lang w:eastAsia="hu-H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-3810</wp:posOffset>
          </wp:positionV>
          <wp:extent cx="762000" cy="504825"/>
          <wp:effectExtent l="19050" t="0" r="0" b="0"/>
          <wp:wrapSquare wrapText="bothSides"/>
          <wp:docPr id="13" name="Kép 2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681" t="25186" r="10581" b="35185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color w:val="17365D" w:themeColor="text2" w:themeShade="BF"/>
        <w:sz w:val="18"/>
        <w:szCs w:val="18"/>
      </w:rPr>
      <w:tab/>
    </w:r>
    <w:r w:rsidRPr="00215475">
      <w:rPr>
        <w:rFonts w:ascii="Verdana" w:hAnsi="Verdana"/>
        <w:color w:val="17365D" w:themeColor="text2" w:themeShade="BF"/>
        <w:sz w:val="18"/>
        <w:szCs w:val="18"/>
      </w:rPr>
      <w:t>Savaria Városfejlesztési Nonprofit Kft.</w:t>
    </w:r>
  </w:p>
  <w:p w:rsidR="00E57221" w:rsidRPr="00215475" w:rsidRDefault="00E57221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  <w:t>9700 Szombathely, Ady tér 5.</w:t>
    </w:r>
  </w:p>
  <w:p w:rsidR="00E57221" w:rsidRDefault="00E57221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</w:r>
    <w:r w:rsidRPr="00E57221">
      <w:rPr>
        <w:rFonts w:ascii="Verdana" w:hAnsi="Verdana"/>
        <w:color w:val="17365D" w:themeColor="text2" w:themeShade="BF"/>
        <w:sz w:val="18"/>
        <w:szCs w:val="18"/>
      </w:rPr>
      <w:t>info@savaria2020.eu</w:t>
    </w:r>
  </w:p>
  <w:p w:rsidR="00E57221" w:rsidRDefault="00E57221" w:rsidP="00E57221">
    <w:pPr>
      <w:pStyle w:val="llb"/>
      <w:pBdr>
        <w:top w:val="single" w:sz="4" w:space="1" w:color="auto"/>
      </w:pBdr>
      <w:spacing w:before="120"/>
      <w:ind w:left="1276" w:hanging="127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7E5" w:rsidRDefault="00BC47E5" w:rsidP="00856378">
      <w:pPr>
        <w:spacing w:after="0" w:line="240" w:lineRule="auto"/>
      </w:pPr>
      <w:r>
        <w:separator/>
      </w:r>
    </w:p>
  </w:footnote>
  <w:footnote w:type="continuationSeparator" w:id="0">
    <w:p w:rsidR="00BC47E5" w:rsidRDefault="00BC47E5" w:rsidP="0085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5CF" w:rsidRDefault="00291484" w:rsidP="00291484">
    <w:pPr>
      <w:pStyle w:val="lfej"/>
      <w:pBdr>
        <w:bottom w:val="single" w:sz="4" w:space="1" w:color="17365D" w:themeColor="text2" w:themeShade="BF"/>
      </w:pBdr>
      <w:jc w:val="center"/>
    </w:pPr>
    <w:r w:rsidRPr="00291484">
      <w:rPr>
        <w:noProof/>
        <w:lang w:eastAsia="hu-HU"/>
      </w:rPr>
      <w:drawing>
        <wp:inline distT="0" distB="0" distL="0" distR="0">
          <wp:extent cx="1592019" cy="1031358"/>
          <wp:effectExtent l="19050" t="0" r="8181" b="0"/>
          <wp:docPr id="2" name="Kép 4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796" t="27420" r="11275" b="36545"/>
                  <a:stretch>
                    <a:fillRect/>
                  </a:stretch>
                </pic:blipFill>
                <pic:spPr bwMode="auto">
                  <a:xfrm>
                    <a:off x="0" y="0"/>
                    <a:ext cx="1592019" cy="1031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056" w:rsidRDefault="008B2056" w:rsidP="008B2056">
    <w:pPr>
      <w:pStyle w:val="lfej"/>
      <w:pBdr>
        <w:bottom w:val="single" w:sz="4" w:space="1" w:color="auto"/>
      </w:pBdr>
      <w:jc w:val="center"/>
    </w:pPr>
    <w:r>
      <w:rPr>
        <w:noProof/>
        <w:lang w:eastAsia="hu-HU"/>
      </w:rPr>
      <w:drawing>
        <wp:inline distT="0" distB="0" distL="0" distR="0">
          <wp:extent cx="1592019" cy="1031358"/>
          <wp:effectExtent l="19050" t="0" r="8181" b="0"/>
          <wp:docPr id="3" name="Kép 4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796" t="27420" r="11275" b="36545"/>
                  <a:stretch>
                    <a:fillRect/>
                  </a:stretch>
                </pic:blipFill>
                <pic:spPr bwMode="auto">
                  <a:xfrm>
                    <a:off x="0" y="0"/>
                    <a:ext cx="1592019" cy="1031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74B0"/>
    <w:multiLevelType w:val="hybridMultilevel"/>
    <w:tmpl w:val="999A187E"/>
    <w:lvl w:ilvl="0" w:tplc="DC2ADE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650E4"/>
    <w:multiLevelType w:val="hybridMultilevel"/>
    <w:tmpl w:val="129C58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D3925"/>
    <w:multiLevelType w:val="hybridMultilevel"/>
    <w:tmpl w:val="C36EF472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73EED600">
      <w:numFmt w:val="bullet"/>
      <w:lvlText w:val="-"/>
      <w:lvlJc w:val="left"/>
      <w:pPr>
        <w:ind w:left="1364" w:hanging="360"/>
      </w:pPr>
      <w:rPr>
        <w:rFonts w:ascii="Helvetica" w:eastAsia="Times New Roman" w:hAnsi="Helvetica" w:cs="Helvetica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E183822"/>
    <w:multiLevelType w:val="hybridMultilevel"/>
    <w:tmpl w:val="EF948B88"/>
    <w:lvl w:ilvl="0" w:tplc="A380DE9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012B2"/>
    <w:multiLevelType w:val="hybridMultilevel"/>
    <w:tmpl w:val="8C4013A4"/>
    <w:lvl w:ilvl="0" w:tplc="F71CA5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F5FEC"/>
    <w:multiLevelType w:val="multilevel"/>
    <w:tmpl w:val="B6545D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4CD843A3"/>
    <w:multiLevelType w:val="hybridMultilevel"/>
    <w:tmpl w:val="28C096DA"/>
    <w:lvl w:ilvl="0" w:tplc="040E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>
    <w:nsid w:val="574E15E0"/>
    <w:multiLevelType w:val="hybridMultilevel"/>
    <w:tmpl w:val="A87AF9F8"/>
    <w:lvl w:ilvl="0" w:tplc="DC2ADE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C09D9"/>
    <w:multiLevelType w:val="hybridMultilevel"/>
    <w:tmpl w:val="EED86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63255"/>
    <w:multiLevelType w:val="hybridMultilevel"/>
    <w:tmpl w:val="847ABAFC"/>
    <w:lvl w:ilvl="0" w:tplc="5572595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A405E8"/>
    <w:multiLevelType w:val="hybridMultilevel"/>
    <w:tmpl w:val="A050ABFC"/>
    <w:lvl w:ilvl="0" w:tplc="040E0001">
      <w:start w:val="1"/>
      <w:numFmt w:val="bullet"/>
      <w:lvlText w:val=""/>
      <w:lvlJc w:val="left"/>
      <w:pPr>
        <w:ind w:left="41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8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9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65" w:hanging="360"/>
      </w:pPr>
      <w:rPr>
        <w:rFonts w:ascii="Wingdings" w:hAnsi="Wingdings" w:hint="default"/>
      </w:rPr>
    </w:lvl>
  </w:abstractNum>
  <w:abstractNum w:abstractNumId="11">
    <w:nsid w:val="7C8556D2"/>
    <w:multiLevelType w:val="hybridMultilevel"/>
    <w:tmpl w:val="DD848B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A4615C"/>
    <w:multiLevelType w:val="hybridMultilevel"/>
    <w:tmpl w:val="83EEE38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12"/>
  </w:num>
  <w:num w:numId="10">
    <w:abstractNumId w:val="4"/>
  </w:num>
  <w:num w:numId="11">
    <w:abstractNumId w:val="5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56378"/>
    <w:rsid w:val="00014DD2"/>
    <w:rsid w:val="0002577B"/>
    <w:rsid w:val="00034AF2"/>
    <w:rsid w:val="000707C9"/>
    <w:rsid w:val="000A6817"/>
    <w:rsid w:val="000C13E0"/>
    <w:rsid w:val="000D6C94"/>
    <w:rsid w:val="000E2363"/>
    <w:rsid w:val="00132070"/>
    <w:rsid w:val="00136EEA"/>
    <w:rsid w:val="001A050F"/>
    <w:rsid w:val="001A0514"/>
    <w:rsid w:val="002002DD"/>
    <w:rsid w:val="00215475"/>
    <w:rsid w:val="0025043B"/>
    <w:rsid w:val="002825F0"/>
    <w:rsid w:val="00287DAC"/>
    <w:rsid w:val="00291484"/>
    <w:rsid w:val="00297877"/>
    <w:rsid w:val="002D3B31"/>
    <w:rsid w:val="002F3081"/>
    <w:rsid w:val="00334EB6"/>
    <w:rsid w:val="0033617B"/>
    <w:rsid w:val="0033739F"/>
    <w:rsid w:val="003470DD"/>
    <w:rsid w:val="0039584A"/>
    <w:rsid w:val="003A0654"/>
    <w:rsid w:val="003A6B0D"/>
    <w:rsid w:val="003B2C44"/>
    <w:rsid w:val="003C06ED"/>
    <w:rsid w:val="00414DA7"/>
    <w:rsid w:val="00444F93"/>
    <w:rsid w:val="0044709E"/>
    <w:rsid w:val="00451EDE"/>
    <w:rsid w:val="004D6660"/>
    <w:rsid w:val="00555026"/>
    <w:rsid w:val="00572BE4"/>
    <w:rsid w:val="00574E0D"/>
    <w:rsid w:val="00587F3D"/>
    <w:rsid w:val="005E55CF"/>
    <w:rsid w:val="006338B0"/>
    <w:rsid w:val="006A5AFC"/>
    <w:rsid w:val="006D7890"/>
    <w:rsid w:val="00712BF6"/>
    <w:rsid w:val="00733D2D"/>
    <w:rsid w:val="00751B32"/>
    <w:rsid w:val="0076689A"/>
    <w:rsid w:val="008247F3"/>
    <w:rsid w:val="00856378"/>
    <w:rsid w:val="00861256"/>
    <w:rsid w:val="00876ED3"/>
    <w:rsid w:val="0089539C"/>
    <w:rsid w:val="008A6798"/>
    <w:rsid w:val="008B2056"/>
    <w:rsid w:val="008E2526"/>
    <w:rsid w:val="008F4C5C"/>
    <w:rsid w:val="00957BB2"/>
    <w:rsid w:val="009C7F11"/>
    <w:rsid w:val="009D3B10"/>
    <w:rsid w:val="00A04803"/>
    <w:rsid w:val="00A16EF9"/>
    <w:rsid w:val="00A2436F"/>
    <w:rsid w:val="00A275DD"/>
    <w:rsid w:val="00A41301"/>
    <w:rsid w:val="00A4372D"/>
    <w:rsid w:val="00A94C27"/>
    <w:rsid w:val="00AB2CCB"/>
    <w:rsid w:val="00AB5C25"/>
    <w:rsid w:val="00B2546D"/>
    <w:rsid w:val="00B62274"/>
    <w:rsid w:val="00B74FD8"/>
    <w:rsid w:val="00B7568D"/>
    <w:rsid w:val="00BA1DC9"/>
    <w:rsid w:val="00BB12C6"/>
    <w:rsid w:val="00BC47E5"/>
    <w:rsid w:val="00BC6E8E"/>
    <w:rsid w:val="00C01322"/>
    <w:rsid w:val="00C63A72"/>
    <w:rsid w:val="00CF68EA"/>
    <w:rsid w:val="00D512CE"/>
    <w:rsid w:val="00D7102F"/>
    <w:rsid w:val="00DC3CBC"/>
    <w:rsid w:val="00DD0008"/>
    <w:rsid w:val="00E110C8"/>
    <w:rsid w:val="00E33AF3"/>
    <w:rsid w:val="00E57221"/>
    <w:rsid w:val="00E86E7B"/>
    <w:rsid w:val="00EB4019"/>
    <w:rsid w:val="00EE5A38"/>
    <w:rsid w:val="00F1271D"/>
    <w:rsid w:val="00F16BB1"/>
    <w:rsid w:val="00FB0C56"/>
    <w:rsid w:val="00FC25FD"/>
    <w:rsid w:val="00FC53FF"/>
    <w:rsid w:val="00FE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6378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56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rsid w:val="0085637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aliases w:val="List Paragraph,lista_2,List Paragraph à moi,Számozott lista 1,Eszeri felsorolás,Welt L Char,Welt L,FooterText,numbered,Paragraphe de liste1,Bulletr List Paragraph,列出段落,列出段落1,Listeafsnit1,リスト段落1,Listaszerű bekezdés1,List Paragraph1"/>
    <w:basedOn w:val="Norml"/>
    <w:link w:val="ListaszerbekezdsChar"/>
    <w:uiPriority w:val="34"/>
    <w:qFormat/>
    <w:rsid w:val="0085637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5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6378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5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6378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A0480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0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480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334E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lista_2 Char,List Paragraph à moi Char,Számozott lista 1 Char,Eszeri felsorolás Char,Welt L Char Char,Welt L Char1,FooterText Char,numbered Char,Paragraphe de liste1 Char,Bulletr List Paragraph Char,列出段落 Char"/>
    <w:link w:val="Listaszerbekezds"/>
    <w:uiPriority w:val="34"/>
    <w:locked/>
    <w:rsid w:val="00334EB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1300</Words>
  <Characters>8977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Czibók Csilla</cp:lastModifiedBy>
  <cp:revision>6</cp:revision>
  <cp:lastPrinted>2016-04-06T15:43:00Z</cp:lastPrinted>
  <dcterms:created xsi:type="dcterms:W3CDTF">2016-04-06T15:44:00Z</dcterms:created>
  <dcterms:modified xsi:type="dcterms:W3CDTF">2016-04-08T07:41:00Z</dcterms:modified>
</cp:coreProperties>
</file>