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5BA" w:rsidRDefault="005575BA" w:rsidP="003F3AE1">
      <w:pPr>
        <w:jc w:val="center"/>
        <w:rPr>
          <w:b/>
        </w:rPr>
      </w:pPr>
    </w:p>
    <w:p w:rsidR="003F3AE1" w:rsidRPr="00546E6E" w:rsidRDefault="003F3AE1" w:rsidP="003F3AE1">
      <w:pPr>
        <w:jc w:val="center"/>
        <w:rPr>
          <w:b/>
        </w:rPr>
      </w:pPr>
      <w:r w:rsidRPr="00546E6E">
        <w:rPr>
          <w:b/>
        </w:rPr>
        <w:t>Szombathely Megyei Jogú</w:t>
      </w:r>
      <w:r w:rsidR="00120C21">
        <w:rPr>
          <w:b/>
        </w:rPr>
        <w:t xml:space="preserve"> Város Önkormányzata Közgyűlésének</w:t>
      </w:r>
    </w:p>
    <w:p w:rsidR="003F3AE1" w:rsidRPr="00546E6E" w:rsidRDefault="00672A36" w:rsidP="003F3AE1">
      <w:pPr>
        <w:jc w:val="center"/>
        <w:rPr>
          <w:b/>
        </w:rPr>
      </w:pPr>
      <w:r>
        <w:rPr>
          <w:b/>
        </w:rPr>
        <w:t>........</w:t>
      </w:r>
      <w:r w:rsidR="003F3AE1" w:rsidRPr="00546E6E">
        <w:rPr>
          <w:b/>
        </w:rPr>
        <w:t>/201</w:t>
      </w:r>
      <w:r w:rsidR="00E371E9">
        <w:rPr>
          <w:b/>
        </w:rPr>
        <w:t>5</w:t>
      </w:r>
      <w:r w:rsidR="003F3AE1" w:rsidRPr="00546E6E">
        <w:rPr>
          <w:b/>
        </w:rPr>
        <w:t>. (</w:t>
      </w:r>
      <w:r>
        <w:rPr>
          <w:b/>
        </w:rPr>
        <w:t>............</w:t>
      </w:r>
      <w:r w:rsidR="003F3AE1" w:rsidRPr="00546E6E">
        <w:rPr>
          <w:b/>
        </w:rPr>
        <w:t>) önkormányzati rendelete</w:t>
      </w:r>
    </w:p>
    <w:p w:rsidR="003F3AE1" w:rsidRDefault="003F3AE1" w:rsidP="003F3AE1">
      <w:pPr>
        <w:jc w:val="center"/>
        <w:rPr>
          <w:b/>
        </w:rPr>
      </w:pPr>
    </w:p>
    <w:p w:rsidR="005575BA" w:rsidRDefault="005575BA" w:rsidP="003F3AE1">
      <w:pPr>
        <w:jc w:val="center"/>
        <w:rPr>
          <w:b/>
        </w:rPr>
      </w:pPr>
    </w:p>
    <w:p w:rsidR="00120C21" w:rsidRDefault="003F3AE1" w:rsidP="003F3AE1">
      <w:pPr>
        <w:jc w:val="center"/>
        <w:rPr>
          <w:b/>
        </w:rPr>
      </w:pPr>
      <w:r>
        <w:rPr>
          <w:b/>
        </w:rPr>
        <w:t>Szombathely Me</w:t>
      </w:r>
      <w:r w:rsidR="00120C21">
        <w:rPr>
          <w:b/>
        </w:rPr>
        <w:t xml:space="preserve">gyei Jogú Város Önkormányzata Közgyűlésének </w:t>
      </w:r>
    </w:p>
    <w:p w:rsidR="003F3AE1" w:rsidRDefault="00120C21" w:rsidP="003F3AE1">
      <w:pPr>
        <w:jc w:val="center"/>
        <w:rPr>
          <w:b/>
        </w:rPr>
      </w:pPr>
      <w:r>
        <w:rPr>
          <w:b/>
        </w:rPr>
        <w:t>a helyi adókról szóló</w:t>
      </w:r>
      <w:r w:rsidR="003F3AE1">
        <w:rPr>
          <w:b/>
        </w:rPr>
        <w:t xml:space="preserve"> </w:t>
      </w:r>
      <w:r>
        <w:rPr>
          <w:b/>
        </w:rPr>
        <w:t>38</w:t>
      </w:r>
      <w:r w:rsidR="003F3AE1">
        <w:rPr>
          <w:b/>
        </w:rPr>
        <w:t>/2011.(</w:t>
      </w:r>
      <w:r>
        <w:rPr>
          <w:b/>
        </w:rPr>
        <w:t>XII.19</w:t>
      </w:r>
      <w:r w:rsidR="003F3AE1">
        <w:rPr>
          <w:b/>
        </w:rPr>
        <w:t xml:space="preserve">.) </w:t>
      </w:r>
    </w:p>
    <w:p w:rsidR="003F3AE1" w:rsidRDefault="003F3AE1" w:rsidP="003F3AE1">
      <w:pPr>
        <w:jc w:val="center"/>
        <w:rPr>
          <w:b/>
        </w:rPr>
      </w:pPr>
      <w:r>
        <w:rPr>
          <w:b/>
        </w:rPr>
        <w:t>önkormányzati rendelet</w:t>
      </w:r>
      <w:r w:rsidR="006C4518">
        <w:rPr>
          <w:b/>
        </w:rPr>
        <w:t>e</w:t>
      </w:r>
      <w:r>
        <w:rPr>
          <w:b/>
        </w:rPr>
        <w:t xml:space="preserve"> módosításáról</w:t>
      </w:r>
    </w:p>
    <w:p w:rsidR="003F3AE1" w:rsidRDefault="003F3AE1" w:rsidP="003F3AE1">
      <w:pPr>
        <w:jc w:val="center"/>
        <w:rPr>
          <w:b/>
        </w:rPr>
      </w:pPr>
    </w:p>
    <w:p w:rsidR="00ED49D9" w:rsidRDefault="00120C21" w:rsidP="00ED49D9">
      <w:pPr>
        <w:autoSpaceDE w:val="0"/>
        <w:autoSpaceDN w:val="0"/>
        <w:adjustRightInd w:val="0"/>
        <w:jc w:val="both"/>
        <w:rPr>
          <w:rFonts w:cs="Arial"/>
        </w:rPr>
      </w:pPr>
      <w:r>
        <w:rPr>
          <w:rFonts w:cs="Arial"/>
        </w:rPr>
        <w:t xml:space="preserve">Szombathely Megyei Jogú Város </w:t>
      </w:r>
      <w:r w:rsidRPr="003B57B3">
        <w:rPr>
          <w:rFonts w:cs="Arial"/>
        </w:rPr>
        <w:t>Önkormányzat</w:t>
      </w:r>
      <w:r w:rsidR="008D0CF3" w:rsidRPr="003B57B3">
        <w:rPr>
          <w:rFonts w:cs="Arial"/>
        </w:rPr>
        <w:t>ának</w:t>
      </w:r>
      <w:r>
        <w:rPr>
          <w:rFonts w:cs="Arial"/>
        </w:rPr>
        <w:t xml:space="preserve"> Közgyűlése a helyi adókról szóló 1990. évi C. törvény 1. § (1) bekezdésében kapott felhatalmazás alapján </w:t>
      </w:r>
      <w:r w:rsidR="00063BD8">
        <w:rPr>
          <w:rFonts w:cs="Arial"/>
        </w:rPr>
        <w:t>-</w:t>
      </w:r>
      <w:r>
        <w:rPr>
          <w:rFonts w:cs="Arial"/>
        </w:rPr>
        <w:t xml:space="preserve"> </w:t>
      </w:r>
      <w:r w:rsidR="004631EE">
        <w:rPr>
          <w:rFonts w:cs="Arial"/>
        </w:rPr>
        <w:t xml:space="preserve">az Alaptörvény 32. cikk (1) bekezdés </w:t>
      </w:r>
      <w:r w:rsidR="00E371E9">
        <w:rPr>
          <w:rFonts w:cs="Arial"/>
        </w:rPr>
        <w:t xml:space="preserve">a) és </w:t>
      </w:r>
      <w:r w:rsidR="004631EE">
        <w:rPr>
          <w:rFonts w:cs="Arial"/>
        </w:rPr>
        <w:t xml:space="preserve">h) </w:t>
      </w:r>
      <w:r w:rsidR="00764B5A">
        <w:rPr>
          <w:rFonts w:cs="Arial"/>
        </w:rPr>
        <w:t>pontjában</w:t>
      </w:r>
      <w:r w:rsidR="00E371E9">
        <w:rPr>
          <w:rFonts w:cs="Arial"/>
        </w:rPr>
        <w:t xml:space="preserve">, valamint </w:t>
      </w:r>
      <w:r w:rsidR="008D0CF3" w:rsidRPr="003B57B3">
        <w:rPr>
          <w:rFonts w:cs="Arial"/>
        </w:rPr>
        <w:t>a</w:t>
      </w:r>
      <w:r w:rsidR="008D0CF3">
        <w:rPr>
          <w:rFonts w:cs="Arial"/>
        </w:rPr>
        <w:t xml:space="preserve"> </w:t>
      </w:r>
      <w:r w:rsidR="00E371E9">
        <w:rPr>
          <w:rFonts w:cs="Arial"/>
        </w:rPr>
        <w:t>Magyarország helyi önkormányzatairól szóló 2011. évi CLXXXIX. törvény</w:t>
      </w:r>
      <w:r>
        <w:rPr>
          <w:rFonts w:cs="Arial"/>
        </w:rPr>
        <w:t xml:space="preserve"> </w:t>
      </w:r>
      <w:r w:rsidR="00E371E9">
        <w:rPr>
          <w:rFonts w:cs="Arial"/>
        </w:rPr>
        <w:t>13.</w:t>
      </w:r>
      <w:r w:rsidR="00DD3297">
        <w:rPr>
          <w:rFonts w:cs="Arial"/>
        </w:rPr>
        <w:t xml:space="preserve"> § (1) bekezdés </w:t>
      </w:r>
      <w:r w:rsidR="00E371E9">
        <w:rPr>
          <w:rFonts w:cs="Arial"/>
        </w:rPr>
        <w:t xml:space="preserve">13. pontjában </w:t>
      </w:r>
      <w:r>
        <w:rPr>
          <w:rFonts w:cs="Arial"/>
        </w:rPr>
        <w:t xml:space="preserve">megállapított feladatkörében eljárva </w:t>
      </w:r>
      <w:r w:rsidR="00DD3297">
        <w:rPr>
          <w:rFonts w:cs="Arial"/>
        </w:rPr>
        <w:t xml:space="preserve">- </w:t>
      </w:r>
      <w:r w:rsidR="00ED49D9">
        <w:rPr>
          <w:rFonts w:cs="Arial"/>
        </w:rPr>
        <w:t>a gazdasági kamarákról szóló 1999. évi CXXI. törvény 37. § (4) bekezdésében biztosított véleményezési jogkörében eljáró Vas Megyei Kereskedelmi és Iparkamara véleményének kikérésével a következőket rendeli el:</w:t>
      </w:r>
    </w:p>
    <w:p w:rsidR="005575BA" w:rsidRDefault="005575BA" w:rsidP="003F3AE1">
      <w:pPr>
        <w:jc w:val="center"/>
        <w:rPr>
          <w:b/>
        </w:rPr>
      </w:pPr>
    </w:p>
    <w:p w:rsidR="003F3AE1" w:rsidRDefault="003F3AE1" w:rsidP="003F3AE1">
      <w:pPr>
        <w:jc w:val="center"/>
        <w:rPr>
          <w:b/>
        </w:rPr>
      </w:pPr>
      <w:r>
        <w:rPr>
          <w:b/>
        </w:rPr>
        <w:t>1. §</w:t>
      </w:r>
    </w:p>
    <w:p w:rsidR="003F3AE1" w:rsidRDefault="003F3AE1" w:rsidP="003F3AE1">
      <w:pPr>
        <w:jc w:val="center"/>
        <w:rPr>
          <w:b/>
        </w:rPr>
      </w:pPr>
    </w:p>
    <w:p w:rsidR="007C7C88" w:rsidRDefault="007C7C88" w:rsidP="007C7C88">
      <w:pPr>
        <w:ind w:hanging="11"/>
        <w:jc w:val="both"/>
      </w:pPr>
      <w:r w:rsidRPr="003B57B3">
        <w:t xml:space="preserve">Szombathely Megyei Jogú Város Önkormányzata Közgyűlésének a helyi adókról szóló 38/2011.(XII.19.) önkormányzati rendelete </w:t>
      </w:r>
      <w:r w:rsidR="00725360" w:rsidRPr="003B57B3">
        <w:t xml:space="preserve">(a továbbiakban: R.) </w:t>
      </w:r>
      <w:r>
        <w:t>1/A</w:t>
      </w:r>
      <w:r w:rsidRPr="003B57B3">
        <w:t>. §-a helyébe a következő rendelkezés lép:</w:t>
      </w:r>
    </w:p>
    <w:p w:rsidR="007C7C88" w:rsidRDefault="007C7C88" w:rsidP="007C7C88">
      <w:pPr>
        <w:ind w:hanging="11"/>
        <w:jc w:val="both"/>
      </w:pPr>
    </w:p>
    <w:p w:rsidR="007C7C88" w:rsidRPr="00056EAC" w:rsidRDefault="007C7C88" w:rsidP="007C7C88">
      <w:pPr>
        <w:jc w:val="center"/>
        <w:rPr>
          <w:rFonts w:cs="Arial"/>
          <w:b/>
        </w:rPr>
      </w:pPr>
      <w:r>
        <w:rPr>
          <w:rFonts w:cs="Arial"/>
          <w:b/>
        </w:rPr>
        <w:t>„</w:t>
      </w:r>
      <w:r w:rsidRPr="00056EAC">
        <w:rPr>
          <w:rFonts w:cs="Arial"/>
          <w:b/>
        </w:rPr>
        <w:t>1/A. §</w:t>
      </w:r>
    </w:p>
    <w:p w:rsidR="007C7C88" w:rsidRPr="00056EAC" w:rsidRDefault="007C7C88" w:rsidP="007C7C88">
      <w:pPr>
        <w:jc w:val="center"/>
        <w:rPr>
          <w:rFonts w:cs="Arial"/>
          <w:b/>
        </w:rPr>
      </w:pPr>
    </w:p>
    <w:p w:rsidR="007C7C88" w:rsidRPr="00056EAC" w:rsidRDefault="007C7C88" w:rsidP="007C7C88">
      <w:pPr>
        <w:jc w:val="both"/>
        <w:rPr>
          <w:rFonts w:cs="Arial"/>
        </w:rPr>
      </w:pPr>
      <w:r w:rsidRPr="00056EAC">
        <w:rPr>
          <w:rFonts w:cs="Arial"/>
        </w:rPr>
        <w:t>E rendelet alkalmazásában:</w:t>
      </w:r>
    </w:p>
    <w:p w:rsidR="007C7C88" w:rsidRPr="00056EAC" w:rsidRDefault="007C7C88" w:rsidP="007C7C88">
      <w:pPr>
        <w:jc w:val="both"/>
        <w:rPr>
          <w:rFonts w:cs="Arial"/>
        </w:rPr>
      </w:pPr>
    </w:p>
    <w:p w:rsidR="007C7C88" w:rsidRPr="00056EAC" w:rsidRDefault="007C7C88" w:rsidP="007C7C88">
      <w:pPr>
        <w:jc w:val="both"/>
        <w:rPr>
          <w:rFonts w:cs="Arial"/>
        </w:rPr>
      </w:pPr>
      <w:r w:rsidRPr="00056EAC">
        <w:rPr>
          <w:rFonts w:cs="Arial"/>
        </w:rPr>
        <w:t xml:space="preserve">1. </w:t>
      </w:r>
      <w:r w:rsidRPr="00056EAC">
        <w:rPr>
          <w:rFonts w:cs="Arial"/>
          <w:i/>
        </w:rPr>
        <w:t>tanműhely</w:t>
      </w:r>
      <w:r w:rsidRPr="00056EAC">
        <w:rPr>
          <w:rFonts w:cs="Arial"/>
        </w:rPr>
        <w:t>: a szakképzésről szóló 2011. évi CLXXXVII. törvény 2. § 17. pontjában meghatározott iskolai tanműhely, illetve a 2. § 50. pontjában meghatározott kizárólag gyakorlati képzési célt szolgáló tanműhely.</w:t>
      </w:r>
    </w:p>
    <w:p w:rsidR="007C7C88" w:rsidRDefault="007C7C88" w:rsidP="007C7C88">
      <w:pPr>
        <w:jc w:val="both"/>
        <w:rPr>
          <w:rFonts w:cs="Arial"/>
        </w:rPr>
      </w:pPr>
      <w:r w:rsidRPr="00056EAC">
        <w:rPr>
          <w:rFonts w:cs="Arial"/>
        </w:rPr>
        <w:t xml:space="preserve">2. </w:t>
      </w:r>
      <w:r w:rsidRPr="00056EAC">
        <w:rPr>
          <w:rFonts w:cs="Arial"/>
          <w:i/>
        </w:rPr>
        <w:t>új építésű építmény</w:t>
      </w:r>
      <w:r w:rsidRPr="00056EAC">
        <w:rPr>
          <w:rFonts w:cs="Arial"/>
        </w:rPr>
        <w:t>: saját beruházás keretében, saját használatra az alapozástól kezdődően teljes egészében újonnan felépített, bővítéssel létrehozott, meglévő épület lebontását követően újjáépített épület, épületrész, bővítmény.</w:t>
      </w:r>
    </w:p>
    <w:p w:rsidR="00725360" w:rsidRDefault="007C7C88" w:rsidP="00725360">
      <w:pPr>
        <w:jc w:val="both"/>
        <w:rPr>
          <w:rFonts w:cs="Arial"/>
          <w:iCs/>
        </w:rPr>
      </w:pPr>
      <w:r w:rsidRPr="00725360">
        <w:rPr>
          <w:rFonts w:cs="Arial"/>
        </w:rPr>
        <w:t xml:space="preserve">3. </w:t>
      </w:r>
      <w:r w:rsidR="00725360" w:rsidRPr="00725360">
        <w:rPr>
          <w:rFonts w:cs="Arial"/>
          <w:i/>
          <w:iCs/>
        </w:rPr>
        <w:t xml:space="preserve">állami támogatás: </w:t>
      </w:r>
      <w:r w:rsidR="00725360" w:rsidRPr="00725360">
        <w:rPr>
          <w:rFonts w:cs="Arial"/>
          <w:iCs/>
        </w:rPr>
        <w:t>az európai uniós versenyjogi értelemben vett állami támogatásokkal kapcsolatos eljárásról és a regionális támogatási térképről szóló 37/2011. (III. 22.) Korm. rendelet 2.</w:t>
      </w:r>
      <w:r w:rsidR="00725360">
        <w:rPr>
          <w:rFonts w:cs="Arial"/>
          <w:iCs/>
        </w:rPr>
        <w:t xml:space="preserve"> § 1. pontja szerinti támogatás.</w:t>
      </w:r>
    </w:p>
    <w:p w:rsidR="00725360" w:rsidRPr="00725360" w:rsidRDefault="00725360" w:rsidP="00725360">
      <w:pPr>
        <w:jc w:val="both"/>
        <w:rPr>
          <w:rFonts w:cs="Arial"/>
          <w:iCs/>
          <w:sz w:val="22"/>
          <w:szCs w:val="22"/>
        </w:rPr>
      </w:pPr>
      <w:r w:rsidRPr="00725360">
        <w:rPr>
          <w:rFonts w:cs="Arial"/>
          <w:iCs/>
        </w:rPr>
        <w:t xml:space="preserve">4. </w:t>
      </w:r>
      <w:r w:rsidRPr="00725360">
        <w:rPr>
          <w:rFonts w:cs="Arial"/>
          <w:i/>
          <w:iCs/>
        </w:rPr>
        <w:t xml:space="preserve">egy és ugyanazon vállalkozás: </w:t>
      </w:r>
      <w:r w:rsidRPr="00725360">
        <w:rPr>
          <w:rFonts w:cs="Arial"/>
          <w:iCs/>
        </w:rPr>
        <w:t>az 1407/2013/EU bizottsági rendelet 2. cikk (2) bekezdése szerinti vállalkozás.</w:t>
      </w:r>
      <w:r>
        <w:rPr>
          <w:rFonts w:cs="Arial"/>
          <w:iCs/>
        </w:rPr>
        <w:t>”</w:t>
      </w:r>
    </w:p>
    <w:p w:rsidR="007C7C88" w:rsidRPr="007C7C88" w:rsidRDefault="007C7C88" w:rsidP="007C7C88">
      <w:pPr>
        <w:jc w:val="both"/>
        <w:rPr>
          <w:rFonts w:cs="Arial"/>
          <w:i/>
        </w:rPr>
      </w:pPr>
    </w:p>
    <w:p w:rsidR="00725360" w:rsidRDefault="00725360" w:rsidP="00725360">
      <w:pPr>
        <w:jc w:val="center"/>
        <w:rPr>
          <w:b/>
        </w:rPr>
      </w:pPr>
      <w:r>
        <w:rPr>
          <w:b/>
        </w:rPr>
        <w:t>2. §</w:t>
      </w:r>
    </w:p>
    <w:p w:rsidR="007C7C88" w:rsidRDefault="007C7C88" w:rsidP="003F3AE1">
      <w:pPr>
        <w:jc w:val="center"/>
        <w:rPr>
          <w:b/>
        </w:rPr>
      </w:pPr>
    </w:p>
    <w:p w:rsidR="00FC6C8D" w:rsidRPr="003B57B3" w:rsidRDefault="00725360" w:rsidP="00FC6C8D">
      <w:pPr>
        <w:ind w:hanging="11"/>
        <w:jc w:val="both"/>
      </w:pPr>
      <w:r>
        <w:t>A R.</w:t>
      </w:r>
      <w:r w:rsidR="00FC6C8D" w:rsidRPr="003B57B3">
        <w:t xml:space="preserve"> </w:t>
      </w:r>
      <w:r w:rsidR="00ED49D9">
        <w:t>6</w:t>
      </w:r>
      <w:r w:rsidR="00FC6C8D" w:rsidRPr="003B57B3">
        <w:t>. §</w:t>
      </w:r>
      <w:r w:rsidR="00184FA4" w:rsidRPr="003B57B3">
        <w:t>-a</w:t>
      </w:r>
      <w:r w:rsidR="00FC6C8D" w:rsidRPr="003B57B3">
        <w:t xml:space="preserve"> helyébe a következő rendelkezés lép:</w:t>
      </w:r>
    </w:p>
    <w:p w:rsidR="00C54053" w:rsidRDefault="00C54053" w:rsidP="007F59FD">
      <w:pPr>
        <w:ind w:left="720" w:hanging="720"/>
        <w:jc w:val="both"/>
      </w:pPr>
    </w:p>
    <w:p w:rsidR="005C40DA" w:rsidRDefault="00C54053" w:rsidP="00725360">
      <w:pPr>
        <w:ind w:left="720" w:hanging="720"/>
        <w:jc w:val="center"/>
        <w:rPr>
          <w:b/>
        </w:rPr>
      </w:pPr>
      <w:r>
        <w:rPr>
          <w:b/>
        </w:rPr>
        <w:t>„</w:t>
      </w:r>
      <w:r w:rsidR="00ED49D9">
        <w:rPr>
          <w:b/>
        </w:rPr>
        <w:t>6</w:t>
      </w:r>
      <w:r>
        <w:rPr>
          <w:b/>
        </w:rPr>
        <w:t>. §</w:t>
      </w:r>
    </w:p>
    <w:p w:rsidR="00725360" w:rsidRPr="00725360" w:rsidRDefault="00725360" w:rsidP="00725360">
      <w:pPr>
        <w:ind w:left="720" w:hanging="720"/>
        <w:jc w:val="center"/>
        <w:rPr>
          <w:b/>
        </w:rPr>
      </w:pPr>
    </w:p>
    <w:p w:rsidR="008E1ED3" w:rsidRPr="008E1ED3" w:rsidRDefault="00ED49D9" w:rsidP="008E1ED3">
      <w:pPr>
        <w:pStyle w:val="Listaszerbekezds"/>
        <w:numPr>
          <w:ilvl w:val="0"/>
          <w:numId w:val="8"/>
        </w:numPr>
        <w:ind w:left="426"/>
        <w:jc w:val="both"/>
        <w:rPr>
          <w:rFonts w:cs="Arial"/>
        </w:rPr>
      </w:pPr>
      <w:r w:rsidRPr="00ED49D9">
        <w:rPr>
          <w:rFonts w:cs="Arial"/>
        </w:rPr>
        <w:t xml:space="preserve">Mentes a helyi iparűzési adó megfizetése alól az a vállalkozó, akinek/amelynek a Htv. 39. § (1) bekezdés, </w:t>
      </w:r>
      <w:r w:rsidR="00AD2D79">
        <w:rPr>
          <w:rFonts w:cs="Arial"/>
        </w:rPr>
        <w:t>és</w:t>
      </w:r>
      <w:r w:rsidRPr="00ED49D9">
        <w:rPr>
          <w:rFonts w:cs="Arial"/>
        </w:rPr>
        <w:t xml:space="preserve"> a 39/A. § vagy a 39/B. § alapján számított vállalkozási szintű adóalapja nem ha</w:t>
      </w:r>
      <w:r w:rsidR="008E1ED3">
        <w:rPr>
          <w:rFonts w:cs="Arial"/>
        </w:rPr>
        <w:t>ladja meg a 2,5 millió forintot</w:t>
      </w:r>
      <w:r w:rsidR="00DC21F4">
        <w:rPr>
          <w:rFonts w:cs="Arial"/>
        </w:rPr>
        <w:t>.</w:t>
      </w:r>
    </w:p>
    <w:p w:rsidR="00414BAA" w:rsidRPr="00ED49D9" w:rsidRDefault="00414BAA" w:rsidP="00414BAA">
      <w:pPr>
        <w:pStyle w:val="Listaszerbekezds"/>
        <w:ind w:left="426"/>
        <w:jc w:val="both"/>
        <w:rPr>
          <w:rFonts w:cs="Arial"/>
        </w:rPr>
      </w:pPr>
    </w:p>
    <w:p w:rsidR="00ED49D9" w:rsidRDefault="00414BAA" w:rsidP="00182D1A">
      <w:pPr>
        <w:pStyle w:val="Listaszerbekezds"/>
        <w:numPr>
          <w:ilvl w:val="0"/>
          <w:numId w:val="8"/>
        </w:numPr>
        <w:ind w:left="426"/>
        <w:jc w:val="both"/>
        <w:rPr>
          <w:rFonts w:cs="Arial"/>
        </w:rPr>
      </w:pPr>
      <w:r>
        <w:rPr>
          <w:rFonts w:cs="Arial"/>
        </w:rPr>
        <w:lastRenderedPageBreak/>
        <w:t>Mentes a helyi iparűzési adó megfizetése alól a</w:t>
      </w:r>
      <w:r w:rsidR="00182D1A">
        <w:rPr>
          <w:rFonts w:cs="Arial"/>
        </w:rPr>
        <w:t>z a Htv. 52.</w:t>
      </w:r>
      <w:r w:rsidR="00EC5262">
        <w:rPr>
          <w:rFonts w:cs="Arial"/>
        </w:rPr>
        <w:t xml:space="preserve"> </w:t>
      </w:r>
      <w:r w:rsidR="00182D1A">
        <w:rPr>
          <w:rFonts w:cs="Arial"/>
        </w:rPr>
        <w:t xml:space="preserve">§ 23. pontja </w:t>
      </w:r>
      <w:r>
        <w:rPr>
          <w:rFonts w:cs="Arial"/>
        </w:rPr>
        <w:t>alapján háziorvos, védőnő vállalkozó akinek/amelynek a vállalkozási szintű adóalapja az adóévben a 20 m</w:t>
      </w:r>
      <w:r w:rsidR="00F02A5E">
        <w:rPr>
          <w:rFonts w:cs="Arial"/>
        </w:rPr>
        <w:t>illió forintot nem haladja meg.</w:t>
      </w:r>
    </w:p>
    <w:p w:rsidR="008E1ED3" w:rsidRDefault="008E1ED3" w:rsidP="008E1ED3">
      <w:pPr>
        <w:pStyle w:val="Listaszerbekezds"/>
        <w:ind w:left="426"/>
        <w:jc w:val="both"/>
        <w:rPr>
          <w:rFonts w:cs="Arial"/>
        </w:rPr>
      </w:pPr>
    </w:p>
    <w:p w:rsidR="006155BA" w:rsidRPr="008E1ED3" w:rsidRDefault="006155BA" w:rsidP="006155BA">
      <w:pPr>
        <w:pStyle w:val="Listaszerbekezds"/>
        <w:numPr>
          <w:ilvl w:val="0"/>
          <w:numId w:val="8"/>
        </w:numPr>
        <w:ind w:left="426"/>
        <w:jc w:val="both"/>
        <w:rPr>
          <w:rFonts w:cs="Arial"/>
          <w:iCs/>
          <w:sz w:val="22"/>
          <w:szCs w:val="22"/>
        </w:rPr>
      </w:pPr>
      <w:r w:rsidRPr="006155BA">
        <w:rPr>
          <w:rFonts w:cs="Arial"/>
          <w:iCs/>
        </w:rPr>
        <w:t>A 6.</w:t>
      </w:r>
      <w:r w:rsidR="00EC5262">
        <w:rPr>
          <w:rFonts w:cs="Arial"/>
          <w:iCs/>
        </w:rPr>
        <w:t xml:space="preserve"> </w:t>
      </w:r>
      <w:r w:rsidRPr="006155BA">
        <w:rPr>
          <w:rFonts w:cs="Arial"/>
          <w:iCs/>
        </w:rPr>
        <w:t>§ (1)-(2) bekezdésben meghatározott adómentesség formájában nyújtott támogatás csekély összegű támogatásnak minősül, amelyet kizárólag az Európai Unió működéséről szóló szerződés 107. és 108. cikkének a csekély összegű támogatásokra való alkalmazásáról szóló, 2013. december 18-i 1407/2013/EU bizottsági rendelet (HL L 352</w:t>
      </w:r>
      <w:r w:rsidR="008E3D89">
        <w:rPr>
          <w:rFonts w:cs="Arial"/>
          <w:iCs/>
        </w:rPr>
        <w:t>.</w:t>
      </w:r>
      <w:r w:rsidRPr="006155BA">
        <w:rPr>
          <w:rFonts w:cs="Arial"/>
          <w:iCs/>
        </w:rPr>
        <w:t>, 2013.12.24.</w:t>
      </w:r>
      <w:r w:rsidR="008E3D89">
        <w:rPr>
          <w:rFonts w:cs="Arial"/>
          <w:iCs/>
        </w:rPr>
        <w:t>,</w:t>
      </w:r>
      <w:r w:rsidRPr="006155BA">
        <w:rPr>
          <w:rFonts w:cs="Arial"/>
          <w:iCs/>
        </w:rPr>
        <w:t xml:space="preserve"> 1.</w:t>
      </w:r>
      <w:r w:rsidR="008E3D89">
        <w:rPr>
          <w:rFonts w:cs="Arial"/>
          <w:iCs/>
        </w:rPr>
        <w:t xml:space="preserve"> </w:t>
      </w:r>
      <w:r w:rsidRPr="006155BA">
        <w:rPr>
          <w:rFonts w:cs="Arial"/>
          <w:iCs/>
        </w:rPr>
        <w:t>o</w:t>
      </w:r>
      <w:r w:rsidR="008E3D89">
        <w:rPr>
          <w:rFonts w:cs="Arial"/>
          <w:iCs/>
        </w:rPr>
        <w:t>.</w:t>
      </w:r>
      <w:r w:rsidRPr="006155BA">
        <w:rPr>
          <w:rFonts w:cs="Arial"/>
          <w:iCs/>
        </w:rPr>
        <w:t>) (a továbbiakban 1407/2013/EU bizottsági rendelet) szabályai alapján lehet nyújtani.</w:t>
      </w:r>
    </w:p>
    <w:p w:rsidR="008E1ED3" w:rsidRPr="006155BA" w:rsidRDefault="008E1ED3" w:rsidP="008E1ED3">
      <w:pPr>
        <w:pStyle w:val="Listaszerbekezds"/>
        <w:ind w:left="426"/>
        <w:jc w:val="both"/>
        <w:rPr>
          <w:rFonts w:cs="Arial"/>
          <w:iCs/>
          <w:sz w:val="22"/>
          <w:szCs w:val="22"/>
        </w:rPr>
      </w:pPr>
    </w:p>
    <w:p w:rsidR="006155BA" w:rsidRDefault="006155BA" w:rsidP="006155BA">
      <w:pPr>
        <w:pStyle w:val="Listaszerbekezds"/>
        <w:numPr>
          <w:ilvl w:val="0"/>
          <w:numId w:val="8"/>
        </w:numPr>
        <w:ind w:left="426"/>
        <w:jc w:val="both"/>
        <w:rPr>
          <w:rFonts w:cs="Arial"/>
          <w:iCs/>
        </w:rPr>
      </w:pPr>
      <w:r w:rsidRPr="006155BA">
        <w:rPr>
          <w:rFonts w:cs="Arial"/>
          <w:iCs/>
        </w:rPr>
        <w:t xml:space="preserve">A kedvezményezett az </w:t>
      </w:r>
      <w:r w:rsidR="0066738A">
        <w:rPr>
          <w:rFonts w:cs="Arial"/>
          <w:iCs/>
        </w:rPr>
        <w:t>adómentesség</w:t>
      </w:r>
      <w:r w:rsidRPr="006155BA">
        <w:rPr>
          <w:rFonts w:cs="Arial"/>
          <w:iCs/>
        </w:rPr>
        <w:t xml:space="preserve"> következtében megszerzett előnyt – az 1407/2013/EU bizottsági rendelet 1. cikke (2) bekezdésének kivételével –  nem használhatja az 1407/2013/EU bizottsági rendelet 1. cikkének (1) bekezdésében meghatározott kivételek szerinti célokra, továbbá – az 1407/2013/EU bizottsági rendelet 3. cikk (2) bekezdésének megfelelően – közúti kereskedelmi árufuvarozás ellenszolgáltatás fejében történő végzése céljából teherszállító jármű vásárlására.</w:t>
      </w:r>
    </w:p>
    <w:p w:rsidR="008E1ED3" w:rsidRPr="006155BA" w:rsidRDefault="008E1ED3" w:rsidP="008E1ED3">
      <w:pPr>
        <w:pStyle w:val="Listaszerbekezds"/>
        <w:ind w:left="426"/>
        <w:jc w:val="both"/>
        <w:rPr>
          <w:rFonts w:cs="Arial"/>
          <w:iCs/>
        </w:rPr>
      </w:pPr>
    </w:p>
    <w:p w:rsidR="006155BA" w:rsidRDefault="006155BA" w:rsidP="006155BA">
      <w:pPr>
        <w:pStyle w:val="Listaszerbekezds"/>
        <w:numPr>
          <w:ilvl w:val="0"/>
          <w:numId w:val="8"/>
        </w:numPr>
        <w:ind w:left="426"/>
        <w:jc w:val="both"/>
        <w:rPr>
          <w:rFonts w:cs="Arial"/>
          <w:iCs/>
        </w:rPr>
      </w:pPr>
      <w:r w:rsidRPr="006155BA">
        <w:rPr>
          <w:rFonts w:cs="Arial"/>
          <w:iCs/>
        </w:rPr>
        <w:t>A kedvezményezettnek az 1407/2013/EU bizottsági rendelet 5. cikkének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r w:rsidR="0066738A">
        <w:rPr>
          <w:rFonts w:cs="Arial"/>
          <w:iCs/>
        </w:rPr>
        <w:t xml:space="preserve"> A nyilatkozat jelen rendelet 1. mellékletét képezi.</w:t>
      </w:r>
    </w:p>
    <w:p w:rsidR="008E1ED3" w:rsidRPr="008E1ED3" w:rsidRDefault="008E1ED3" w:rsidP="008E1ED3">
      <w:pPr>
        <w:jc w:val="both"/>
        <w:rPr>
          <w:rFonts w:cs="Arial"/>
          <w:iCs/>
        </w:rPr>
      </w:pPr>
    </w:p>
    <w:p w:rsidR="006155BA" w:rsidRDefault="006155BA" w:rsidP="006155BA">
      <w:pPr>
        <w:pStyle w:val="Listaszerbekezds"/>
        <w:numPr>
          <w:ilvl w:val="0"/>
          <w:numId w:val="8"/>
        </w:numPr>
        <w:ind w:left="426"/>
        <w:jc w:val="both"/>
        <w:rPr>
          <w:rFonts w:cs="Arial"/>
          <w:iCs/>
        </w:rPr>
      </w:pPr>
      <w:r w:rsidRPr="006155BA">
        <w:rPr>
          <w:rFonts w:cs="Arial"/>
          <w:iCs/>
        </w:rPr>
        <w:t>A kedvezményezett és az 1407/2013/EU bizottsági rendelet 2. cikk (2) bekezdése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200.000 eurónak, közúti kereskedelmi árufuvarozást ellenszolgáltatás fejében végző vállalkozások esetében a 100.000 eurónak megfelelő forintösszeget, figyelembe véve az 1407/2013/EU bizottsági rendelet 3. cikk</w:t>
      </w:r>
      <w:r w:rsidR="007C596D">
        <w:rPr>
          <w:rFonts w:cs="Arial"/>
          <w:iCs/>
        </w:rPr>
        <w:t xml:space="preserve">ének (8) és (9) bekezdését is. </w:t>
      </w:r>
      <w:r w:rsidRPr="006155BA">
        <w:rPr>
          <w:rFonts w:cs="Arial"/>
          <w:iCs/>
        </w:rPr>
        <w:t>Az átváltásnál az európai uniós versenyjogi értelemben vett állami támogatásokkal kapcsolatos eljárásról és a regionális támogatási térképről szóló 37/2011. (III. 22.) Korm. rendele</w:t>
      </w:r>
      <w:r w:rsidR="007C596D">
        <w:rPr>
          <w:rFonts w:cs="Arial"/>
          <w:iCs/>
        </w:rPr>
        <w:t>t 35. §-a alapján kell eljárni.</w:t>
      </w:r>
    </w:p>
    <w:p w:rsidR="008E1ED3" w:rsidRPr="006155BA" w:rsidRDefault="008E1ED3" w:rsidP="008E1ED3">
      <w:pPr>
        <w:pStyle w:val="Listaszerbekezds"/>
        <w:ind w:left="426"/>
        <w:jc w:val="both"/>
        <w:rPr>
          <w:rFonts w:cs="Arial"/>
          <w:iCs/>
        </w:rPr>
      </w:pPr>
    </w:p>
    <w:p w:rsidR="006155BA" w:rsidRDefault="006155BA" w:rsidP="006155BA">
      <w:pPr>
        <w:pStyle w:val="Listaszerbekezds"/>
        <w:numPr>
          <w:ilvl w:val="0"/>
          <w:numId w:val="8"/>
        </w:numPr>
        <w:ind w:left="426"/>
        <w:jc w:val="both"/>
        <w:rPr>
          <w:rFonts w:cs="Arial"/>
          <w:iCs/>
        </w:rPr>
      </w:pPr>
      <w:r w:rsidRPr="006155BA">
        <w:rPr>
          <w:rFonts w:cs="Arial"/>
          <w:iCs/>
        </w:rPr>
        <w:t>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 o.) megfelelően nyújtott csekély összegű támogatással a 360/2012/EU bizottsági rendeletben meghatározott felső határig halmozható. Az 1407/2013/EU bizottsági rendelet szerinti csekély összegű támogatás más csekély összegű támogatásokról szóló rendeleteknek megfelelően nyújtott csekély összegű támogatással az 1407/2013/EU bizottsági rendelet 3. cikkének (2) bekezdésében meghatározott felső határig halmozható.</w:t>
      </w:r>
    </w:p>
    <w:p w:rsidR="008E1ED3" w:rsidRPr="006155BA" w:rsidRDefault="008E1ED3" w:rsidP="008E1ED3">
      <w:pPr>
        <w:pStyle w:val="Listaszerbekezds"/>
        <w:ind w:left="426"/>
        <w:jc w:val="both"/>
        <w:rPr>
          <w:rFonts w:cs="Arial"/>
          <w:iCs/>
        </w:rPr>
      </w:pPr>
    </w:p>
    <w:p w:rsidR="006155BA" w:rsidRPr="0066738A" w:rsidRDefault="006155BA" w:rsidP="006155BA">
      <w:pPr>
        <w:pStyle w:val="Listaszerbekezds"/>
        <w:numPr>
          <w:ilvl w:val="0"/>
          <w:numId w:val="8"/>
        </w:numPr>
        <w:ind w:left="426"/>
        <w:jc w:val="both"/>
        <w:rPr>
          <w:rFonts w:cs="Arial"/>
          <w:iCs/>
          <w:sz w:val="22"/>
          <w:szCs w:val="22"/>
        </w:rPr>
      </w:pPr>
      <w:r w:rsidRPr="006155BA">
        <w:rPr>
          <w:rFonts w:cs="Arial"/>
          <w:iCs/>
        </w:rPr>
        <w:t xml:space="preserve">A csekély összegű támogatás nem halmozható azonos támogatható költségek vonatkozásában vagy azonos kockázatfinanszírozási célú intézkedés </w:t>
      </w:r>
      <w:r w:rsidRPr="006155BA">
        <w:rPr>
          <w:rFonts w:cs="Arial"/>
          <w:iCs/>
        </w:rPr>
        <w:lastRenderedPageBreak/>
        <w:t>vonatkozásában nyújtott állami támogatással, ha a támogatások halmozása túllépi bármely csoportmentességi rendeletben vagy a Bizottság által elfogadott határozatban az egyes esetek meghatározott körülményeire vonatkozóan rögzített maximális intenzitást vagy összeget.</w:t>
      </w:r>
    </w:p>
    <w:p w:rsidR="0066738A" w:rsidRPr="0066738A" w:rsidRDefault="0066738A" w:rsidP="0066738A">
      <w:pPr>
        <w:pStyle w:val="Listaszerbekezds"/>
        <w:rPr>
          <w:rFonts w:cs="Arial"/>
          <w:iCs/>
          <w:sz w:val="22"/>
          <w:szCs w:val="22"/>
        </w:rPr>
      </w:pPr>
    </w:p>
    <w:p w:rsidR="0066738A" w:rsidRPr="00F02550" w:rsidRDefault="0066738A" w:rsidP="006155BA">
      <w:pPr>
        <w:pStyle w:val="Listaszerbekezds"/>
        <w:numPr>
          <w:ilvl w:val="0"/>
          <w:numId w:val="8"/>
        </w:numPr>
        <w:ind w:left="426"/>
        <w:jc w:val="both"/>
        <w:rPr>
          <w:rFonts w:cs="Arial"/>
          <w:iCs/>
        </w:rPr>
      </w:pPr>
      <w:r w:rsidRPr="00F02550">
        <w:rPr>
          <w:rFonts w:cs="Arial"/>
          <w:iCs/>
        </w:rPr>
        <w:t xml:space="preserve">A támogatást nyújtó (önkormányzat) írásban tájékoztatja a kedvezményezettet a támogatás bruttó támogatási egyenértékben kifejezett összegéről és arról, hogy az csekély </w:t>
      </w:r>
      <w:r w:rsidR="00BF7114" w:rsidRPr="00F02550">
        <w:rPr>
          <w:rFonts w:cs="Arial"/>
          <w:iCs/>
        </w:rPr>
        <w:t>összegűnek minősül. Az igazolás jelen rendelet 2. mellékletét képezi.</w:t>
      </w:r>
    </w:p>
    <w:p w:rsidR="008E1ED3" w:rsidRPr="006155BA" w:rsidRDefault="008E1ED3" w:rsidP="008E1ED3">
      <w:pPr>
        <w:pStyle w:val="Listaszerbekezds"/>
        <w:ind w:left="426"/>
        <w:jc w:val="both"/>
        <w:rPr>
          <w:rFonts w:cs="Arial"/>
          <w:iCs/>
          <w:sz w:val="22"/>
          <w:szCs w:val="22"/>
        </w:rPr>
      </w:pPr>
    </w:p>
    <w:p w:rsidR="00F02A5E" w:rsidRPr="008E1ED3" w:rsidRDefault="00BF7114" w:rsidP="008E1ED3">
      <w:pPr>
        <w:pStyle w:val="Listaszerbekezds"/>
        <w:numPr>
          <w:ilvl w:val="0"/>
          <w:numId w:val="8"/>
        </w:numPr>
        <w:ind w:left="426"/>
        <w:jc w:val="both"/>
        <w:rPr>
          <w:rFonts w:cs="Arial"/>
          <w:sz w:val="22"/>
          <w:szCs w:val="22"/>
        </w:rPr>
      </w:pPr>
      <w:r>
        <w:rPr>
          <w:rFonts w:cs="Arial"/>
          <w:iCs/>
        </w:rPr>
        <w:t xml:space="preserve"> </w:t>
      </w:r>
      <w:r w:rsidR="008E1ED3" w:rsidRPr="008E1ED3">
        <w:rPr>
          <w:rFonts w:cs="Arial"/>
          <w:iCs/>
        </w:rPr>
        <w:t>A kedvezményezettnek a támogatáshoz kapcsolódó iratokat az odaítélést követő</w:t>
      </w:r>
      <w:r>
        <w:rPr>
          <w:rFonts w:cs="Arial"/>
          <w:iCs/>
        </w:rPr>
        <w:t xml:space="preserve"> </w:t>
      </w:r>
      <w:r w:rsidR="008E1ED3" w:rsidRPr="008E1ED3">
        <w:rPr>
          <w:rFonts w:cs="Arial"/>
          <w:iCs/>
        </w:rPr>
        <w:t>10 évig meg kell őriznie, és a támogatást nyújtó ilyen irányú felhívása esetén a támogatott köteles azokat bemutatni. A csekély összegű támogatási jogcímen nyújtott támogatásokról az Európai Bizottság kérésére 20 munkanapon belül információt kell szolgáltatni.</w:t>
      </w:r>
      <w:r w:rsidR="008E1ED3" w:rsidRPr="008E1ED3">
        <w:rPr>
          <w:rFonts w:cs="Arial"/>
        </w:rPr>
        <w:t>”</w:t>
      </w:r>
    </w:p>
    <w:p w:rsidR="00ED49D9" w:rsidRDefault="00ED49D9" w:rsidP="00FC6C8D">
      <w:pPr>
        <w:pStyle w:val="Szvegtrzs"/>
        <w:rPr>
          <w:rFonts w:ascii="Arial" w:hAnsi="Arial"/>
        </w:rPr>
      </w:pPr>
    </w:p>
    <w:p w:rsidR="00761ABB" w:rsidRDefault="00761ABB" w:rsidP="00063BD8">
      <w:pPr>
        <w:ind w:left="540" w:hanging="360"/>
        <w:jc w:val="both"/>
      </w:pPr>
      <w:bookmarkStart w:id="0" w:name="_GoBack"/>
      <w:bookmarkEnd w:id="0"/>
    </w:p>
    <w:p w:rsidR="008E7C77" w:rsidRDefault="008E1ED3" w:rsidP="008E7C77">
      <w:pPr>
        <w:jc w:val="center"/>
        <w:rPr>
          <w:b/>
        </w:rPr>
      </w:pPr>
      <w:r>
        <w:rPr>
          <w:b/>
        </w:rPr>
        <w:t>3</w:t>
      </w:r>
      <w:r w:rsidR="008E7C77">
        <w:rPr>
          <w:b/>
        </w:rPr>
        <w:t>. §</w:t>
      </w:r>
    </w:p>
    <w:p w:rsidR="00750566" w:rsidRDefault="00750566" w:rsidP="008E7C77">
      <w:pPr>
        <w:jc w:val="center"/>
        <w:rPr>
          <w:b/>
        </w:rPr>
      </w:pPr>
    </w:p>
    <w:p w:rsidR="00750566" w:rsidRPr="00750566" w:rsidRDefault="00750566" w:rsidP="00750566">
      <w:pPr>
        <w:jc w:val="both"/>
        <w:rPr>
          <w:rFonts w:cs="Arial"/>
        </w:rPr>
      </w:pPr>
      <w:r w:rsidRPr="00750566">
        <w:rPr>
          <w:rFonts w:cs="Arial"/>
        </w:rPr>
        <w:t>A R.</w:t>
      </w:r>
      <w:r w:rsidR="00C71909">
        <w:rPr>
          <w:rFonts w:cs="Arial"/>
        </w:rPr>
        <w:t xml:space="preserve"> az 1</w:t>
      </w:r>
      <w:r w:rsidR="0015705A">
        <w:rPr>
          <w:rFonts w:cs="Arial"/>
        </w:rPr>
        <w:t>.</w:t>
      </w:r>
      <w:r w:rsidR="00C71909">
        <w:rPr>
          <w:rFonts w:cs="Arial"/>
        </w:rPr>
        <w:t xml:space="preserve"> </w:t>
      </w:r>
      <w:r w:rsidR="00BF7114">
        <w:rPr>
          <w:rFonts w:cs="Arial"/>
        </w:rPr>
        <w:t xml:space="preserve">és 2. </w:t>
      </w:r>
      <w:r w:rsidR="00C71909">
        <w:rPr>
          <w:rFonts w:cs="Arial"/>
        </w:rPr>
        <w:t>melléklet szerinti</w:t>
      </w:r>
      <w:r w:rsidRPr="00750566">
        <w:rPr>
          <w:rFonts w:cs="Arial"/>
        </w:rPr>
        <w:t xml:space="preserve"> 1. </w:t>
      </w:r>
      <w:r w:rsidR="00BF7114">
        <w:rPr>
          <w:rFonts w:cs="Arial"/>
        </w:rPr>
        <w:t xml:space="preserve">és 2. </w:t>
      </w:r>
      <w:r w:rsidRPr="00750566">
        <w:rPr>
          <w:rFonts w:cs="Arial"/>
        </w:rPr>
        <w:t>melléklettel egészül ki.</w:t>
      </w:r>
    </w:p>
    <w:p w:rsidR="00750566" w:rsidRPr="00750566" w:rsidRDefault="00750566" w:rsidP="00750566">
      <w:pPr>
        <w:jc w:val="both"/>
      </w:pPr>
    </w:p>
    <w:p w:rsidR="003F3AE1" w:rsidRDefault="003F3AE1" w:rsidP="005C40DA">
      <w:pPr>
        <w:rPr>
          <w:b/>
        </w:rPr>
      </w:pPr>
    </w:p>
    <w:p w:rsidR="00750566" w:rsidRDefault="00750566" w:rsidP="00750566">
      <w:pPr>
        <w:jc w:val="center"/>
        <w:rPr>
          <w:b/>
        </w:rPr>
      </w:pPr>
      <w:r>
        <w:rPr>
          <w:b/>
        </w:rPr>
        <w:t>4. §</w:t>
      </w:r>
    </w:p>
    <w:p w:rsidR="00750566" w:rsidRDefault="00750566" w:rsidP="005C40DA">
      <w:pPr>
        <w:rPr>
          <w:b/>
        </w:rPr>
      </w:pPr>
    </w:p>
    <w:p w:rsidR="00247389" w:rsidRPr="003B57B3" w:rsidRDefault="00247389" w:rsidP="00247389">
      <w:pPr>
        <w:jc w:val="both"/>
      </w:pPr>
      <w:r w:rsidRPr="003B57B3">
        <w:t xml:space="preserve">Ez a rendelet 2016. január </w:t>
      </w:r>
      <w:r w:rsidR="00B907C1">
        <w:t xml:space="preserve">2. napján lép hatályba </w:t>
      </w:r>
      <w:r w:rsidR="006C4518">
        <w:t>azzal, hogy rendelkezéseit 2016. január 1. napjától kell alkalmazni.</w:t>
      </w:r>
    </w:p>
    <w:p w:rsidR="00DB662F" w:rsidRDefault="00DB662F" w:rsidP="00DB662F">
      <w:pPr>
        <w:jc w:val="both"/>
      </w:pPr>
    </w:p>
    <w:p w:rsidR="003F3AE1" w:rsidRDefault="003F3AE1" w:rsidP="00DB662F">
      <w:pPr>
        <w:jc w:val="both"/>
        <w:rPr>
          <w:b/>
        </w:rPr>
      </w:pPr>
    </w:p>
    <w:p w:rsidR="00DB662F" w:rsidRDefault="00DB662F" w:rsidP="00DB662F">
      <w:pPr>
        <w:jc w:val="both"/>
      </w:pPr>
    </w:p>
    <w:p w:rsidR="003F3AE1" w:rsidRDefault="003F3AE1" w:rsidP="003F3AE1">
      <w:pPr>
        <w:ind w:left="720" w:hanging="720"/>
        <w:jc w:val="both"/>
      </w:pPr>
    </w:p>
    <w:p w:rsidR="003F3AE1" w:rsidRDefault="003F3AE1" w:rsidP="003F3AE1">
      <w:pPr>
        <w:ind w:left="720" w:hanging="720"/>
        <w:jc w:val="both"/>
        <w:rPr>
          <w:b/>
        </w:rPr>
      </w:pPr>
      <w:r>
        <w:tab/>
      </w:r>
      <w:r>
        <w:rPr>
          <w:b/>
        </w:rPr>
        <w:t>(: Dr. Puskás Tivadar :)</w:t>
      </w:r>
      <w:r>
        <w:rPr>
          <w:b/>
        </w:rPr>
        <w:tab/>
      </w:r>
      <w:r>
        <w:rPr>
          <w:b/>
        </w:rPr>
        <w:tab/>
      </w:r>
      <w:r>
        <w:rPr>
          <w:b/>
        </w:rPr>
        <w:tab/>
      </w:r>
      <w:r>
        <w:rPr>
          <w:b/>
        </w:rPr>
        <w:tab/>
        <w:t xml:space="preserve">(: Dr. </w:t>
      </w:r>
      <w:r w:rsidR="00AF3129">
        <w:rPr>
          <w:b/>
        </w:rPr>
        <w:t>Károlyi Ákos</w:t>
      </w:r>
      <w:r>
        <w:rPr>
          <w:b/>
        </w:rPr>
        <w:t xml:space="preserve"> :)</w:t>
      </w:r>
    </w:p>
    <w:p w:rsidR="00EF41DE" w:rsidRDefault="00EF41DE" w:rsidP="003F3AE1">
      <w:pPr>
        <w:ind w:left="720" w:hanging="720"/>
        <w:jc w:val="both"/>
        <w:rPr>
          <w:b/>
        </w:rPr>
      </w:pPr>
      <w:r>
        <w:rPr>
          <w:b/>
        </w:rPr>
        <w:t xml:space="preserve">              </w:t>
      </w:r>
      <w:r w:rsidR="008E3D89">
        <w:rPr>
          <w:b/>
        </w:rPr>
        <w:t xml:space="preserve"> </w:t>
      </w:r>
      <w:r>
        <w:rPr>
          <w:b/>
        </w:rPr>
        <w:t xml:space="preserve">   polgármester                                                        jegyző</w:t>
      </w:r>
    </w:p>
    <w:p w:rsidR="009B05CC" w:rsidRDefault="009B05CC"/>
    <w:sectPr w:rsidR="009B05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FDD" w:rsidRDefault="003C6FDD" w:rsidP="003C6FDD">
      <w:r>
        <w:separator/>
      </w:r>
    </w:p>
  </w:endnote>
  <w:endnote w:type="continuationSeparator" w:id="0">
    <w:p w:rsidR="003C6FDD" w:rsidRDefault="003C6FDD" w:rsidP="003C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FDD" w:rsidRDefault="003C6FDD" w:rsidP="003C6FDD">
      <w:r>
        <w:separator/>
      </w:r>
    </w:p>
  </w:footnote>
  <w:footnote w:type="continuationSeparator" w:id="0">
    <w:p w:rsidR="003C6FDD" w:rsidRDefault="003C6FDD" w:rsidP="003C6F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A7624"/>
    <w:multiLevelType w:val="hybridMultilevel"/>
    <w:tmpl w:val="EA765A24"/>
    <w:lvl w:ilvl="0" w:tplc="F94C6C22">
      <w:start w:val="1"/>
      <w:numFmt w:val="decimal"/>
      <w:lvlText w:val="(%1)"/>
      <w:lvlJc w:val="left"/>
      <w:pPr>
        <w:ind w:left="795" w:hanging="435"/>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177215A"/>
    <w:multiLevelType w:val="hybridMultilevel"/>
    <w:tmpl w:val="48764F68"/>
    <w:lvl w:ilvl="0" w:tplc="A6BCF9D6">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 w15:restartNumberingAfterBreak="0">
    <w:nsid w:val="42EF7B27"/>
    <w:multiLevelType w:val="hybridMultilevel"/>
    <w:tmpl w:val="4D5AEF50"/>
    <w:lvl w:ilvl="0" w:tplc="8CCCE9D6">
      <w:start w:val="1"/>
      <w:numFmt w:val="decimal"/>
      <w:lvlText w:val="(%1)"/>
      <w:lvlJc w:val="left"/>
      <w:pPr>
        <w:ind w:left="795" w:hanging="435"/>
      </w:pPr>
      <w:rPr>
        <w:rFonts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7262F09"/>
    <w:multiLevelType w:val="hybridMultilevel"/>
    <w:tmpl w:val="44109B1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602A78A4"/>
    <w:multiLevelType w:val="hybridMultilevel"/>
    <w:tmpl w:val="1DAEF218"/>
    <w:lvl w:ilvl="0" w:tplc="7172AB6C">
      <w:start w:val="1"/>
      <w:numFmt w:val="decimal"/>
      <w:lvlText w:val="(%1)"/>
      <w:lvlJc w:val="left"/>
      <w:pPr>
        <w:tabs>
          <w:tab w:val="num" w:pos="870"/>
        </w:tabs>
        <w:ind w:left="870" w:hanging="51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6C2D4519"/>
    <w:multiLevelType w:val="hybridMultilevel"/>
    <w:tmpl w:val="0D548F58"/>
    <w:lvl w:ilvl="0" w:tplc="3D18452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4A93593"/>
    <w:multiLevelType w:val="hybridMultilevel"/>
    <w:tmpl w:val="24901862"/>
    <w:lvl w:ilvl="0" w:tplc="040E0001">
      <w:start w:val="1"/>
      <w:numFmt w:val="bullet"/>
      <w:lvlText w:val=""/>
      <w:lvlJc w:val="left"/>
      <w:pPr>
        <w:tabs>
          <w:tab w:val="num" w:pos="720"/>
        </w:tabs>
        <w:ind w:left="72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7F4970A5"/>
    <w:multiLevelType w:val="hybridMultilevel"/>
    <w:tmpl w:val="726626CC"/>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7"/>
  </w:num>
  <w:num w:numId="4">
    <w:abstractNumId w:val="4"/>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47"/>
    <w:rsid w:val="00016647"/>
    <w:rsid w:val="00033452"/>
    <w:rsid w:val="00063BD8"/>
    <w:rsid w:val="000E1306"/>
    <w:rsid w:val="000E1FAA"/>
    <w:rsid w:val="000E6BE9"/>
    <w:rsid w:val="00104EAA"/>
    <w:rsid w:val="00120C21"/>
    <w:rsid w:val="00125077"/>
    <w:rsid w:val="0015705A"/>
    <w:rsid w:val="00177547"/>
    <w:rsid w:val="00182D1A"/>
    <w:rsid w:val="00184FA4"/>
    <w:rsid w:val="00193F4C"/>
    <w:rsid w:val="001B3414"/>
    <w:rsid w:val="001C0D27"/>
    <w:rsid w:val="001E537E"/>
    <w:rsid w:val="0021667C"/>
    <w:rsid w:val="00247389"/>
    <w:rsid w:val="0027622F"/>
    <w:rsid w:val="0031258A"/>
    <w:rsid w:val="00337D95"/>
    <w:rsid w:val="003B31AA"/>
    <w:rsid w:val="003B57B3"/>
    <w:rsid w:val="003C6FDD"/>
    <w:rsid w:val="003F3AE1"/>
    <w:rsid w:val="00414BAA"/>
    <w:rsid w:val="004631EE"/>
    <w:rsid w:val="004720B4"/>
    <w:rsid w:val="004C1640"/>
    <w:rsid w:val="004E32E5"/>
    <w:rsid w:val="004E5BCA"/>
    <w:rsid w:val="005074B1"/>
    <w:rsid w:val="00512E2C"/>
    <w:rsid w:val="00516BC7"/>
    <w:rsid w:val="00523808"/>
    <w:rsid w:val="00532D8B"/>
    <w:rsid w:val="00546E6E"/>
    <w:rsid w:val="00552B1E"/>
    <w:rsid w:val="005575BA"/>
    <w:rsid w:val="00573ACB"/>
    <w:rsid w:val="00574EF1"/>
    <w:rsid w:val="00587BF3"/>
    <w:rsid w:val="0059376D"/>
    <w:rsid w:val="005C40DA"/>
    <w:rsid w:val="005D0AE4"/>
    <w:rsid w:val="005E485B"/>
    <w:rsid w:val="006155BA"/>
    <w:rsid w:val="0062636B"/>
    <w:rsid w:val="00631C94"/>
    <w:rsid w:val="006358C9"/>
    <w:rsid w:val="00640423"/>
    <w:rsid w:val="0066738A"/>
    <w:rsid w:val="00672A36"/>
    <w:rsid w:val="00692CF1"/>
    <w:rsid w:val="006C4518"/>
    <w:rsid w:val="007067B0"/>
    <w:rsid w:val="00716396"/>
    <w:rsid w:val="00716C13"/>
    <w:rsid w:val="00725360"/>
    <w:rsid w:val="00750566"/>
    <w:rsid w:val="00761ABB"/>
    <w:rsid w:val="00764B5A"/>
    <w:rsid w:val="007A35F4"/>
    <w:rsid w:val="007B4D9C"/>
    <w:rsid w:val="007C596D"/>
    <w:rsid w:val="007C7C88"/>
    <w:rsid w:val="007F59FD"/>
    <w:rsid w:val="008352DE"/>
    <w:rsid w:val="00847AFE"/>
    <w:rsid w:val="00867F9F"/>
    <w:rsid w:val="008D0CF3"/>
    <w:rsid w:val="008E1ED3"/>
    <w:rsid w:val="008E3D89"/>
    <w:rsid w:val="008E7C77"/>
    <w:rsid w:val="00913B82"/>
    <w:rsid w:val="009311C0"/>
    <w:rsid w:val="0093367B"/>
    <w:rsid w:val="00950CFE"/>
    <w:rsid w:val="0095261E"/>
    <w:rsid w:val="009754F7"/>
    <w:rsid w:val="0097696D"/>
    <w:rsid w:val="009B05CC"/>
    <w:rsid w:val="00A15FD6"/>
    <w:rsid w:val="00A5702F"/>
    <w:rsid w:val="00A66300"/>
    <w:rsid w:val="00A872BE"/>
    <w:rsid w:val="00AD2D79"/>
    <w:rsid w:val="00AF3129"/>
    <w:rsid w:val="00B06725"/>
    <w:rsid w:val="00B33C67"/>
    <w:rsid w:val="00B37231"/>
    <w:rsid w:val="00B67E55"/>
    <w:rsid w:val="00B907C1"/>
    <w:rsid w:val="00B91FBD"/>
    <w:rsid w:val="00BF7114"/>
    <w:rsid w:val="00C079EA"/>
    <w:rsid w:val="00C54053"/>
    <w:rsid w:val="00C66EFF"/>
    <w:rsid w:val="00C71909"/>
    <w:rsid w:val="00CA59C5"/>
    <w:rsid w:val="00CC0F4D"/>
    <w:rsid w:val="00CC217D"/>
    <w:rsid w:val="00D461DD"/>
    <w:rsid w:val="00DB662F"/>
    <w:rsid w:val="00DC21F4"/>
    <w:rsid w:val="00DD3297"/>
    <w:rsid w:val="00DF2BC7"/>
    <w:rsid w:val="00E371E9"/>
    <w:rsid w:val="00E943C8"/>
    <w:rsid w:val="00EC5262"/>
    <w:rsid w:val="00ED49D9"/>
    <w:rsid w:val="00EF41DE"/>
    <w:rsid w:val="00F02550"/>
    <w:rsid w:val="00F02A5E"/>
    <w:rsid w:val="00F248E2"/>
    <w:rsid w:val="00F306CB"/>
    <w:rsid w:val="00F5425A"/>
    <w:rsid w:val="00F833CF"/>
    <w:rsid w:val="00F94E73"/>
    <w:rsid w:val="00FC207D"/>
    <w:rsid w:val="00FC6C8D"/>
    <w:rsid w:val="00FC7A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C3CA28-D269-4BAD-BCF1-803089CA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1FBD"/>
    <w:rPr>
      <w:rFonts w:ascii="Arial" w:hAnsi="Arial"/>
      <w:sz w:val="24"/>
      <w:szCs w:val="24"/>
    </w:rPr>
  </w:style>
  <w:style w:type="paragraph" w:styleId="Cmsor2">
    <w:name w:val="heading 2"/>
    <w:basedOn w:val="Norml"/>
    <w:next w:val="Norml"/>
    <w:qFormat/>
    <w:rsid w:val="00A5702F"/>
    <w:pPr>
      <w:keepNext/>
      <w:jc w:val="center"/>
      <w:outlineLvl w:val="1"/>
    </w:pPr>
    <w:rPr>
      <w:rFonts w:ascii="Times New Roman" w:hAnsi="Times New Roman"/>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rzs21">
    <w:name w:val="Szövegtörzs 21"/>
    <w:basedOn w:val="Norml"/>
    <w:rsid w:val="00FC207D"/>
    <w:pPr>
      <w:tabs>
        <w:tab w:val="left" w:pos="851"/>
      </w:tabs>
      <w:overflowPunct w:val="0"/>
      <w:autoSpaceDE w:val="0"/>
      <w:autoSpaceDN w:val="0"/>
      <w:adjustRightInd w:val="0"/>
      <w:ind w:left="851" w:hanging="851"/>
      <w:jc w:val="both"/>
      <w:textAlignment w:val="baseline"/>
    </w:pPr>
    <w:rPr>
      <w:rFonts w:ascii="Times New Roman" w:hAnsi="Times New Roman"/>
      <w:szCs w:val="20"/>
    </w:rPr>
  </w:style>
  <w:style w:type="paragraph" w:customStyle="1" w:styleId="Szvegtrzsbehzssal21">
    <w:name w:val="Szövegtörzs behúzással 21"/>
    <w:basedOn w:val="Norml"/>
    <w:rsid w:val="00FC207D"/>
    <w:pPr>
      <w:tabs>
        <w:tab w:val="left" w:pos="851"/>
      </w:tabs>
      <w:overflowPunct w:val="0"/>
      <w:autoSpaceDE w:val="0"/>
      <w:autoSpaceDN w:val="0"/>
      <w:adjustRightInd w:val="0"/>
      <w:ind w:left="851" w:hanging="851"/>
      <w:jc w:val="both"/>
      <w:textAlignment w:val="baseline"/>
    </w:pPr>
    <w:rPr>
      <w:rFonts w:ascii="Times New Roman" w:hAnsi="Times New Roman"/>
      <w:b/>
      <w:szCs w:val="20"/>
    </w:rPr>
  </w:style>
  <w:style w:type="paragraph" w:styleId="Szvegtrzs">
    <w:name w:val="Body Text"/>
    <w:basedOn w:val="Norml"/>
    <w:rsid w:val="00C54053"/>
    <w:pPr>
      <w:jc w:val="both"/>
    </w:pPr>
    <w:rPr>
      <w:rFonts w:ascii="Times New Roman" w:hAnsi="Times New Roman"/>
    </w:rPr>
  </w:style>
  <w:style w:type="paragraph" w:styleId="Szvegtrzs2">
    <w:name w:val="Body Text 2"/>
    <w:basedOn w:val="Norml"/>
    <w:rsid w:val="00DB662F"/>
    <w:pPr>
      <w:spacing w:after="120" w:line="480" w:lineRule="auto"/>
    </w:pPr>
  </w:style>
  <w:style w:type="paragraph" w:styleId="Buborkszveg">
    <w:name w:val="Balloon Text"/>
    <w:basedOn w:val="Norml"/>
    <w:semiHidden/>
    <w:rsid w:val="00A5702F"/>
    <w:rPr>
      <w:rFonts w:ascii="Tahoma" w:hAnsi="Tahoma" w:cs="Tahoma"/>
      <w:sz w:val="16"/>
      <w:szCs w:val="16"/>
    </w:rPr>
  </w:style>
  <w:style w:type="paragraph" w:styleId="lfej">
    <w:name w:val="header"/>
    <w:basedOn w:val="Norml"/>
    <w:link w:val="lfejChar"/>
    <w:rsid w:val="003C6FDD"/>
    <w:pPr>
      <w:tabs>
        <w:tab w:val="center" w:pos="4536"/>
        <w:tab w:val="right" w:pos="9072"/>
      </w:tabs>
    </w:pPr>
  </w:style>
  <w:style w:type="character" w:customStyle="1" w:styleId="lfejChar">
    <w:name w:val="Élőfej Char"/>
    <w:basedOn w:val="Bekezdsalapbettpusa"/>
    <w:link w:val="lfej"/>
    <w:rsid w:val="003C6FDD"/>
    <w:rPr>
      <w:rFonts w:ascii="Arial" w:hAnsi="Arial"/>
      <w:sz w:val="24"/>
      <w:szCs w:val="24"/>
    </w:rPr>
  </w:style>
  <w:style w:type="paragraph" w:styleId="llb">
    <w:name w:val="footer"/>
    <w:basedOn w:val="Norml"/>
    <w:link w:val="llbChar"/>
    <w:rsid w:val="003C6FDD"/>
    <w:pPr>
      <w:tabs>
        <w:tab w:val="center" w:pos="4536"/>
        <w:tab w:val="right" w:pos="9072"/>
      </w:tabs>
    </w:pPr>
  </w:style>
  <w:style w:type="character" w:customStyle="1" w:styleId="llbChar">
    <w:name w:val="Élőláb Char"/>
    <w:basedOn w:val="Bekezdsalapbettpusa"/>
    <w:link w:val="llb"/>
    <w:rsid w:val="003C6FDD"/>
    <w:rPr>
      <w:rFonts w:ascii="Arial" w:hAnsi="Arial"/>
      <w:sz w:val="24"/>
      <w:szCs w:val="24"/>
    </w:rPr>
  </w:style>
  <w:style w:type="paragraph" w:styleId="Listaszerbekezds">
    <w:name w:val="List Paragraph"/>
    <w:basedOn w:val="Norml"/>
    <w:uiPriority w:val="34"/>
    <w:qFormat/>
    <w:rsid w:val="003B5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162507">
      <w:bodyDiv w:val="1"/>
      <w:marLeft w:val="0"/>
      <w:marRight w:val="0"/>
      <w:marTop w:val="0"/>
      <w:marBottom w:val="0"/>
      <w:divBdr>
        <w:top w:val="none" w:sz="0" w:space="0" w:color="auto"/>
        <w:left w:val="none" w:sz="0" w:space="0" w:color="auto"/>
        <w:bottom w:val="none" w:sz="0" w:space="0" w:color="auto"/>
        <w:right w:val="none" w:sz="0" w:space="0" w:color="auto"/>
      </w:divBdr>
    </w:div>
    <w:div w:id="333191473">
      <w:bodyDiv w:val="1"/>
      <w:marLeft w:val="0"/>
      <w:marRight w:val="0"/>
      <w:marTop w:val="0"/>
      <w:marBottom w:val="0"/>
      <w:divBdr>
        <w:top w:val="none" w:sz="0" w:space="0" w:color="auto"/>
        <w:left w:val="none" w:sz="0" w:space="0" w:color="auto"/>
        <w:bottom w:val="none" w:sz="0" w:space="0" w:color="auto"/>
        <w:right w:val="none" w:sz="0" w:space="0" w:color="auto"/>
      </w:divBdr>
    </w:div>
    <w:div w:id="550265148">
      <w:bodyDiv w:val="1"/>
      <w:marLeft w:val="0"/>
      <w:marRight w:val="0"/>
      <w:marTop w:val="0"/>
      <w:marBottom w:val="0"/>
      <w:divBdr>
        <w:top w:val="none" w:sz="0" w:space="0" w:color="auto"/>
        <w:left w:val="none" w:sz="0" w:space="0" w:color="auto"/>
        <w:bottom w:val="none" w:sz="0" w:space="0" w:color="auto"/>
        <w:right w:val="none" w:sz="0" w:space="0" w:color="auto"/>
      </w:divBdr>
    </w:div>
    <w:div w:id="960110698">
      <w:bodyDiv w:val="1"/>
      <w:marLeft w:val="0"/>
      <w:marRight w:val="0"/>
      <w:marTop w:val="0"/>
      <w:marBottom w:val="0"/>
      <w:divBdr>
        <w:top w:val="none" w:sz="0" w:space="0" w:color="auto"/>
        <w:left w:val="none" w:sz="0" w:space="0" w:color="auto"/>
        <w:bottom w:val="none" w:sz="0" w:space="0" w:color="auto"/>
        <w:right w:val="none" w:sz="0" w:space="0" w:color="auto"/>
      </w:divBdr>
    </w:div>
    <w:div w:id="1021125588">
      <w:bodyDiv w:val="1"/>
      <w:marLeft w:val="0"/>
      <w:marRight w:val="0"/>
      <w:marTop w:val="0"/>
      <w:marBottom w:val="0"/>
      <w:divBdr>
        <w:top w:val="none" w:sz="0" w:space="0" w:color="auto"/>
        <w:left w:val="none" w:sz="0" w:space="0" w:color="auto"/>
        <w:bottom w:val="none" w:sz="0" w:space="0" w:color="auto"/>
        <w:right w:val="none" w:sz="0" w:space="0" w:color="auto"/>
      </w:divBdr>
    </w:div>
    <w:div w:id="1429764728">
      <w:bodyDiv w:val="1"/>
      <w:marLeft w:val="0"/>
      <w:marRight w:val="0"/>
      <w:marTop w:val="0"/>
      <w:marBottom w:val="0"/>
      <w:divBdr>
        <w:top w:val="none" w:sz="0" w:space="0" w:color="auto"/>
        <w:left w:val="none" w:sz="0" w:space="0" w:color="auto"/>
        <w:bottom w:val="none" w:sz="0" w:space="0" w:color="auto"/>
        <w:right w:val="none" w:sz="0" w:space="0" w:color="auto"/>
      </w:divBdr>
    </w:div>
    <w:div w:id="1829205821">
      <w:bodyDiv w:val="1"/>
      <w:marLeft w:val="0"/>
      <w:marRight w:val="0"/>
      <w:marTop w:val="0"/>
      <w:marBottom w:val="0"/>
      <w:divBdr>
        <w:top w:val="none" w:sz="0" w:space="0" w:color="auto"/>
        <w:left w:val="none" w:sz="0" w:space="0" w:color="auto"/>
        <w:bottom w:val="none" w:sz="0" w:space="0" w:color="auto"/>
        <w:right w:val="none" w:sz="0" w:space="0" w:color="auto"/>
      </w:divBdr>
    </w:div>
    <w:div w:id="1979844235">
      <w:bodyDiv w:val="1"/>
      <w:marLeft w:val="0"/>
      <w:marRight w:val="0"/>
      <w:marTop w:val="0"/>
      <w:marBottom w:val="0"/>
      <w:divBdr>
        <w:top w:val="none" w:sz="0" w:space="0" w:color="auto"/>
        <w:left w:val="none" w:sz="0" w:space="0" w:color="auto"/>
        <w:bottom w:val="none" w:sz="0" w:space="0" w:color="auto"/>
        <w:right w:val="none" w:sz="0" w:space="0" w:color="auto"/>
      </w:divBdr>
    </w:div>
    <w:div w:id="202940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863B1-D731-4076-81FB-8747303D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5726</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Szombathely Megyei Jogú Város Önkormányzata Közgyűlése</vt:lpstr>
    </vt:vector>
  </TitlesOfParts>
  <Company>SZMJV Polg. Hiv.</Company>
  <LinksUpToDate>false</LinksUpToDate>
  <CharactersWithSpaces>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Szombathely Megyei Jogú Város Önkormányzata Közgyűlése</dc:title>
  <dc:subject/>
  <dc:creator>Nagyné Dr. Gats Andrea</dc:creator>
  <cp:keywords/>
  <dc:description/>
  <cp:lastModifiedBy>Németh Klaudia</cp:lastModifiedBy>
  <cp:revision>5</cp:revision>
  <cp:lastPrinted>2015-12-01T09:21:00Z</cp:lastPrinted>
  <dcterms:created xsi:type="dcterms:W3CDTF">2015-12-01T09:08:00Z</dcterms:created>
  <dcterms:modified xsi:type="dcterms:W3CDTF">2015-12-01T13:24:00Z</dcterms:modified>
</cp:coreProperties>
</file>