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23" w:rsidRDefault="00101623" w:rsidP="00101623">
      <w:pPr>
        <w:jc w:val="center"/>
        <w:rPr>
          <w:rFonts w:ascii="Arial" w:hAnsi="Arial" w:cs="Arial"/>
          <w:b/>
          <w:u w:val="single"/>
        </w:rPr>
      </w:pPr>
    </w:p>
    <w:p w:rsidR="00101623" w:rsidRDefault="00101623" w:rsidP="001016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 L Ő T E R J E S Z T É S </w:t>
      </w:r>
    </w:p>
    <w:p w:rsidR="00101623" w:rsidRDefault="00101623" w:rsidP="00101623">
      <w:pPr>
        <w:jc w:val="center"/>
        <w:rPr>
          <w:rFonts w:ascii="Arial" w:hAnsi="Arial" w:cs="Arial"/>
          <w:b/>
          <w:u w:val="single"/>
        </w:rPr>
      </w:pPr>
    </w:p>
    <w:p w:rsidR="00101623" w:rsidRDefault="00101623" w:rsidP="001016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Közgyűlésének </w:t>
      </w:r>
    </w:p>
    <w:p w:rsidR="00101623" w:rsidRDefault="00101623" w:rsidP="001016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7A607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r w:rsidR="00F846B4">
        <w:rPr>
          <w:rFonts w:ascii="Arial" w:hAnsi="Arial" w:cs="Arial"/>
          <w:b/>
        </w:rPr>
        <w:t>december 10</w:t>
      </w:r>
      <w:r>
        <w:rPr>
          <w:rFonts w:ascii="Arial" w:hAnsi="Arial" w:cs="Arial"/>
          <w:b/>
        </w:rPr>
        <w:t>. napi ülésére</w:t>
      </w:r>
    </w:p>
    <w:p w:rsidR="00101623" w:rsidRDefault="00101623" w:rsidP="00101623">
      <w:pPr>
        <w:jc w:val="center"/>
        <w:rPr>
          <w:rFonts w:ascii="Arial" w:hAnsi="Arial" w:cs="Arial"/>
          <w:b/>
        </w:rPr>
      </w:pPr>
    </w:p>
    <w:p w:rsidR="00101623" w:rsidRPr="00F846B4" w:rsidRDefault="00F846B4" w:rsidP="00101623">
      <w:pPr>
        <w:jc w:val="center"/>
        <w:rPr>
          <w:rFonts w:ascii="Arial" w:hAnsi="Arial" w:cs="Arial"/>
          <w:b/>
        </w:rPr>
      </w:pPr>
      <w:r w:rsidRPr="00F846B4">
        <w:rPr>
          <w:rFonts w:ascii="Arial" w:hAnsi="Arial" w:cs="Arial"/>
          <w:b/>
        </w:rPr>
        <w:t xml:space="preserve">Javaslat </w:t>
      </w:r>
      <w:r w:rsidR="00263F8C">
        <w:rPr>
          <w:rFonts w:ascii="Arial" w:hAnsi="Arial" w:cs="Arial"/>
          <w:b/>
        </w:rPr>
        <w:t xml:space="preserve">a </w:t>
      </w:r>
      <w:r w:rsidRPr="00F846B4">
        <w:rPr>
          <w:rFonts w:ascii="Arial" w:hAnsi="Arial" w:cs="Arial"/>
          <w:b/>
        </w:rPr>
        <w:t>helyi adókról szóló 38/2011.(XII.19.) önkormányzati rendelet módosítására</w:t>
      </w:r>
    </w:p>
    <w:p w:rsidR="00F846B4" w:rsidRDefault="00F846B4" w:rsidP="00101623">
      <w:pPr>
        <w:jc w:val="center"/>
        <w:rPr>
          <w:rFonts w:ascii="Arial" w:hAnsi="Arial" w:cs="Arial"/>
          <w:b/>
        </w:rPr>
      </w:pPr>
    </w:p>
    <w:p w:rsidR="005E6E6E" w:rsidRDefault="005E6E6E" w:rsidP="005E6E6E">
      <w:pPr>
        <w:jc w:val="both"/>
        <w:rPr>
          <w:rFonts w:ascii="Arial" w:hAnsi="Arial" w:cs="Arial"/>
          <w:b/>
        </w:rPr>
      </w:pPr>
    </w:p>
    <w:p w:rsidR="00A51ABA" w:rsidRDefault="00D86F18" w:rsidP="005E6E6E">
      <w:pPr>
        <w:jc w:val="both"/>
        <w:rPr>
          <w:rFonts w:ascii="Arial" w:hAnsi="Arial" w:cs="Arial"/>
        </w:rPr>
      </w:pPr>
      <w:r w:rsidRPr="00D86F18">
        <w:rPr>
          <w:rFonts w:ascii="Arial" w:hAnsi="Arial" w:cs="Arial"/>
        </w:rPr>
        <w:t xml:space="preserve">A helyi adókról szóló 1990. évi C. törvény (a továbbiakban: </w:t>
      </w:r>
      <w:proofErr w:type="spellStart"/>
      <w:r w:rsidRPr="00D86F18">
        <w:rPr>
          <w:rFonts w:ascii="Arial" w:hAnsi="Arial" w:cs="Arial"/>
        </w:rPr>
        <w:t>Htv</w:t>
      </w:r>
      <w:proofErr w:type="spellEnd"/>
      <w:r w:rsidRPr="00D86F18">
        <w:rPr>
          <w:rFonts w:ascii="Arial" w:hAnsi="Arial" w:cs="Arial"/>
        </w:rPr>
        <w:t xml:space="preserve">.) </w:t>
      </w:r>
      <w:r w:rsidR="00A51ABA">
        <w:rPr>
          <w:rFonts w:ascii="Arial" w:hAnsi="Arial" w:cs="Arial"/>
        </w:rPr>
        <w:t>2016. január 1. napján hatályba lépő módosítása értelmében az Önkormányzat által a vállalkozók számára nyújtható helyi iparűzési adómentesség, adókedvezmény köre kibővítésre k</w:t>
      </w:r>
      <w:r w:rsidR="003E2CDF">
        <w:rPr>
          <w:rFonts w:ascii="Arial" w:hAnsi="Arial" w:cs="Arial"/>
        </w:rPr>
        <w:t>erül.</w:t>
      </w:r>
    </w:p>
    <w:p w:rsidR="008921ED" w:rsidRDefault="00A51ABA" w:rsidP="008921ED">
      <w:pPr>
        <w:pStyle w:val="lfej"/>
        <w:tabs>
          <w:tab w:val="clear" w:pos="4536"/>
          <w:tab w:val="clear" w:pos="9072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jelenleg is hatályban lévő 2,5 millió forint vállalkozási szintű adóalap alatti vállalkozások részére biztosítható adómentesség, adókedvezmény mellett az Önkormányzat rendeletében jogosult </w:t>
      </w:r>
      <w:r w:rsidR="008921ED">
        <w:rPr>
          <w:rFonts w:ascii="Arial" w:hAnsi="Arial"/>
        </w:rPr>
        <w:t xml:space="preserve">a </w:t>
      </w:r>
      <w:r w:rsidR="008921ED" w:rsidRPr="00920583">
        <w:rPr>
          <w:rFonts w:ascii="Arial" w:hAnsi="Arial"/>
          <w:b/>
        </w:rPr>
        <w:t xml:space="preserve">háziorvos, házi gyermekorvos, fogorvos, védőnő vállalkozó </w:t>
      </w:r>
      <w:r w:rsidR="008921ED">
        <w:rPr>
          <w:rFonts w:ascii="Arial" w:hAnsi="Arial"/>
        </w:rPr>
        <w:t xml:space="preserve">számára mentességet, kedvezményt megállapítani. </w:t>
      </w:r>
    </w:p>
    <w:p w:rsidR="008921ED" w:rsidRPr="00A17C2E" w:rsidRDefault="008921ED" w:rsidP="008921ED">
      <w:pPr>
        <w:pStyle w:val="lfej"/>
        <w:tabs>
          <w:tab w:val="clear" w:pos="4536"/>
          <w:tab w:val="clear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A mentesség, kedvezmény igénybevételére az a vállalkozás jogosult, akinek/amelynek a </w:t>
      </w:r>
      <w:r w:rsidRPr="00920583">
        <w:rPr>
          <w:rFonts w:ascii="Arial" w:hAnsi="Arial"/>
          <w:b/>
        </w:rPr>
        <w:t>nettó árbevétele legalább 80%-ban alapellátási vagy védőnői tevékenységből</w:t>
      </w:r>
      <w:r w:rsidRPr="00A17C2E">
        <w:rPr>
          <w:rFonts w:ascii="Arial" w:hAnsi="Arial"/>
          <w:b/>
        </w:rPr>
        <w:t xml:space="preserve">, az Országos Egészségbiztosítási Pénztárral kötött finanszírozási szerződés alapján az Egészségbiztosítási Alapból </w:t>
      </w:r>
      <w:r w:rsidRPr="00920583">
        <w:rPr>
          <w:rFonts w:ascii="Arial" w:hAnsi="Arial"/>
          <w:b/>
        </w:rPr>
        <w:t>származik</w:t>
      </w:r>
      <w:r>
        <w:rPr>
          <w:rFonts w:ascii="Arial" w:hAnsi="Arial"/>
          <w:b/>
        </w:rPr>
        <w:t xml:space="preserve"> és</w:t>
      </w:r>
      <w:r>
        <w:rPr>
          <w:rFonts w:ascii="Arial" w:hAnsi="Arial"/>
        </w:rPr>
        <w:t xml:space="preserve"> </w:t>
      </w:r>
      <w:r w:rsidRPr="00920583">
        <w:rPr>
          <w:rFonts w:ascii="Arial" w:hAnsi="Arial"/>
          <w:b/>
        </w:rPr>
        <w:t>a vállalkozási szintű helyi iparűzési adóalapja az adóévben a 20 millió forintot nem haladja meg.</w:t>
      </w:r>
      <w:r>
        <w:rPr>
          <w:rFonts w:ascii="Arial" w:hAnsi="Arial"/>
          <w:b/>
        </w:rPr>
        <w:t xml:space="preserve"> </w:t>
      </w:r>
    </w:p>
    <w:p w:rsidR="002D7B9F" w:rsidRDefault="002D7B9F" w:rsidP="005E6E6E">
      <w:pPr>
        <w:jc w:val="both"/>
        <w:rPr>
          <w:rFonts w:ascii="Arial" w:hAnsi="Arial" w:cs="Arial"/>
        </w:rPr>
      </w:pPr>
    </w:p>
    <w:p w:rsidR="00F4577A" w:rsidRDefault="00A93F3A" w:rsidP="005E6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22A24">
        <w:rPr>
          <w:rFonts w:ascii="Arial" w:hAnsi="Arial" w:cs="Arial"/>
          <w:b/>
        </w:rPr>
        <w:t xml:space="preserve">rendelet </w:t>
      </w:r>
      <w:r w:rsidR="00746431">
        <w:rPr>
          <w:rFonts w:ascii="Arial" w:hAnsi="Arial" w:cs="Arial"/>
          <w:b/>
        </w:rPr>
        <w:t>módosítás</w:t>
      </w:r>
      <w:r>
        <w:rPr>
          <w:rFonts w:ascii="Arial" w:hAnsi="Arial" w:cs="Arial"/>
        </w:rPr>
        <w:t xml:space="preserve"> alapján Szombathely Megyei Jogú Város Önkormányzata </w:t>
      </w:r>
      <w:r w:rsidR="0051525F">
        <w:rPr>
          <w:rFonts w:ascii="Arial" w:hAnsi="Arial" w:cs="Arial"/>
        </w:rPr>
        <w:t xml:space="preserve">2016. január 1. napjától </w:t>
      </w:r>
      <w:r>
        <w:rPr>
          <w:rFonts w:ascii="Arial" w:hAnsi="Arial" w:cs="Arial"/>
        </w:rPr>
        <w:t xml:space="preserve">a háziorvosi, házi gyermekorvosi, fogorvosi alapellátást végző praxisok támogatását javító intézkedésként </w:t>
      </w:r>
      <w:r w:rsidR="0051525F">
        <w:rPr>
          <w:rFonts w:ascii="Arial" w:hAnsi="Arial" w:cs="Arial"/>
        </w:rPr>
        <w:t xml:space="preserve">adómentességet biztosítana </w:t>
      </w:r>
      <w:r>
        <w:rPr>
          <w:rFonts w:ascii="Arial" w:hAnsi="Arial" w:cs="Arial"/>
        </w:rPr>
        <w:t>azon vállalkozások részére, akiknek a vállalkozási szintű adóalapja az adóévben a 20 millió forintot nem haladja meg</w:t>
      </w:r>
      <w:r w:rsidR="00A7768F">
        <w:rPr>
          <w:rFonts w:ascii="Arial" w:hAnsi="Arial" w:cs="Arial"/>
        </w:rPr>
        <w:t>, továbbá a nettó árbevétele legalább 80%-ban az alapellátási tevékenységből származik</w:t>
      </w:r>
      <w:r w:rsidR="00746431">
        <w:rPr>
          <w:rFonts w:ascii="Arial" w:hAnsi="Arial" w:cs="Arial"/>
        </w:rPr>
        <w:t>, tehát a felhatalmazás alapján adható maximális kedvezményt biztosítja.</w:t>
      </w:r>
    </w:p>
    <w:p w:rsidR="00A7768F" w:rsidRDefault="00A7768F" w:rsidP="005E6E6E">
      <w:pPr>
        <w:jc w:val="both"/>
        <w:rPr>
          <w:rFonts w:ascii="Arial" w:hAnsi="Arial" w:cs="Arial"/>
        </w:rPr>
      </w:pPr>
    </w:p>
    <w:p w:rsidR="00A7768F" w:rsidRDefault="00A7768F" w:rsidP="005E6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Szombathelyen 66 háziorvosi, házi gyermekorvosi, fogorvosi alapellátási tevékenységet végző egyéni- és társas vállalkozás működik. Védőnői tevékenységet végző vállalkozás nincs, a területi védőnői ellátást a védőnők közalkalmazotti jogviszony keretében nyújtják. A 2014. adóévi helyi iparűzési adóbevallások adatait alapul véve </w:t>
      </w:r>
      <w:r w:rsidR="0051525F">
        <w:rPr>
          <w:rFonts w:ascii="Arial" w:hAnsi="Arial" w:cs="Arial"/>
        </w:rPr>
        <w:t>a fenti vállalkozások    82%-</w:t>
      </w:r>
      <w:proofErr w:type="gramStart"/>
      <w:r w:rsidR="0051525F">
        <w:rPr>
          <w:rFonts w:ascii="Arial" w:hAnsi="Arial" w:cs="Arial"/>
        </w:rPr>
        <w:t>a</w:t>
      </w:r>
      <w:proofErr w:type="gramEnd"/>
      <w:r w:rsidR="0051525F">
        <w:rPr>
          <w:rFonts w:ascii="Arial" w:hAnsi="Arial" w:cs="Arial"/>
        </w:rPr>
        <w:t xml:space="preserve">, 54 vállalkozás mentesülne 2016. január 1. napjától ilyen jogcímen a helyi iparűzési adó megfizetése alól. A becsült bevétel kiesés </w:t>
      </w:r>
      <w:r w:rsidR="004C4280">
        <w:rPr>
          <w:rFonts w:ascii="Arial" w:hAnsi="Arial" w:cs="Arial"/>
        </w:rPr>
        <w:t>közel 12 millió forint lehet.</w:t>
      </w:r>
    </w:p>
    <w:p w:rsidR="00A51ABA" w:rsidRDefault="00A51ABA" w:rsidP="005E6E6E">
      <w:pPr>
        <w:jc w:val="both"/>
        <w:rPr>
          <w:rFonts w:ascii="Arial" w:hAnsi="Arial" w:cs="Arial"/>
        </w:rPr>
      </w:pPr>
    </w:p>
    <w:p w:rsidR="002D7B9F" w:rsidRDefault="002D7B9F" w:rsidP="002D7B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921ED">
        <w:rPr>
          <w:rFonts w:ascii="Arial" w:hAnsi="Arial" w:cs="Arial"/>
          <w:b/>
        </w:rPr>
        <w:t xml:space="preserve"> </w:t>
      </w:r>
      <w:r w:rsidRPr="00E13A59">
        <w:rPr>
          <w:rFonts w:ascii="Arial" w:hAnsi="Arial" w:cs="Arial"/>
        </w:rPr>
        <w:t xml:space="preserve">kis- és közepes vállalkozások fejlődésének elősegítése, adóterheinek csökkentése érdekében </w:t>
      </w:r>
      <w:r>
        <w:rPr>
          <w:rFonts w:ascii="Arial" w:hAnsi="Arial" w:cs="Arial"/>
        </w:rPr>
        <w:t xml:space="preserve">Szombathely Megyei Jogú Város Közgyűlése 2015. január 1. napjától </w:t>
      </w:r>
      <w:r w:rsidRPr="00E13A59">
        <w:rPr>
          <w:rFonts w:ascii="Arial" w:hAnsi="Arial" w:cs="Arial"/>
        </w:rPr>
        <w:t xml:space="preserve">a helyi </w:t>
      </w:r>
      <w:r w:rsidRPr="00E13A59">
        <w:rPr>
          <w:rFonts w:ascii="Arial" w:hAnsi="Arial" w:cs="Arial"/>
        </w:rPr>
        <w:lastRenderedPageBreak/>
        <w:t xml:space="preserve">iparűzési adóban a </w:t>
      </w:r>
      <w:r>
        <w:rPr>
          <w:rFonts w:ascii="Arial" w:hAnsi="Arial" w:cs="Arial"/>
        </w:rPr>
        <w:t>korábbi</w:t>
      </w:r>
      <w:r w:rsidRPr="00E13A59">
        <w:rPr>
          <w:rFonts w:ascii="Arial" w:hAnsi="Arial" w:cs="Arial"/>
        </w:rPr>
        <w:t xml:space="preserve"> 1,2 </w:t>
      </w:r>
      <w:r w:rsidR="007353E1">
        <w:rPr>
          <w:rFonts w:ascii="Arial" w:hAnsi="Arial" w:cs="Arial"/>
        </w:rPr>
        <w:t>millió forint</w:t>
      </w:r>
      <w:r w:rsidRPr="00E13A59">
        <w:rPr>
          <w:rFonts w:ascii="Arial" w:hAnsi="Arial" w:cs="Arial"/>
        </w:rPr>
        <w:t xml:space="preserve"> vállalkozási szintű adóalap alatti adómentességi határ</w:t>
      </w:r>
      <w:r>
        <w:rPr>
          <w:rFonts w:ascii="Arial" w:hAnsi="Arial" w:cs="Arial"/>
        </w:rPr>
        <w:t>t</w:t>
      </w:r>
      <w:r w:rsidRPr="00E13A59">
        <w:rPr>
          <w:rFonts w:ascii="Arial" w:hAnsi="Arial" w:cs="Arial"/>
        </w:rPr>
        <w:t xml:space="preserve"> felemel</w:t>
      </w:r>
      <w:r>
        <w:rPr>
          <w:rFonts w:ascii="Arial" w:hAnsi="Arial" w:cs="Arial"/>
        </w:rPr>
        <w:t>te</w:t>
      </w:r>
      <w:r w:rsidRPr="00E13A59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>.</w:t>
      </w:r>
      <w:r w:rsidRPr="00E13A59">
        <w:rPr>
          <w:rFonts w:ascii="Arial" w:hAnsi="Arial" w:cs="Arial"/>
        </w:rPr>
        <w:t xml:space="preserve"> szerinti 2,5 </w:t>
      </w:r>
      <w:r w:rsidR="007353E1">
        <w:rPr>
          <w:rFonts w:ascii="Arial" w:hAnsi="Arial" w:cs="Arial"/>
        </w:rPr>
        <w:t>millió forintos</w:t>
      </w:r>
      <w:r w:rsidRPr="00E13A59">
        <w:rPr>
          <w:rFonts w:ascii="Arial" w:hAnsi="Arial" w:cs="Arial"/>
        </w:rPr>
        <w:t xml:space="preserve"> maximális felső határra.</w:t>
      </w:r>
    </w:p>
    <w:p w:rsidR="002D7B9F" w:rsidRDefault="002D7B9F" w:rsidP="002D7B9F">
      <w:pPr>
        <w:jc w:val="both"/>
        <w:rPr>
          <w:rFonts w:ascii="Arial" w:hAnsi="Arial" w:cs="Arial"/>
        </w:rPr>
      </w:pPr>
    </w:p>
    <w:p w:rsidR="002D7B9F" w:rsidRDefault="002D7B9F" w:rsidP="002D7B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2D7B9F">
        <w:rPr>
          <w:rFonts w:ascii="Arial" w:hAnsi="Arial" w:cs="Arial"/>
          <w:b/>
        </w:rPr>
        <w:t>rendelet tervezet</w:t>
      </w:r>
      <w:r>
        <w:rPr>
          <w:rFonts w:ascii="Arial" w:hAnsi="Arial" w:cs="Arial"/>
        </w:rPr>
        <w:t xml:space="preserve"> alapján a 2,5 millió forint vállalkozási szintű adóalap alatti vállalkozások részére biztosított </w:t>
      </w:r>
      <w:r w:rsidRPr="003903AC">
        <w:rPr>
          <w:rFonts w:ascii="Arial" w:hAnsi="Arial" w:cs="Arial"/>
        </w:rPr>
        <w:t>mentesség egyértelmű, pontos szabályozására kerül sor</w:t>
      </w:r>
      <w:r>
        <w:rPr>
          <w:rFonts w:ascii="Arial" w:hAnsi="Arial" w:cs="Arial"/>
        </w:rPr>
        <w:t xml:space="preserve">. </w:t>
      </w:r>
    </w:p>
    <w:p w:rsidR="00665676" w:rsidRPr="00E13A59" w:rsidRDefault="00665676" w:rsidP="00665676">
      <w:pPr>
        <w:jc w:val="both"/>
        <w:rPr>
          <w:rFonts w:ascii="Arial" w:hAnsi="Arial" w:cs="Arial"/>
        </w:rPr>
      </w:pPr>
    </w:p>
    <w:p w:rsidR="003E2CDF" w:rsidRDefault="00665676" w:rsidP="003E2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fejlesztések eredményeképpen a közel azonos adózói létszám ellenére évről-évre emelkedő helyi iparűzési adóbevétel lehetőséget teremt arra, hogy a 2,5 millió forint vállalkozási szintű adóalap alatti vállalkozások adómentessége </w:t>
      </w:r>
      <w:r w:rsidR="00863F3B">
        <w:rPr>
          <w:rFonts w:ascii="Arial" w:hAnsi="Arial" w:cs="Arial"/>
        </w:rPr>
        <w:t xml:space="preserve">mellett az egészségügyi alapellátási tevékenységet végző, a </w:t>
      </w:r>
      <w:proofErr w:type="spellStart"/>
      <w:r w:rsidR="00863F3B">
        <w:rPr>
          <w:rFonts w:ascii="Arial" w:hAnsi="Arial" w:cs="Arial"/>
        </w:rPr>
        <w:t>Htv</w:t>
      </w:r>
      <w:proofErr w:type="spellEnd"/>
      <w:r w:rsidR="00863F3B">
        <w:rPr>
          <w:rFonts w:ascii="Arial" w:hAnsi="Arial" w:cs="Arial"/>
        </w:rPr>
        <w:t xml:space="preserve">. előírásainak megfelelő vállalkozások részére Szombathely Megyei Jogú Város Önkormányzata a maximálisan adható adómentességet biztosítson. </w:t>
      </w:r>
      <w:r w:rsidR="003E2CDF">
        <w:rPr>
          <w:rFonts w:ascii="Arial" w:hAnsi="Arial" w:cs="Arial"/>
        </w:rPr>
        <w:t>A Szombathelyen megvalósuló fejlesztések, beruházások felfutásából eredő helyi iparűzési adó emelkedése a mentesség miatti bevételkiesést kompenzálja.</w:t>
      </w:r>
    </w:p>
    <w:p w:rsidR="00863F3B" w:rsidRDefault="00863F3B" w:rsidP="00665676">
      <w:pPr>
        <w:jc w:val="both"/>
        <w:rPr>
          <w:rFonts w:ascii="Arial" w:hAnsi="Arial" w:cs="Arial"/>
        </w:rPr>
      </w:pPr>
    </w:p>
    <w:p w:rsidR="00953D5A" w:rsidRDefault="00C51532" w:rsidP="00953D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 39/C.§ (5) bekezdése szerint a maximálisan 2,5 millió forint vállalkozási szintű adóalap alatti vállalkozások részére, valamint a háziorvos, házi gyermekorvos, fogorvos, védőnő vállalkozó számára az önkormányzatok által rendeletben szabályozott mentesség, kedvezmény csekély összegű (de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) támogatásnak minősül, ezért az európai uniós versenyjogi értelemben vett állami támogatásokkal kapcsolatos eljárásról és a regionális támogatási térképről szóló 37/2011.(III.22.) Korm. rendelet 7.§</w:t>
      </w:r>
      <w:proofErr w:type="spellStart"/>
      <w:r>
        <w:rPr>
          <w:rFonts w:ascii="Arial" w:hAnsi="Arial" w:cs="Arial"/>
        </w:rPr>
        <w:t>-ának</w:t>
      </w:r>
      <w:proofErr w:type="spellEnd"/>
      <w:r>
        <w:rPr>
          <w:rFonts w:ascii="Arial" w:hAnsi="Arial" w:cs="Arial"/>
        </w:rPr>
        <w:t xml:space="preserve"> megfelelően a mentességet megállapító rendelet tervezetet a Miniszterelnökség Támogatásokat Vizsgáló Irodának </w:t>
      </w:r>
      <w:r w:rsidR="00953D5A">
        <w:rPr>
          <w:rFonts w:ascii="Arial" w:hAnsi="Arial" w:cs="Arial"/>
        </w:rPr>
        <w:t xml:space="preserve">(TVI) </w:t>
      </w:r>
      <w:r>
        <w:rPr>
          <w:rFonts w:ascii="Arial" w:hAnsi="Arial" w:cs="Arial"/>
        </w:rPr>
        <w:t xml:space="preserve">állásfoglalásra kell </w:t>
      </w:r>
      <w:r w:rsidR="00971763">
        <w:rPr>
          <w:rFonts w:ascii="Arial" w:hAnsi="Arial" w:cs="Arial"/>
        </w:rPr>
        <w:t>megküldeni. A rendelet tervezetet csak a jóváhagyó állásfoglalást követően lehet a képviselőtestület elé bocsátani.</w:t>
      </w:r>
      <w:r w:rsidR="00953D5A">
        <w:rPr>
          <w:rFonts w:ascii="Arial" w:hAnsi="Arial" w:cs="Arial"/>
        </w:rPr>
        <w:t xml:space="preserve"> </w:t>
      </w:r>
      <w:r w:rsidR="00DF2401">
        <w:rPr>
          <w:rFonts w:ascii="Arial" w:hAnsi="Arial" w:cs="Arial"/>
        </w:rPr>
        <w:t>Tekintettel</w:t>
      </w:r>
      <w:r w:rsidR="00953D5A">
        <w:rPr>
          <w:rFonts w:ascii="Arial" w:hAnsi="Arial" w:cs="Arial"/>
        </w:rPr>
        <w:t xml:space="preserve"> a csekély összegű (de </w:t>
      </w:r>
      <w:proofErr w:type="spellStart"/>
      <w:r w:rsidR="00953D5A">
        <w:rPr>
          <w:rFonts w:ascii="Arial" w:hAnsi="Arial" w:cs="Arial"/>
        </w:rPr>
        <w:t>minimis</w:t>
      </w:r>
      <w:proofErr w:type="spellEnd"/>
      <w:r w:rsidR="00953D5A">
        <w:rPr>
          <w:rFonts w:ascii="Arial" w:hAnsi="Arial" w:cs="Arial"/>
        </w:rPr>
        <w:t xml:space="preserve">) támogatásra vonatkozó 1407/2013/EU </w:t>
      </w:r>
      <w:r w:rsidR="00DF2401">
        <w:rPr>
          <w:rFonts w:ascii="Arial" w:hAnsi="Arial" w:cs="Arial"/>
        </w:rPr>
        <w:t>bizottsági rendelet szabályaira</w:t>
      </w:r>
      <w:r w:rsidR="00DF2401" w:rsidRPr="00DF2401">
        <w:rPr>
          <w:rFonts w:ascii="Arial" w:hAnsi="Arial" w:cs="Arial"/>
        </w:rPr>
        <w:t xml:space="preserve"> </w:t>
      </w:r>
      <w:r w:rsidR="00DF2401">
        <w:rPr>
          <w:rFonts w:ascii="Arial" w:hAnsi="Arial" w:cs="Arial"/>
        </w:rPr>
        <w:t xml:space="preserve">a TVI a megküldött rendelet tervezet kiegészítését kérte. Az </w:t>
      </w:r>
      <w:r w:rsidR="00953D5A">
        <w:rPr>
          <w:rFonts w:ascii="Arial" w:hAnsi="Arial" w:cs="Arial"/>
        </w:rPr>
        <w:t>észrevétel</w:t>
      </w:r>
      <w:r w:rsidR="00DF2401">
        <w:rPr>
          <w:rFonts w:ascii="Arial" w:hAnsi="Arial" w:cs="Arial"/>
        </w:rPr>
        <w:t>ben foglaltak alapján</w:t>
      </w:r>
      <w:r w:rsidR="00953D5A">
        <w:rPr>
          <w:rFonts w:ascii="Arial" w:hAnsi="Arial" w:cs="Arial"/>
        </w:rPr>
        <w:t xml:space="preserve"> a rendelet tervezet kiegészítésre került.</w:t>
      </w:r>
    </w:p>
    <w:p w:rsidR="00971763" w:rsidRDefault="00971763" w:rsidP="00C51532">
      <w:pPr>
        <w:jc w:val="both"/>
        <w:rPr>
          <w:rFonts w:ascii="Arial" w:hAnsi="Arial" w:cs="Arial"/>
        </w:rPr>
      </w:pPr>
    </w:p>
    <w:p w:rsidR="00971763" w:rsidRDefault="00971763" w:rsidP="00C51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csekély összegű támogatás kedvezményezettjének nyilatkoznia kell a támogatás odaítélésnek évében és az azt követő két pénzügyi évben </w:t>
      </w:r>
      <w:r w:rsidR="00DF2401">
        <w:rPr>
          <w:rFonts w:ascii="Arial" w:hAnsi="Arial" w:cs="Arial"/>
        </w:rPr>
        <w:t xml:space="preserve">a részére </w:t>
      </w:r>
      <w:r>
        <w:rPr>
          <w:rFonts w:ascii="Arial" w:hAnsi="Arial" w:cs="Arial"/>
        </w:rPr>
        <w:t xml:space="preserve">nyújtott csekély összegű támogatások támogatástartalmáról. A rendelet tervezet mellékletét képezi az Európai Bizottság által elfogadott </w:t>
      </w:r>
      <w:r w:rsidR="002B1F11">
        <w:rPr>
          <w:rFonts w:ascii="Arial" w:hAnsi="Arial" w:cs="Arial"/>
        </w:rPr>
        <w:t xml:space="preserve">tartalmú de </w:t>
      </w:r>
      <w:proofErr w:type="spellStart"/>
      <w:r w:rsidR="002B1F11">
        <w:rPr>
          <w:rFonts w:ascii="Arial" w:hAnsi="Arial" w:cs="Arial"/>
        </w:rPr>
        <w:t>minimis</w:t>
      </w:r>
      <w:proofErr w:type="spellEnd"/>
      <w:r w:rsidR="002B1F11">
        <w:rPr>
          <w:rFonts w:ascii="Arial" w:hAnsi="Arial" w:cs="Arial"/>
        </w:rPr>
        <w:t xml:space="preserve"> nyilatkozat és a támogatást nyújtó (önkormányzat) igazolása.</w:t>
      </w:r>
    </w:p>
    <w:p w:rsidR="00863F3B" w:rsidRDefault="00863F3B" w:rsidP="00665676">
      <w:pPr>
        <w:jc w:val="both"/>
        <w:rPr>
          <w:rFonts w:ascii="Arial" w:hAnsi="Arial" w:cs="Arial"/>
        </w:rPr>
      </w:pPr>
    </w:p>
    <w:p w:rsidR="00101623" w:rsidRPr="00302031" w:rsidRDefault="00101623" w:rsidP="0010162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bCs/>
          <w:szCs w:val="22"/>
        </w:rPr>
        <w:t xml:space="preserve">A jogalkotásról szóló 2010. évi CXXX. törvény 17. § </w:t>
      </w:r>
      <w:r w:rsidRPr="00302031">
        <w:rPr>
          <w:rFonts w:ascii="Arial" w:hAnsi="Arial" w:cs="Arial"/>
          <w:szCs w:val="22"/>
        </w:rPr>
        <w:t xml:space="preserve">(1) bekezdése értelmében a jogszabály előkészítője - a jogszabály feltételezett hatásaihoz igazodó részletességű - előzetes </w:t>
      </w:r>
      <w:r w:rsidRPr="00302031">
        <w:rPr>
          <w:rFonts w:ascii="Arial" w:hAnsi="Arial" w:cs="Arial"/>
          <w:b/>
          <w:bCs/>
          <w:szCs w:val="22"/>
        </w:rPr>
        <w:t>hatásvizsgálat</w:t>
      </w:r>
      <w:r w:rsidRPr="00302031">
        <w:rPr>
          <w:rFonts w:ascii="Arial" w:hAnsi="Arial" w:cs="Arial"/>
          <w:szCs w:val="22"/>
        </w:rPr>
        <w:t xml:space="preserve"> elvégzésével felméri a szabályozás várható következményeit. Az előzetes hatásvizsgálat eredményéről önkormányzati rendelet esetén a helyi önkormányzat képviselő-testületét tájékoztatni kell. A (2) bekezdés értelmében a hatásvizsgálat során vizsgálni kell</w:t>
      </w:r>
    </w:p>
    <w:p w:rsidR="00101623" w:rsidRPr="00302031" w:rsidRDefault="00101623" w:rsidP="00101623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proofErr w:type="gramStart"/>
      <w:r w:rsidRPr="00302031">
        <w:rPr>
          <w:rFonts w:ascii="Arial" w:hAnsi="Arial" w:cs="Arial"/>
          <w:iCs/>
          <w:szCs w:val="22"/>
        </w:rPr>
        <w:t>a</w:t>
      </w:r>
      <w:proofErr w:type="gramEnd"/>
      <w:r w:rsidRPr="00302031">
        <w:rPr>
          <w:rFonts w:ascii="Arial" w:hAnsi="Arial" w:cs="Arial"/>
          <w:iCs/>
          <w:szCs w:val="22"/>
        </w:rPr>
        <w:t xml:space="preserve">)  </w:t>
      </w:r>
      <w:r w:rsidRPr="00302031">
        <w:rPr>
          <w:rFonts w:ascii="Arial" w:hAnsi="Arial" w:cs="Arial"/>
          <w:szCs w:val="22"/>
        </w:rPr>
        <w:t>a tervezett jogszabály valamennyi jelentősnek ítélt hatását, különösen</w:t>
      </w:r>
    </w:p>
    <w:p w:rsidR="00101623" w:rsidRPr="00302031" w:rsidRDefault="00101623" w:rsidP="00101623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proofErr w:type="spellStart"/>
      <w:r w:rsidRPr="00302031">
        <w:rPr>
          <w:rFonts w:ascii="Arial" w:hAnsi="Arial" w:cs="Arial"/>
          <w:iCs/>
          <w:szCs w:val="22"/>
        </w:rPr>
        <w:t>aa</w:t>
      </w:r>
      <w:proofErr w:type="spellEnd"/>
      <w:r w:rsidRPr="00302031">
        <w:rPr>
          <w:rFonts w:ascii="Arial" w:hAnsi="Arial" w:cs="Arial"/>
          <w:iCs/>
          <w:szCs w:val="22"/>
        </w:rPr>
        <w:t xml:space="preserve">) </w:t>
      </w:r>
      <w:r w:rsidRPr="00302031">
        <w:rPr>
          <w:rFonts w:ascii="Arial" w:hAnsi="Arial" w:cs="Arial"/>
          <w:szCs w:val="22"/>
        </w:rPr>
        <w:t>társadalmi, gazdasági, költségvetési hatásait,</w:t>
      </w:r>
    </w:p>
    <w:p w:rsidR="00101623" w:rsidRPr="00302031" w:rsidRDefault="00101623" w:rsidP="00101623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proofErr w:type="gramStart"/>
      <w:r w:rsidRPr="00302031">
        <w:rPr>
          <w:rFonts w:ascii="Arial" w:hAnsi="Arial" w:cs="Arial"/>
          <w:iCs/>
          <w:szCs w:val="22"/>
        </w:rPr>
        <w:t>ab</w:t>
      </w:r>
      <w:proofErr w:type="gramEnd"/>
      <w:r w:rsidRPr="00302031">
        <w:rPr>
          <w:rFonts w:ascii="Arial" w:hAnsi="Arial" w:cs="Arial"/>
          <w:iCs/>
          <w:szCs w:val="22"/>
        </w:rPr>
        <w:t xml:space="preserve">) </w:t>
      </w:r>
      <w:r w:rsidRPr="00302031">
        <w:rPr>
          <w:rFonts w:ascii="Arial" w:hAnsi="Arial" w:cs="Arial"/>
          <w:szCs w:val="22"/>
        </w:rPr>
        <w:t>környezeti és egészségi következményeit,</w:t>
      </w:r>
    </w:p>
    <w:p w:rsidR="00101623" w:rsidRPr="00302031" w:rsidRDefault="00101623" w:rsidP="00101623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proofErr w:type="spellStart"/>
      <w:r w:rsidRPr="00302031">
        <w:rPr>
          <w:rFonts w:ascii="Arial" w:hAnsi="Arial" w:cs="Arial"/>
          <w:iCs/>
          <w:szCs w:val="22"/>
        </w:rPr>
        <w:t>ac</w:t>
      </w:r>
      <w:proofErr w:type="spellEnd"/>
      <w:r w:rsidRPr="00302031">
        <w:rPr>
          <w:rFonts w:ascii="Arial" w:hAnsi="Arial" w:cs="Arial"/>
          <w:iCs/>
          <w:szCs w:val="22"/>
        </w:rPr>
        <w:t xml:space="preserve">) </w:t>
      </w:r>
      <w:r w:rsidRPr="00302031">
        <w:rPr>
          <w:rFonts w:ascii="Arial" w:hAnsi="Arial" w:cs="Arial"/>
          <w:szCs w:val="22"/>
        </w:rPr>
        <w:t>adminisztratív terheket befolyásoló hatásait, valamint</w:t>
      </w:r>
    </w:p>
    <w:p w:rsidR="00101623" w:rsidRPr="00302031" w:rsidRDefault="00101623" w:rsidP="00101623">
      <w:pPr>
        <w:autoSpaceDE w:val="0"/>
        <w:autoSpaceDN w:val="0"/>
        <w:adjustRightInd w:val="0"/>
        <w:ind w:left="540" w:hanging="336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b) </w:t>
      </w:r>
      <w:r w:rsidRPr="00302031">
        <w:rPr>
          <w:rFonts w:ascii="Arial" w:hAnsi="Arial" w:cs="Arial"/>
          <w:szCs w:val="22"/>
        </w:rPr>
        <w:t>a jogszabály megalkotásának szükségességét, a jogalkotás elmaradásának várható következményeit, és</w:t>
      </w:r>
    </w:p>
    <w:p w:rsidR="00101623" w:rsidRPr="00302031" w:rsidRDefault="00101623" w:rsidP="00101623">
      <w:pPr>
        <w:autoSpaceDE w:val="0"/>
        <w:autoSpaceDN w:val="0"/>
        <w:adjustRightInd w:val="0"/>
        <w:ind w:left="540" w:hanging="336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c) </w:t>
      </w:r>
      <w:r w:rsidRPr="00302031">
        <w:rPr>
          <w:rFonts w:ascii="Arial" w:hAnsi="Arial" w:cs="Arial"/>
          <w:szCs w:val="22"/>
        </w:rPr>
        <w:t>a jogszabály alkalmazásához szükséges személyi, szervezeti, tárgyi és pénzügyi feltételeket.</w:t>
      </w:r>
    </w:p>
    <w:p w:rsidR="00101623" w:rsidRPr="00302031" w:rsidRDefault="00101623" w:rsidP="00101623">
      <w:pPr>
        <w:jc w:val="both"/>
        <w:rPr>
          <w:rFonts w:ascii="Arial" w:hAnsi="Arial" w:cs="Arial"/>
        </w:rPr>
      </w:pPr>
    </w:p>
    <w:p w:rsidR="00AD33F8" w:rsidRPr="00302031" w:rsidRDefault="00AD33F8" w:rsidP="00AD33F8">
      <w:pPr>
        <w:jc w:val="both"/>
        <w:rPr>
          <w:rFonts w:ascii="Arial" w:hAnsi="Arial" w:cs="Arial"/>
          <w:u w:val="single"/>
        </w:rPr>
      </w:pPr>
      <w:r w:rsidRPr="00302031">
        <w:rPr>
          <w:rFonts w:ascii="Arial" w:hAnsi="Arial" w:cs="Arial"/>
          <w:u w:val="single"/>
        </w:rPr>
        <w:t>A rendelet tervezet társadalmi, gazdasági, költségvetési hatása:</w:t>
      </w:r>
    </w:p>
    <w:p w:rsidR="00AD33F8" w:rsidRDefault="00AD33F8" w:rsidP="00202E94">
      <w:pPr>
        <w:jc w:val="both"/>
        <w:rPr>
          <w:rFonts w:ascii="Arial" w:hAnsi="Arial" w:cs="Arial"/>
        </w:rPr>
      </w:pPr>
    </w:p>
    <w:p w:rsidR="00943B45" w:rsidRDefault="00AD33F8" w:rsidP="00202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háziorvosi, házi gyermekorvosi, fogorvosi alapellátást végző praxisok támogatását javító intézkedés </w:t>
      </w:r>
      <w:r w:rsidR="00943B45">
        <w:rPr>
          <w:rFonts w:ascii="Arial" w:hAnsi="Arial" w:cs="Arial"/>
        </w:rPr>
        <w:t xml:space="preserve">a </w:t>
      </w:r>
      <w:proofErr w:type="spellStart"/>
      <w:r w:rsidR="00943B45">
        <w:rPr>
          <w:rFonts w:ascii="Arial" w:hAnsi="Arial" w:cs="Arial"/>
        </w:rPr>
        <w:t>Htv</w:t>
      </w:r>
      <w:proofErr w:type="spellEnd"/>
      <w:r w:rsidR="00943B45">
        <w:rPr>
          <w:rFonts w:ascii="Arial" w:hAnsi="Arial" w:cs="Arial"/>
        </w:rPr>
        <w:t xml:space="preserve">. előírásainak megfelelő </w:t>
      </w:r>
      <w:r>
        <w:rPr>
          <w:rFonts w:ascii="Arial" w:hAnsi="Arial" w:cs="Arial"/>
        </w:rPr>
        <w:t>vállalkozás</w:t>
      </w:r>
      <w:r w:rsidR="00943B45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részére mérsékli az adóterheket, </w:t>
      </w:r>
      <w:r>
        <w:rPr>
          <w:rFonts w:ascii="Arial" w:hAnsi="Arial" w:cs="Arial"/>
        </w:rPr>
        <w:lastRenderedPageBreak/>
        <w:t>ezáltal az egészségügyi alapellátás</w:t>
      </w:r>
      <w:r w:rsidR="00943B45">
        <w:rPr>
          <w:rFonts w:ascii="Arial" w:hAnsi="Arial" w:cs="Arial"/>
        </w:rPr>
        <w:t xml:space="preserve"> körülményeinek további javítására lehet kedvező hatással. Az adómentesség biztosítása által </w:t>
      </w:r>
      <w:proofErr w:type="gramStart"/>
      <w:r w:rsidR="00943B45">
        <w:rPr>
          <w:rFonts w:ascii="Arial" w:hAnsi="Arial" w:cs="Arial"/>
        </w:rPr>
        <w:t>ezen</w:t>
      </w:r>
      <w:proofErr w:type="gramEnd"/>
      <w:r w:rsidR="00943B45">
        <w:rPr>
          <w:rFonts w:ascii="Arial" w:hAnsi="Arial" w:cs="Arial"/>
        </w:rPr>
        <w:t xml:space="preserve"> vállalkozások működési, fejlesztési lehetőségei bővülhetnek.</w:t>
      </w:r>
    </w:p>
    <w:p w:rsidR="00943B45" w:rsidRDefault="00943B45" w:rsidP="00202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kieső bevétel nagyságát tekintve a költségvetésre kis mértékben lesz hatással. A Szombathelyen megvalósuló fejlesztések, beruházások felfutásából eredő helyi iparűzési adó emelkedése a mentesség miatti bevételkiesést kompenzálja.</w:t>
      </w:r>
    </w:p>
    <w:p w:rsidR="00943B45" w:rsidRDefault="00943B45" w:rsidP="00202E94">
      <w:pPr>
        <w:jc w:val="both"/>
        <w:rPr>
          <w:rFonts w:ascii="Arial" w:hAnsi="Arial" w:cs="Arial"/>
        </w:rPr>
      </w:pPr>
    </w:p>
    <w:p w:rsidR="007E0567" w:rsidRPr="00C709E1" w:rsidRDefault="007E0567" w:rsidP="007E0567">
      <w:pPr>
        <w:jc w:val="both"/>
        <w:rPr>
          <w:rFonts w:ascii="Arial" w:hAnsi="Arial" w:cs="Arial"/>
          <w:u w:val="single"/>
        </w:rPr>
      </w:pPr>
      <w:r w:rsidRPr="00302031">
        <w:rPr>
          <w:rFonts w:ascii="Arial" w:hAnsi="Arial" w:cs="Arial"/>
          <w:u w:val="single"/>
        </w:rPr>
        <w:t>A rendelet tervezet környezeti és egészségi következményei:</w:t>
      </w:r>
    </w:p>
    <w:p w:rsidR="007E0567" w:rsidRPr="00302031" w:rsidRDefault="007E0567" w:rsidP="007E0567">
      <w:pPr>
        <w:jc w:val="both"/>
        <w:rPr>
          <w:rFonts w:ascii="Arial" w:hAnsi="Arial" w:cs="Arial"/>
        </w:rPr>
      </w:pPr>
      <w:r w:rsidRPr="00302031">
        <w:rPr>
          <w:rFonts w:ascii="Arial" w:hAnsi="Arial" w:cs="Arial"/>
        </w:rPr>
        <w:t>A szabályozás környezeti és egészségi következményei nem határozhatóak meg.</w:t>
      </w:r>
    </w:p>
    <w:p w:rsidR="007E0567" w:rsidRPr="00302031" w:rsidRDefault="007E0567" w:rsidP="007E0567">
      <w:pPr>
        <w:jc w:val="both"/>
        <w:rPr>
          <w:rFonts w:ascii="Arial" w:hAnsi="Arial" w:cs="Arial"/>
        </w:rPr>
      </w:pPr>
    </w:p>
    <w:p w:rsidR="007E0567" w:rsidRPr="00C709E1" w:rsidRDefault="007E0567" w:rsidP="007E0567">
      <w:pPr>
        <w:jc w:val="both"/>
        <w:rPr>
          <w:rFonts w:ascii="Arial" w:hAnsi="Arial" w:cs="Arial"/>
          <w:u w:val="single"/>
        </w:rPr>
      </w:pPr>
      <w:r w:rsidRPr="00302031">
        <w:rPr>
          <w:rFonts w:ascii="Arial" w:hAnsi="Arial" w:cs="Arial"/>
          <w:u w:val="single"/>
        </w:rPr>
        <w:t>A rendelet tervezet adminisztratív terheket befolyásoló hatása:</w:t>
      </w:r>
    </w:p>
    <w:p w:rsidR="00AD2FE4" w:rsidRDefault="00AD2FE4" w:rsidP="007E056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Az adómentességben részesülő vállalkozásoknak </w:t>
      </w:r>
      <w:r w:rsidR="00BB2E0C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rendelet tervezet mellékletét képező nyilatkozatot ki kell tölteni, így ezen adózói kör adminisztratív kötelezettségei </w:t>
      </w:r>
      <w:r w:rsidR="00AB1025">
        <w:rPr>
          <w:rFonts w:ascii="Arial" w:hAnsi="Arial" w:cs="Arial"/>
          <w:szCs w:val="22"/>
        </w:rPr>
        <w:t>bővülnek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. </w:t>
      </w:r>
    </w:p>
    <w:p w:rsidR="00C709E1" w:rsidRDefault="00C709E1" w:rsidP="00C709E1">
      <w:pPr>
        <w:rPr>
          <w:rFonts w:ascii="Arial" w:hAnsi="Arial" w:cs="Arial"/>
          <w:szCs w:val="22"/>
        </w:rPr>
      </w:pPr>
    </w:p>
    <w:p w:rsidR="00C709E1" w:rsidRDefault="00C709E1" w:rsidP="00C709E1">
      <w:pPr>
        <w:jc w:val="both"/>
        <w:rPr>
          <w:rFonts w:ascii="Arial" w:hAnsi="Arial" w:cs="Arial"/>
          <w:u w:val="single"/>
        </w:rPr>
      </w:pPr>
      <w:r w:rsidRPr="00302031">
        <w:rPr>
          <w:rFonts w:ascii="Arial" w:hAnsi="Arial" w:cs="Arial"/>
          <w:u w:val="single"/>
        </w:rPr>
        <w:t>A jogszabály megalkotásának szükségessége, a jogalkotás elmaradásának várható következményei:</w:t>
      </w:r>
    </w:p>
    <w:p w:rsidR="00C709E1" w:rsidRDefault="00C709E1" w:rsidP="00C709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önkormányzatok adósságkonszolidációjára tekintettel a </w:t>
      </w:r>
      <w:r w:rsidRPr="00C709E1">
        <w:rPr>
          <w:rFonts w:ascii="Arial" w:hAnsi="Arial" w:cs="Arial"/>
        </w:rPr>
        <w:t>Kormány is kezdeményezte, hogy az önkormányzatok támogatásokkal, fejlesztésekkel segítsék elő helyi szinten a gazdaság növekedését, a kis- és középvállalkozások fejlődését.</w:t>
      </w:r>
      <w:r>
        <w:rPr>
          <w:rFonts w:ascii="Arial" w:hAnsi="Arial" w:cs="Arial"/>
        </w:rPr>
        <w:t xml:space="preserve"> Erre tekintettel a 2,5 millió forint vállalkozási szintű adóalap alatti vállalkozások adómentessége mellett az egészségügyi alapellátási tevékenységet végző, a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>. előírásainak megfelelő vállalkozások részére Szombathely Megyei Jogú Város Önkormányzata a maximálisan adható adómentességet kíván</w:t>
      </w:r>
      <w:r w:rsidR="003E2CDF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biztosítani.</w:t>
      </w:r>
    </w:p>
    <w:p w:rsidR="00C709E1" w:rsidRPr="00C709E1" w:rsidRDefault="00C709E1" w:rsidP="00C709E1">
      <w:pPr>
        <w:jc w:val="both"/>
        <w:rPr>
          <w:rFonts w:ascii="Arial" w:hAnsi="Arial" w:cs="Arial"/>
          <w:u w:val="single"/>
        </w:rPr>
      </w:pPr>
    </w:p>
    <w:p w:rsidR="00C709E1" w:rsidRPr="00302031" w:rsidRDefault="00C709E1" w:rsidP="00C709E1">
      <w:pPr>
        <w:jc w:val="both"/>
        <w:rPr>
          <w:rFonts w:ascii="Arial" w:hAnsi="Arial" w:cs="Arial"/>
          <w:u w:val="single"/>
        </w:rPr>
      </w:pPr>
      <w:r w:rsidRPr="00302031">
        <w:rPr>
          <w:rFonts w:ascii="Arial" w:hAnsi="Arial" w:cs="Arial"/>
          <w:u w:val="single"/>
        </w:rPr>
        <w:t>A jogszabály alkalmazásához szükséges személyi, szervezeti, tárgyi és pénzügyi feltételek</w:t>
      </w:r>
    </w:p>
    <w:p w:rsidR="00C709E1" w:rsidRDefault="00C709E1" w:rsidP="00C709E1">
      <w:pPr>
        <w:jc w:val="both"/>
        <w:rPr>
          <w:rFonts w:ascii="Arial" w:hAnsi="Arial" w:cs="Arial"/>
        </w:rPr>
      </w:pPr>
      <w:r w:rsidRPr="00302031">
        <w:rPr>
          <w:rFonts w:ascii="Arial" w:hAnsi="Arial" w:cs="Arial"/>
        </w:rPr>
        <w:t xml:space="preserve">A jogszabály alkalmazásához a személyi, szervezeti feltételek az adóhatóság munkatársai által biztosítottak. </w:t>
      </w:r>
    </w:p>
    <w:p w:rsidR="00C709E1" w:rsidRPr="00302031" w:rsidRDefault="00C709E1" w:rsidP="00C709E1">
      <w:pPr>
        <w:jc w:val="both"/>
        <w:rPr>
          <w:rFonts w:ascii="Arial" w:hAnsi="Arial" w:cs="Arial"/>
        </w:rPr>
      </w:pPr>
    </w:p>
    <w:p w:rsidR="00C709E1" w:rsidRDefault="00C709E1" w:rsidP="00C709E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Vas Megyei Kereskedelmi és Iparkamara véleményének ismertetésére a Közgyűlésen kerül sor.</w:t>
      </w:r>
      <w:r w:rsidR="004D50A1">
        <w:rPr>
          <w:rFonts w:ascii="Arial" w:hAnsi="Arial" w:cs="Arial"/>
          <w:szCs w:val="22"/>
        </w:rPr>
        <w:t xml:space="preserve"> A TVI rendelet tervezetet jóváhagyó állásfoglalása a Közgyűlésen kerül kiosztásra.</w:t>
      </w:r>
    </w:p>
    <w:p w:rsidR="00202E94" w:rsidRPr="00302031" w:rsidRDefault="00202E94" w:rsidP="00202E94">
      <w:pPr>
        <w:jc w:val="both"/>
        <w:rPr>
          <w:rFonts w:ascii="Arial" w:hAnsi="Arial" w:cs="Arial"/>
        </w:rPr>
      </w:pPr>
    </w:p>
    <w:p w:rsidR="00202E94" w:rsidRPr="00302031" w:rsidRDefault="00202E94" w:rsidP="00202E94">
      <w:pPr>
        <w:jc w:val="both"/>
        <w:rPr>
          <w:rFonts w:ascii="Arial" w:hAnsi="Arial" w:cs="Arial"/>
          <w:bCs/>
          <w:szCs w:val="22"/>
        </w:rPr>
      </w:pPr>
      <w:r w:rsidRPr="00302031">
        <w:rPr>
          <w:rFonts w:ascii="Arial" w:hAnsi="Arial" w:cs="Arial"/>
          <w:szCs w:val="22"/>
        </w:rPr>
        <w:t>Kérjük a Tiszt</w:t>
      </w:r>
      <w:r>
        <w:rPr>
          <w:rFonts w:ascii="Arial" w:hAnsi="Arial" w:cs="Arial"/>
          <w:szCs w:val="22"/>
        </w:rPr>
        <w:t>elt Közgyűlést, hogy a rendeletmódosítás tervezeté</w:t>
      </w:r>
      <w:r w:rsidRPr="00302031">
        <w:rPr>
          <w:rFonts w:ascii="Arial" w:hAnsi="Arial" w:cs="Arial"/>
          <w:szCs w:val="22"/>
        </w:rPr>
        <w:t xml:space="preserve">t megtárgyalni és </w:t>
      </w:r>
      <w:r>
        <w:rPr>
          <w:rFonts w:ascii="Arial" w:hAnsi="Arial" w:cs="Arial"/>
          <w:szCs w:val="22"/>
        </w:rPr>
        <w:t xml:space="preserve">a rendeletet megalkotni </w:t>
      </w:r>
      <w:r w:rsidRPr="00302031">
        <w:rPr>
          <w:rFonts w:ascii="Arial" w:hAnsi="Arial" w:cs="Arial"/>
          <w:szCs w:val="22"/>
        </w:rPr>
        <w:t>szíveskedjék.</w:t>
      </w:r>
    </w:p>
    <w:p w:rsidR="00202E94" w:rsidRPr="00302031" w:rsidRDefault="00202E94" w:rsidP="00202E94">
      <w:pPr>
        <w:jc w:val="both"/>
        <w:rPr>
          <w:rFonts w:ascii="Arial" w:hAnsi="Arial" w:cs="Arial"/>
        </w:rPr>
      </w:pPr>
    </w:p>
    <w:p w:rsidR="00202E94" w:rsidRDefault="00202E94" w:rsidP="00202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2015.</w:t>
      </w:r>
      <w:r w:rsidR="00EE2B48">
        <w:rPr>
          <w:rFonts w:ascii="Arial" w:hAnsi="Arial" w:cs="Arial"/>
        </w:rPr>
        <w:t xml:space="preserve"> december </w:t>
      </w:r>
      <w:r>
        <w:rPr>
          <w:rFonts w:ascii="Arial" w:hAnsi="Arial" w:cs="Arial"/>
        </w:rPr>
        <w:t xml:space="preserve"> „</w:t>
      </w:r>
      <w:r w:rsidR="00DF240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.”</w:t>
      </w:r>
    </w:p>
    <w:p w:rsidR="00202E94" w:rsidRDefault="00202E94" w:rsidP="00202E94">
      <w:pPr>
        <w:jc w:val="both"/>
        <w:rPr>
          <w:rFonts w:ascii="Arial" w:hAnsi="Arial" w:cs="Arial"/>
        </w:rPr>
      </w:pPr>
    </w:p>
    <w:p w:rsidR="00202E94" w:rsidRDefault="00202E94" w:rsidP="00202E94">
      <w:pPr>
        <w:jc w:val="both"/>
        <w:rPr>
          <w:rFonts w:ascii="Arial" w:hAnsi="Arial" w:cs="Arial"/>
        </w:rPr>
      </w:pPr>
    </w:p>
    <w:p w:rsidR="00202E94" w:rsidRDefault="00202E94" w:rsidP="00202E94">
      <w:pPr>
        <w:jc w:val="both"/>
        <w:rPr>
          <w:rFonts w:ascii="Arial" w:hAnsi="Arial" w:cs="Arial"/>
        </w:rPr>
      </w:pPr>
    </w:p>
    <w:p w:rsidR="00202E94" w:rsidRPr="00202E94" w:rsidRDefault="00202E94" w:rsidP="00202E94">
      <w:pPr>
        <w:ind w:left="708" w:firstLine="708"/>
        <w:jc w:val="both"/>
        <w:rPr>
          <w:rFonts w:ascii="Arial" w:hAnsi="Arial" w:cs="Arial"/>
          <w:b/>
          <w:bCs/>
        </w:rPr>
      </w:pPr>
      <w:r w:rsidRPr="00202E94">
        <w:rPr>
          <w:rFonts w:ascii="Arial" w:hAnsi="Arial" w:cs="Arial"/>
          <w:b/>
          <w:bCs/>
        </w:rPr>
        <w:t xml:space="preserve">/: Dr. Puskás </w:t>
      </w:r>
      <w:proofErr w:type="gramStart"/>
      <w:r w:rsidRPr="00202E94">
        <w:rPr>
          <w:rFonts w:ascii="Arial" w:hAnsi="Arial" w:cs="Arial"/>
          <w:b/>
          <w:bCs/>
        </w:rPr>
        <w:t>Tivadar :</w:t>
      </w:r>
      <w:proofErr w:type="gramEnd"/>
      <w:r w:rsidRPr="00202E94">
        <w:rPr>
          <w:rFonts w:ascii="Arial" w:hAnsi="Arial" w:cs="Arial"/>
          <w:b/>
          <w:bCs/>
        </w:rPr>
        <w:t>/</w:t>
      </w:r>
      <w:r w:rsidRPr="00202E94">
        <w:rPr>
          <w:rFonts w:ascii="Arial" w:hAnsi="Arial" w:cs="Arial"/>
          <w:b/>
          <w:bCs/>
        </w:rPr>
        <w:tab/>
      </w:r>
      <w:r w:rsidRPr="00202E94">
        <w:rPr>
          <w:rFonts w:ascii="Arial" w:hAnsi="Arial" w:cs="Arial"/>
          <w:b/>
          <w:bCs/>
        </w:rPr>
        <w:tab/>
      </w:r>
      <w:r w:rsidRPr="00202E94">
        <w:rPr>
          <w:rFonts w:ascii="Arial" w:hAnsi="Arial" w:cs="Arial"/>
          <w:b/>
          <w:bCs/>
        </w:rPr>
        <w:tab/>
        <w:t>/: Dr. Károlyi Ákos :/</w:t>
      </w:r>
    </w:p>
    <w:p w:rsidR="009B5B90" w:rsidRDefault="009B5B90" w:rsidP="00101623">
      <w:pPr>
        <w:jc w:val="both"/>
        <w:rPr>
          <w:rFonts w:ascii="Arial" w:hAnsi="Arial" w:cs="Arial"/>
          <w:szCs w:val="22"/>
        </w:rPr>
      </w:pPr>
    </w:p>
    <w:p w:rsidR="00D54DF8" w:rsidRPr="001076E3" w:rsidRDefault="00D54DF8" w:rsidP="00DA14B3">
      <w:pPr>
        <w:rPr>
          <w:rFonts w:ascii="Arial" w:hAnsi="Arial" w:cs="Arial"/>
        </w:rPr>
      </w:pPr>
    </w:p>
    <w:sectPr w:rsidR="00D54DF8" w:rsidRPr="001076E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90" w:rsidRDefault="00610290">
      <w:r>
        <w:separator/>
      </w:r>
    </w:p>
  </w:endnote>
  <w:endnote w:type="continuationSeparator" w:id="0">
    <w:p w:rsidR="00610290" w:rsidRDefault="0061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92" w:rsidRPr="0034130E" w:rsidRDefault="001E1F7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B9C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66F92">
      <w:rPr>
        <w:rFonts w:ascii="Arial" w:hAnsi="Arial" w:cs="Arial"/>
        <w:sz w:val="20"/>
        <w:szCs w:val="20"/>
      </w:rPr>
      <w:t xml:space="preserve">Oldalszám: </w:t>
    </w:r>
    <w:r w:rsidR="00966F92">
      <w:rPr>
        <w:rFonts w:ascii="Arial" w:hAnsi="Arial" w:cs="Arial"/>
        <w:sz w:val="20"/>
        <w:szCs w:val="20"/>
      </w:rPr>
      <w:fldChar w:fldCharType="begin"/>
    </w:r>
    <w:r w:rsidR="00966F92">
      <w:rPr>
        <w:rFonts w:ascii="Arial" w:hAnsi="Arial" w:cs="Arial"/>
        <w:sz w:val="20"/>
        <w:szCs w:val="20"/>
      </w:rPr>
      <w:instrText xml:space="preserve"> PAGE  \* Arabic  \* MERGEFORMAT </w:instrText>
    </w:r>
    <w:r w:rsidR="00966F92">
      <w:rPr>
        <w:rFonts w:ascii="Arial" w:hAnsi="Arial" w:cs="Arial"/>
        <w:sz w:val="20"/>
        <w:szCs w:val="20"/>
      </w:rPr>
      <w:fldChar w:fldCharType="separate"/>
    </w:r>
    <w:r w:rsidR="00AB1025">
      <w:rPr>
        <w:rFonts w:ascii="Arial" w:hAnsi="Arial" w:cs="Arial"/>
        <w:noProof/>
        <w:sz w:val="20"/>
        <w:szCs w:val="20"/>
      </w:rPr>
      <w:t>2</w:t>
    </w:r>
    <w:r w:rsidR="00966F92">
      <w:rPr>
        <w:rFonts w:ascii="Arial" w:hAnsi="Arial" w:cs="Arial"/>
        <w:sz w:val="20"/>
        <w:szCs w:val="20"/>
      </w:rPr>
      <w:fldChar w:fldCharType="end"/>
    </w:r>
    <w:r w:rsidR="00966F92">
      <w:rPr>
        <w:rFonts w:ascii="Arial" w:hAnsi="Arial" w:cs="Arial"/>
        <w:sz w:val="20"/>
        <w:szCs w:val="20"/>
      </w:rPr>
      <w:t xml:space="preserve"> / </w:t>
    </w:r>
    <w:r w:rsidR="00966F92">
      <w:rPr>
        <w:rFonts w:ascii="Arial" w:hAnsi="Arial" w:cs="Arial"/>
        <w:sz w:val="20"/>
        <w:szCs w:val="20"/>
      </w:rPr>
      <w:fldChar w:fldCharType="begin"/>
    </w:r>
    <w:r w:rsidR="00966F92">
      <w:rPr>
        <w:rFonts w:ascii="Arial" w:hAnsi="Arial" w:cs="Arial"/>
        <w:sz w:val="20"/>
        <w:szCs w:val="20"/>
      </w:rPr>
      <w:instrText xml:space="preserve"> NUMPAGES  \* Arabic  \* MERGEFORMAT </w:instrText>
    </w:r>
    <w:r w:rsidR="00966F92">
      <w:rPr>
        <w:rFonts w:ascii="Arial" w:hAnsi="Arial" w:cs="Arial"/>
        <w:sz w:val="20"/>
        <w:szCs w:val="20"/>
      </w:rPr>
      <w:fldChar w:fldCharType="separate"/>
    </w:r>
    <w:r w:rsidR="00AB1025">
      <w:rPr>
        <w:rFonts w:ascii="Arial" w:hAnsi="Arial" w:cs="Arial"/>
        <w:noProof/>
        <w:sz w:val="20"/>
        <w:szCs w:val="20"/>
      </w:rPr>
      <w:t>3</w:t>
    </w:r>
    <w:r w:rsidR="00966F92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92" w:rsidRPr="00356256" w:rsidRDefault="001E1F7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F92" w:rsidRPr="00356256" w:rsidRDefault="00966F9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966F92" w:rsidRPr="00356256" w:rsidRDefault="00966F9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966F92" w:rsidRPr="00356256" w:rsidRDefault="00966F9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90" w:rsidRDefault="00610290">
      <w:r>
        <w:separator/>
      </w:r>
    </w:p>
  </w:footnote>
  <w:footnote w:type="continuationSeparator" w:id="0">
    <w:p w:rsidR="00610290" w:rsidRDefault="0061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92" w:rsidRDefault="00966F92" w:rsidP="0010162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1E1F7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="001E1F7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F92" w:rsidRDefault="00966F92" w:rsidP="001016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 xml:space="preserve">Szombathely Megyei Jogú Város </w:t>
    </w:r>
    <w:r>
      <w:rPr>
        <w:rFonts w:ascii="Arial" w:hAnsi="Arial" w:cs="Arial"/>
        <w:smallCaps/>
      </w:rPr>
      <w:tab/>
      <w:t>Szombathely Megyei Jogú Város</w:t>
    </w:r>
  </w:p>
  <w:p w:rsidR="00966F92" w:rsidRDefault="00966F92" w:rsidP="001016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  <w:r>
      <w:rPr>
        <w:rFonts w:ascii="Arial" w:hAnsi="Arial" w:cs="Arial"/>
        <w:bCs/>
        <w:smallCaps/>
        <w:sz w:val="22"/>
      </w:rPr>
      <w:tab/>
      <w:t>Jegyzője</w:t>
    </w:r>
  </w:p>
  <w:p w:rsidR="00966F92" w:rsidRDefault="00966F92" w:rsidP="00101623">
    <w:pPr>
      <w:pStyle w:val="lfej"/>
      <w:tabs>
        <w:tab w:val="clear" w:pos="4536"/>
        <w:tab w:val="center" w:pos="7020"/>
      </w:tabs>
      <w:rPr>
        <w:rFonts w:ascii="Arial" w:hAnsi="Arial" w:cs="Arial"/>
      </w:rPr>
    </w:pPr>
  </w:p>
  <w:p w:rsidR="00966F92" w:rsidRPr="004E3001" w:rsidRDefault="00966F92" w:rsidP="00101623">
    <w:pPr>
      <w:pStyle w:val="lfej"/>
      <w:tabs>
        <w:tab w:val="clear" w:pos="4536"/>
        <w:tab w:val="center" w:pos="1843"/>
        <w:tab w:val="center" w:pos="5040"/>
      </w:tabs>
      <w:rPr>
        <w:rFonts w:ascii="Arial" w:hAnsi="Arial" w:cs="Arial"/>
        <w:b/>
        <w:smallCaps/>
      </w:rPr>
    </w:pPr>
    <w:r w:rsidRPr="004E3001">
      <w:rPr>
        <w:rFonts w:ascii="Arial" w:hAnsi="Arial" w:cs="Arial"/>
        <w:smallCaps/>
        <w:sz w:val="20"/>
      </w:rPr>
      <w:tab/>
    </w:r>
    <w:r w:rsidRPr="004E3001">
      <w:rPr>
        <w:rFonts w:ascii="Arial" w:hAnsi="Arial" w:cs="Arial"/>
        <w:smallCaps/>
        <w:sz w:val="20"/>
      </w:rPr>
      <w:tab/>
    </w:r>
    <w:r>
      <w:rPr>
        <w:rFonts w:ascii="Arial" w:hAnsi="Arial" w:cs="Arial"/>
        <w:smallCaps/>
        <w:sz w:val="20"/>
      </w:rPr>
      <w:t xml:space="preserve">                                                                            </w:t>
    </w:r>
    <w:r w:rsidRPr="004E3001">
      <w:rPr>
        <w:rFonts w:ascii="Arial" w:hAnsi="Arial" w:cs="Arial"/>
        <w:b/>
        <w:smallCaps/>
        <w:sz w:val="20"/>
      </w:rPr>
      <w:t>Az előterjesztést megtárgyalta:</w:t>
    </w:r>
  </w:p>
  <w:p w:rsidR="00966F92" w:rsidRPr="004E3001" w:rsidRDefault="00966F92" w:rsidP="00101623">
    <w:pPr>
      <w:tabs>
        <w:tab w:val="center" w:pos="1800"/>
        <w:tab w:val="center" w:pos="7020"/>
      </w:tabs>
      <w:rPr>
        <w:rFonts w:ascii="Arial" w:hAnsi="Arial" w:cs="Arial"/>
        <w:b/>
        <w:sz w:val="20"/>
      </w:rPr>
    </w:pPr>
    <w:r w:rsidRPr="004E3001">
      <w:rPr>
        <w:rFonts w:ascii="Arial" w:hAnsi="Arial" w:cs="Arial"/>
        <w:b/>
        <w:smallCaps/>
      </w:rPr>
      <w:tab/>
    </w:r>
    <w:r w:rsidRPr="004E3001">
      <w:rPr>
        <w:rFonts w:ascii="Arial" w:hAnsi="Arial" w:cs="Arial"/>
        <w:b/>
        <w:bCs/>
        <w:smallCaps/>
        <w:sz w:val="22"/>
      </w:rPr>
      <w:tab/>
    </w:r>
  </w:p>
  <w:p w:rsidR="00966F92" w:rsidRDefault="00966F92" w:rsidP="00101623">
    <w:pPr>
      <w:pStyle w:val="lfej"/>
      <w:tabs>
        <w:tab w:val="clear" w:pos="4536"/>
        <w:tab w:val="center" w:pos="5220"/>
      </w:tabs>
      <w:rPr>
        <w:rFonts w:ascii="Arial" w:hAnsi="Arial" w:cs="Arial"/>
        <w:b/>
        <w:sz w:val="20"/>
      </w:rPr>
    </w:pPr>
    <w:r w:rsidRPr="004E3001">
      <w:rPr>
        <w:rFonts w:ascii="Arial" w:hAnsi="Arial" w:cs="Arial"/>
        <w:b/>
      </w:rPr>
      <w:tab/>
    </w:r>
    <w:r w:rsidRPr="004E3001">
      <w:rPr>
        <w:rFonts w:ascii="Arial" w:hAnsi="Arial" w:cs="Arial"/>
        <w:b/>
        <w:sz w:val="20"/>
      </w:rPr>
      <w:tab/>
      <w:t xml:space="preserve">- </w:t>
    </w:r>
    <w:r w:rsidR="007A6074">
      <w:rPr>
        <w:rFonts w:ascii="Arial" w:hAnsi="Arial" w:cs="Arial"/>
        <w:b/>
        <w:sz w:val="20"/>
      </w:rPr>
      <w:t>Gazdasági és Városstratégiai</w:t>
    </w:r>
    <w:r w:rsidRPr="004E3001">
      <w:rPr>
        <w:rFonts w:ascii="Arial" w:hAnsi="Arial" w:cs="Arial"/>
        <w:b/>
        <w:sz w:val="20"/>
      </w:rPr>
      <w:t xml:space="preserve"> Bizottság</w:t>
    </w:r>
  </w:p>
  <w:p w:rsidR="007A6074" w:rsidRPr="004E3001" w:rsidRDefault="007A6074" w:rsidP="00101623">
    <w:pPr>
      <w:pStyle w:val="lfej"/>
      <w:tabs>
        <w:tab w:val="clear" w:pos="4536"/>
        <w:tab w:val="center" w:pos="522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  <w:t>- Jogi és Társadalmi Kapcsolatok Bizottsága</w:t>
    </w:r>
  </w:p>
  <w:p w:rsidR="00966F92" w:rsidRPr="00101623" w:rsidRDefault="00966F92" w:rsidP="0010162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269E"/>
    <w:multiLevelType w:val="hybridMultilevel"/>
    <w:tmpl w:val="AFA26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0D9F"/>
    <w:multiLevelType w:val="hybridMultilevel"/>
    <w:tmpl w:val="390E2E8E"/>
    <w:lvl w:ilvl="0" w:tplc="8F88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23"/>
    <w:rsid w:val="00032C5E"/>
    <w:rsid w:val="00067D7A"/>
    <w:rsid w:val="000D0D5E"/>
    <w:rsid w:val="000D5554"/>
    <w:rsid w:val="000E1FFD"/>
    <w:rsid w:val="00101623"/>
    <w:rsid w:val="001076E3"/>
    <w:rsid w:val="00116D6B"/>
    <w:rsid w:val="00122A24"/>
    <w:rsid w:val="00132161"/>
    <w:rsid w:val="00195E17"/>
    <w:rsid w:val="001A4648"/>
    <w:rsid w:val="001E1F79"/>
    <w:rsid w:val="00202E94"/>
    <w:rsid w:val="002606BE"/>
    <w:rsid w:val="00263F8C"/>
    <w:rsid w:val="002B1F11"/>
    <w:rsid w:val="002D7B9F"/>
    <w:rsid w:val="002F78AA"/>
    <w:rsid w:val="00325973"/>
    <w:rsid w:val="003259BA"/>
    <w:rsid w:val="0032649B"/>
    <w:rsid w:val="0034130E"/>
    <w:rsid w:val="00356256"/>
    <w:rsid w:val="00387E79"/>
    <w:rsid w:val="003903AC"/>
    <w:rsid w:val="003E2CDF"/>
    <w:rsid w:val="004A78E8"/>
    <w:rsid w:val="004B6AE8"/>
    <w:rsid w:val="004C4280"/>
    <w:rsid w:val="004D50A1"/>
    <w:rsid w:val="0051525F"/>
    <w:rsid w:val="00522B64"/>
    <w:rsid w:val="005E6E6E"/>
    <w:rsid w:val="005F19FE"/>
    <w:rsid w:val="00610290"/>
    <w:rsid w:val="00622DD0"/>
    <w:rsid w:val="00665676"/>
    <w:rsid w:val="00697D05"/>
    <w:rsid w:val="006B5218"/>
    <w:rsid w:val="006F1895"/>
    <w:rsid w:val="006F7569"/>
    <w:rsid w:val="007353E1"/>
    <w:rsid w:val="00746431"/>
    <w:rsid w:val="007A6074"/>
    <w:rsid w:val="007B2FF9"/>
    <w:rsid w:val="007E0567"/>
    <w:rsid w:val="007F2F31"/>
    <w:rsid w:val="00806A2B"/>
    <w:rsid w:val="00863F3B"/>
    <w:rsid w:val="008728D0"/>
    <w:rsid w:val="008921ED"/>
    <w:rsid w:val="009348EA"/>
    <w:rsid w:val="00943B45"/>
    <w:rsid w:val="00953D5A"/>
    <w:rsid w:val="0096279B"/>
    <w:rsid w:val="00966F92"/>
    <w:rsid w:val="00971763"/>
    <w:rsid w:val="009B5B90"/>
    <w:rsid w:val="00A140FA"/>
    <w:rsid w:val="00A20D7A"/>
    <w:rsid w:val="00A31EB6"/>
    <w:rsid w:val="00A51ABA"/>
    <w:rsid w:val="00A56651"/>
    <w:rsid w:val="00A7633E"/>
    <w:rsid w:val="00A7768F"/>
    <w:rsid w:val="00A93F3A"/>
    <w:rsid w:val="00AB1025"/>
    <w:rsid w:val="00AB7B31"/>
    <w:rsid w:val="00AD08CD"/>
    <w:rsid w:val="00AD2FE4"/>
    <w:rsid w:val="00AD33F8"/>
    <w:rsid w:val="00B103B4"/>
    <w:rsid w:val="00B610E8"/>
    <w:rsid w:val="00BB2E0C"/>
    <w:rsid w:val="00BC46F6"/>
    <w:rsid w:val="00BE370B"/>
    <w:rsid w:val="00C24A45"/>
    <w:rsid w:val="00C51532"/>
    <w:rsid w:val="00C709E1"/>
    <w:rsid w:val="00CE65E7"/>
    <w:rsid w:val="00D54DF8"/>
    <w:rsid w:val="00D713B0"/>
    <w:rsid w:val="00D86F18"/>
    <w:rsid w:val="00DA14B3"/>
    <w:rsid w:val="00DF2401"/>
    <w:rsid w:val="00E04E0E"/>
    <w:rsid w:val="00E13A59"/>
    <w:rsid w:val="00E454F4"/>
    <w:rsid w:val="00E4645F"/>
    <w:rsid w:val="00E82890"/>
    <w:rsid w:val="00E82F69"/>
    <w:rsid w:val="00E94A88"/>
    <w:rsid w:val="00E950D2"/>
    <w:rsid w:val="00EA1525"/>
    <w:rsid w:val="00EC7C11"/>
    <w:rsid w:val="00EE2B48"/>
    <w:rsid w:val="00F34978"/>
    <w:rsid w:val="00F4577A"/>
    <w:rsid w:val="00F66099"/>
    <w:rsid w:val="00F84265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60C4DDC3-6F28-424A-92CA-0B8CF69B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1623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rsid w:val="00101623"/>
    <w:pPr>
      <w:jc w:val="both"/>
    </w:pPr>
  </w:style>
  <w:style w:type="table" w:styleId="Rcsostblzat">
    <w:name w:val="Table Grid"/>
    <w:basedOn w:val="Normltblzat"/>
    <w:rsid w:val="00A2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meth.klaudia\Local%20Settings\Temporary%20Internet%20Files\Content.IE5\ACFMYNFG\polgarmester%20es%20jegyzo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jegyzo[1]</Template>
  <TotalTime>5</TotalTime>
  <Pages>3</Pages>
  <Words>986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SZMJV Polg. Hiv.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Németh Klaudia</dc:creator>
  <cp:keywords/>
  <dc:description/>
  <cp:lastModifiedBy>Németh Klaudia</cp:lastModifiedBy>
  <cp:revision>5</cp:revision>
  <cp:lastPrinted>2015-12-02T09:37:00Z</cp:lastPrinted>
  <dcterms:created xsi:type="dcterms:W3CDTF">2015-12-01T10:29:00Z</dcterms:created>
  <dcterms:modified xsi:type="dcterms:W3CDTF">2015-12-02T09:38:00Z</dcterms:modified>
</cp:coreProperties>
</file>