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BF50FF" w:rsidRDefault="00C20AAD" w:rsidP="00C20AAD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Default="00C20AAD" w:rsidP="00C20AAD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A0932">
        <w:rPr>
          <w:rFonts w:ascii="Arial" w:hAnsi="Arial" w:cs="Arial"/>
          <w:sz w:val="20"/>
          <w:szCs w:val="20"/>
        </w:rPr>
        <w:t>Gazdasági és Városstratégiai Bizottság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BF50FF" w:rsidRDefault="00C20AAD" w:rsidP="00C20AAD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A  határozati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javaslatot törvényességi </w:t>
      </w:r>
    </w:p>
    <w:p w:rsidR="00C20AAD" w:rsidRPr="00BF50FF" w:rsidRDefault="00C20AAD" w:rsidP="00C20AAD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proofErr w:type="gramStart"/>
      <w:r w:rsidRPr="00BF50FF">
        <w:rPr>
          <w:rFonts w:ascii="Arial" w:hAnsi="Arial" w:cs="Arial"/>
          <w:b/>
          <w:sz w:val="20"/>
          <w:szCs w:val="20"/>
          <w:u w:val="single"/>
        </w:rPr>
        <w:t>szempontból</w:t>
      </w:r>
      <w:proofErr w:type="gramEnd"/>
      <w:r w:rsidRPr="00BF50FF">
        <w:rPr>
          <w:rFonts w:ascii="Arial" w:hAnsi="Arial" w:cs="Arial"/>
          <w:b/>
          <w:sz w:val="20"/>
          <w:szCs w:val="20"/>
          <w:u w:val="single"/>
        </w:rPr>
        <w:t xml:space="preserve">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Pr="00BF50FF" w:rsidRDefault="00C20AAD" w:rsidP="00C20AAD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5D53C4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66AD8">
        <w:rPr>
          <w:rFonts w:ascii="Arial" w:hAnsi="Arial" w:cs="Arial"/>
          <w:b/>
          <w:sz w:val="20"/>
          <w:szCs w:val="20"/>
        </w:rPr>
        <w:t xml:space="preserve">(: </w:t>
      </w:r>
      <w:r w:rsidR="00965903">
        <w:rPr>
          <w:rFonts w:ascii="Arial" w:hAnsi="Arial" w:cs="Arial"/>
          <w:b/>
          <w:sz w:val="20"/>
          <w:szCs w:val="20"/>
        </w:rPr>
        <w:t>D</w:t>
      </w:r>
      <w:r w:rsidR="00C20AAD">
        <w:rPr>
          <w:rFonts w:ascii="Arial" w:hAnsi="Arial" w:cs="Arial"/>
          <w:b/>
          <w:sz w:val="20"/>
          <w:szCs w:val="20"/>
        </w:rPr>
        <w:t xml:space="preserve">r. </w:t>
      </w:r>
      <w:r w:rsidR="00ED56E2">
        <w:rPr>
          <w:rFonts w:ascii="Arial" w:hAnsi="Arial" w:cs="Arial"/>
          <w:b/>
          <w:sz w:val="20"/>
          <w:szCs w:val="20"/>
        </w:rPr>
        <w:t xml:space="preserve">Károlyi </w:t>
      </w:r>
      <w:proofErr w:type="gramStart"/>
      <w:r w:rsidR="00ED56E2">
        <w:rPr>
          <w:rFonts w:ascii="Arial" w:hAnsi="Arial" w:cs="Arial"/>
          <w:b/>
          <w:sz w:val="20"/>
          <w:szCs w:val="20"/>
        </w:rPr>
        <w:t>Ákos</w:t>
      </w:r>
      <w:r w:rsidR="00C66AD8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C66AD8">
        <w:rPr>
          <w:rFonts w:ascii="Arial" w:hAnsi="Arial" w:cs="Arial"/>
          <w:b/>
          <w:sz w:val="20"/>
          <w:szCs w:val="20"/>
        </w:rPr>
        <w:t>)</w:t>
      </w:r>
    </w:p>
    <w:p w:rsidR="00C20AAD" w:rsidRPr="00BF50FF" w:rsidRDefault="005D53C4" w:rsidP="005D53C4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jegyző</w:t>
      </w:r>
      <w:r w:rsidR="00ED56E2">
        <w:rPr>
          <w:rFonts w:ascii="Arial" w:hAnsi="Arial" w:cs="Arial"/>
          <w:b/>
          <w:sz w:val="20"/>
          <w:szCs w:val="20"/>
        </w:rPr>
        <w:t>i</w:t>
      </w:r>
      <w:proofErr w:type="gramEnd"/>
      <w:r w:rsidR="00ED56E2">
        <w:rPr>
          <w:rFonts w:ascii="Arial" w:hAnsi="Arial" w:cs="Arial"/>
          <w:b/>
          <w:sz w:val="20"/>
          <w:szCs w:val="20"/>
        </w:rPr>
        <w:t xml:space="preserve"> feladatokat ellátó aljegyző</w:t>
      </w:r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962AA1" w:rsidRDefault="00962AA1" w:rsidP="00A24CEA">
      <w:pPr>
        <w:jc w:val="center"/>
        <w:rPr>
          <w:rFonts w:ascii="Arial" w:hAnsi="Arial" w:cs="Arial"/>
          <w:b/>
          <w:spacing w:val="30"/>
          <w:u w:val="single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ED56E2">
        <w:rPr>
          <w:rFonts w:ascii="Arial" w:hAnsi="Arial"/>
          <w:b/>
        </w:rPr>
        <w:t>5</w:t>
      </w:r>
      <w:r w:rsidRPr="00B6045C">
        <w:rPr>
          <w:rFonts w:ascii="Arial" w:hAnsi="Arial"/>
          <w:b/>
        </w:rPr>
        <w:t xml:space="preserve">. </w:t>
      </w:r>
      <w:r w:rsidR="009D4F18">
        <w:rPr>
          <w:rFonts w:ascii="Arial" w:hAnsi="Arial"/>
          <w:b/>
        </w:rPr>
        <w:t>május</w:t>
      </w:r>
      <w:r w:rsidRPr="00B6045C">
        <w:rPr>
          <w:rFonts w:ascii="Arial" w:hAnsi="Arial"/>
          <w:b/>
        </w:rPr>
        <w:t xml:space="preserve"> </w:t>
      </w:r>
      <w:r w:rsidR="00ED56E2">
        <w:rPr>
          <w:rFonts w:ascii="Arial" w:hAnsi="Arial"/>
          <w:b/>
        </w:rPr>
        <w:t>1</w:t>
      </w:r>
      <w:r w:rsidR="009D4F18">
        <w:rPr>
          <w:rFonts w:ascii="Arial" w:hAnsi="Arial"/>
          <w:b/>
        </w:rPr>
        <w:t>1</w:t>
      </w:r>
      <w:r w:rsidRPr="00B6045C">
        <w:rPr>
          <w:rFonts w:ascii="Arial" w:hAnsi="Arial"/>
          <w:b/>
        </w:rPr>
        <w:t>-</w:t>
      </w:r>
      <w:r w:rsidR="009D4F18">
        <w:rPr>
          <w:rFonts w:ascii="Arial" w:hAnsi="Arial"/>
          <w:b/>
        </w:rPr>
        <w:t>e</w:t>
      </w:r>
      <w:r w:rsidRPr="00B6045C">
        <w:rPr>
          <w:rFonts w:ascii="Arial" w:hAnsi="Arial"/>
          <w:b/>
        </w:rPr>
        <w:t>i ülésére</w:t>
      </w:r>
    </w:p>
    <w:p w:rsidR="00A24CEA" w:rsidRDefault="00A24CEA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24CEA" w:rsidRPr="003B2988" w:rsidRDefault="00ED56E2" w:rsidP="00A24CEA">
      <w:pPr>
        <w:jc w:val="center"/>
        <w:rPr>
          <w:rFonts w:ascii="Arial" w:hAnsi="Arial" w:cs="Arial"/>
          <w:b/>
          <w:color w:val="000000"/>
        </w:rPr>
      </w:pPr>
      <w:r w:rsidRPr="003B2988">
        <w:rPr>
          <w:rFonts w:ascii="Arial" w:hAnsi="Arial" w:cs="Arial"/>
          <w:b/>
          <w:color w:val="000000"/>
        </w:rPr>
        <w:t>Javaslat</w:t>
      </w:r>
      <w:r w:rsidR="001C2111" w:rsidRPr="003B2988">
        <w:rPr>
          <w:rFonts w:ascii="Arial" w:hAnsi="Arial" w:cs="Arial"/>
          <w:b/>
          <w:color w:val="000000"/>
        </w:rPr>
        <w:t xml:space="preserve"> Szombathely Megyei Jogú Város Integrált Területi Programjának jóváhagyására</w:t>
      </w:r>
    </w:p>
    <w:p w:rsidR="0092344B" w:rsidRDefault="0092344B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3D447D" w:rsidRDefault="0092344B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Szombathely Megyei Jogú Város Közgyűlése </w:t>
      </w:r>
      <w:r w:rsidR="004E4E84">
        <w:rPr>
          <w:rFonts w:ascii="Arial" w:hAnsi="Arial" w:cs="Arial"/>
          <w:lang w:eastAsia="ar-SA"/>
        </w:rPr>
        <w:t xml:space="preserve">a </w:t>
      </w:r>
      <w:r w:rsidR="001C2111">
        <w:rPr>
          <w:rFonts w:ascii="Arial" w:hAnsi="Arial" w:cs="Arial"/>
          <w:lang w:eastAsia="ar-SA"/>
        </w:rPr>
        <w:t xml:space="preserve">2014. december 15-ei ülésén, </w:t>
      </w:r>
      <w:r w:rsidR="004E4E84">
        <w:rPr>
          <w:rFonts w:ascii="Arial" w:hAnsi="Arial" w:cs="Arial"/>
          <w:lang w:eastAsia="ar-SA"/>
        </w:rPr>
        <w:t xml:space="preserve">a </w:t>
      </w:r>
      <w:r w:rsidR="001C2111">
        <w:rPr>
          <w:rFonts w:ascii="Arial" w:hAnsi="Arial" w:cs="Arial"/>
          <w:lang w:eastAsia="ar-SA"/>
        </w:rPr>
        <w:t xml:space="preserve">495/2014. (XII.15.) Kgy. </w:t>
      </w:r>
      <w:proofErr w:type="gramStart"/>
      <w:r w:rsidR="001C2111">
        <w:rPr>
          <w:rFonts w:ascii="Arial" w:hAnsi="Arial" w:cs="Arial"/>
          <w:lang w:eastAsia="ar-SA"/>
        </w:rPr>
        <w:t>sz.</w:t>
      </w:r>
      <w:proofErr w:type="gramEnd"/>
      <w:r w:rsidR="001C2111">
        <w:rPr>
          <w:rFonts w:ascii="Arial" w:hAnsi="Arial" w:cs="Arial"/>
          <w:lang w:eastAsia="ar-SA"/>
        </w:rPr>
        <w:t xml:space="preserve"> határozatában hagyta jóvá </w:t>
      </w:r>
      <w:r w:rsidR="001C2111" w:rsidRPr="009828C2">
        <w:rPr>
          <w:rFonts w:ascii="Arial" w:hAnsi="Arial" w:cs="Arial"/>
          <w:b/>
          <w:lang w:eastAsia="ar-SA"/>
        </w:rPr>
        <w:t>Szombathely Megyei Jogú Város 2014-2020 időszakra szóló Integrált Területi Program</w:t>
      </w:r>
      <w:r w:rsidR="001C2111">
        <w:rPr>
          <w:rFonts w:ascii="Arial" w:hAnsi="Arial" w:cs="Arial"/>
          <w:lang w:eastAsia="ar-SA"/>
        </w:rPr>
        <w:t>jának (ITP</w:t>
      </w:r>
      <w:r w:rsidR="004E4E84">
        <w:rPr>
          <w:rFonts w:ascii="Arial" w:hAnsi="Arial" w:cs="Arial"/>
          <w:lang w:eastAsia="ar-SA"/>
        </w:rPr>
        <w:t>1.0</w:t>
      </w:r>
      <w:r w:rsidR="001C2111">
        <w:rPr>
          <w:rFonts w:ascii="Arial" w:hAnsi="Arial" w:cs="Arial"/>
          <w:lang w:eastAsia="ar-SA"/>
        </w:rPr>
        <w:t>) ter</w:t>
      </w:r>
      <w:r w:rsidR="00895196">
        <w:rPr>
          <w:rFonts w:ascii="Arial" w:hAnsi="Arial" w:cs="Arial"/>
          <w:lang w:eastAsia="ar-SA"/>
        </w:rPr>
        <w:t>v</w:t>
      </w:r>
      <w:r w:rsidR="001C2111">
        <w:rPr>
          <w:rFonts w:ascii="Arial" w:hAnsi="Arial" w:cs="Arial"/>
          <w:lang w:eastAsia="ar-SA"/>
        </w:rPr>
        <w:t>ezet</w:t>
      </w:r>
      <w:r w:rsidR="004E4E84">
        <w:rPr>
          <w:rFonts w:ascii="Arial" w:hAnsi="Arial" w:cs="Arial"/>
          <w:lang w:eastAsia="ar-SA"/>
        </w:rPr>
        <w:t>é</w:t>
      </w:r>
      <w:r w:rsidR="001C2111">
        <w:rPr>
          <w:rFonts w:ascii="Arial" w:hAnsi="Arial" w:cs="Arial"/>
          <w:lang w:eastAsia="ar-SA"/>
        </w:rPr>
        <w:t xml:space="preserve">t. A Nemzetgazdasági Minisztérium 2015. február 9-én tájékoztatta az önkormányzatot arról, hogy az </w:t>
      </w:r>
      <w:proofErr w:type="spellStart"/>
      <w:r w:rsidR="001C2111">
        <w:rPr>
          <w:rFonts w:ascii="Arial" w:hAnsi="Arial" w:cs="Arial"/>
          <w:lang w:eastAsia="ar-SA"/>
        </w:rPr>
        <w:t>ITP-t</w:t>
      </w:r>
      <w:proofErr w:type="spellEnd"/>
      <w:r w:rsidR="001C2111">
        <w:rPr>
          <w:rFonts w:ascii="Arial" w:hAnsi="Arial" w:cs="Arial"/>
          <w:lang w:eastAsia="ar-SA"/>
        </w:rPr>
        <w:t xml:space="preserve"> a</w:t>
      </w:r>
      <w:r w:rsidR="009828C2">
        <w:rPr>
          <w:rFonts w:ascii="Arial" w:hAnsi="Arial" w:cs="Arial"/>
          <w:lang w:eastAsia="ar-SA"/>
        </w:rPr>
        <w:t xml:space="preserve"> </w:t>
      </w:r>
      <w:r w:rsidR="004E4E84">
        <w:rPr>
          <w:rFonts w:ascii="Arial" w:hAnsi="Arial" w:cs="Arial"/>
          <w:lang w:eastAsia="ar-SA"/>
        </w:rPr>
        <w:t xml:space="preserve">minisztérium által módosított </w:t>
      </w:r>
      <w:r w:rsidR="001C2111">
        <w:rPr>
          <w:rFonts w:ascii="Arial" w:hAnsi="Arial" w:cs="Arial"/>
          <w:lang w:eastAsia="ar-SA"/>
        </w:rPr>
        <w:t xml:space="preserve">módszertan és ütemezés szerint át kell dolgozni. </w:t>
      </w:r>
    </w:p>
    <w:p w:rsidR="00ED56E2" w:rsidRDefault="001C2111" w:rsidP="00ED56E2">
      <w:pPr>
        <w:suppressAutoHyphens/>
        <w:spacing w:after="120"/>
        <w:jc w:val="both"/>
        <w:rPr>
          <w:rFonts w:ascii="Arial" w:hAnsi="Arial" w:cs="Arial"/>
        </w:rPr>
      </w:pPr>
      <w:r w:rsidRPr="00184F51">
        <w:rPr>
          <w:rFonts w:ascii="Arial" w:hAnsi="Arial" w:cs="Arial"/>
        </w:rPr>
        <w:t xml:space="preserve">A 1298/2014. (V.5.) Korm. határozat 13,6 milliárd </w:t>
      </w:r>
      <w:r w:rsidR="009828C2">
        <w:rPr>
          <w:rFonts w:ascii="Arial" w:hAnsi="Arial" w:cs="Arial"/>
        </w:rPr>
        <w:t>forint</w:t>
      </w:r>
      <w:r w:rsidRPr="00184F51">
        <w:rPr>
          <w:rFonts w:ascii="Arial" w:hAnsi="Arial" w:cs="Arial"/>
        </w:rPr>
        <w:t xml:space="preserve"> keretösszeget nevesített Szombathely Megyei Jogú Város </w:t>
      </w:r>
      <w:r w:rsidR="00184F51" w:rsidRPr="00184F51">
        <w:rPr>
          <w:rFonts w:ascii="Arial" w:hAnsi="Arial" w:cs="Arial"/>
        </w:rPr>
        <w:t>számára</w:t>
      </w:r>
      <w:r w:rsidRPr="00184F51">
        <w:rPr>
          <w:rFonts w:ascii="Arial" w:hAnsi="Arial" w:cs="Arial"/>
        </w:rPr>
        <w:t xml:space="preserve">, amely keret terhére a város megtervezheti a Terület- és Településfejlesztési Operatív Programból </w:t>
      </w:r>
      <w:r w:rsidR="00184F51">
        <w:rPr>
          <w:rFonts w:ascii="Arial" w:hAnsi="Arial" w:cs="Arial"/>
        </w:rPr>
        <w:t xml:space="preserve">(TOP) </w:t>
      </w:r>
      <w:r w:rsidRPr="00184F51">
        <w:rPr>
          <w:rFonts w:ascii="Arial" w:hAnsi="Arial" w:cs="Arial"/>
        </w:rPr>
        <w:t xml:space="preserve">finanszírozandó fejlesztéseit. Időközben </w:t>
      </w:r>
      <w:r w:rsidR="00184F51" w:rsidRPr="00184F51">
        <w:rPr>
          <w:rFonts w:ascii="Arial" w:hAnsi="Arial" w:cs="Arial"/>
        </w:rPr>
        <w:t>megjelent a</w:t>
      </w:r>
      <w:r w:rsidR="00184F51">
        <w:rPr>
          <w:rFonts w:ascii="Arial" w:hAnsi="Arial" w:cs="Arial"/>
        </w:rPr>
        <w:t xml:space="preserve"> </w:t>
      </w:r>
      <w:r w:rsidR="00184F51" w:rsidRPr="00184F51">
        <w:rPr>
          <w:rFonts w:ascii="Arial" w:hAnsi="Arial" w:cs="Arial"/>
        </w:rPr>
        <w:t>1702/</w:t>
      </w:r>
      <w:r w:rsidR="00184F51">
        <w:rPr>
          <w:rFonts w:ascii="Arial" w:hAnsi="Arial" w:cs="Arial"/>
        </w:rPr>
        <w:t>2014. (XII.3.) Korm. határozat, amelyben</w:t>
      </w:r>
      <w:r w:rsidR="00184F51" w:rsidRPr="00184F51">
        <w:rPr>
          <w:rFonts w:ascii="Arial" w:hAnsi="Arial" w:cs="Arial"/>
        </w:rPr>
        <w:t xml:space="preserve"> </w:t>
      </w:r>
      <w:r w:rsidR="00184F51" w:rsidRPr="009828C2">
        <w:rPr>
          <w:rFonts w:ascii="Arial" w:hAnsi="Arial" w:cs="Arial"/>
          <w:b/>
        </w:rPr>
        <w:t>Szombathely Megyei Jogú Város részére allokált keretösszeg 14,53 milliárd forint</w:t>
      </w:r>
      <w:r w:rsidR="009828C2">
        <w:rPr>
          <w:rFonts w:ascii="Arial" w:hAnsi="Arial" w:cs="Arial"/>
        </w:rPr>
        <w:t>ra módosult</w:t>
      </w:r>
      <w:r w:rsidR="00184F51">
        <w:rPr>
          <w:rFonts w:ascii="Arial" w:hAnsi="Arial" w:cs="Arial"/>
        </w:rPr>
        <w:t xml:space="preserve">. A város TOP forráskerete így közel 1 milliárd </w:t>
      </w:r>
      <w:r w:rsidR="009828C2">
        <w:rPr>
          <w:rFonts w:ascii="Arial" w:hAnsi="Arial" w:cs="Arial"/>
        </w:rPr>
        <w:t>forint</w:t>
      </w:r>
      <w:r w:rsidR="00184F51">
        <w:rPr>
          <w:rFonts w:ascii="Arial" w:hAnsi="Arial" w:cs="Arial"/>
        </w:rPr>
        <w:t>tal növekedett.</w:t>
      </w:r>
    </w:p>
    <w:p w:rsidR="00184F51" w:rsidRDefault="00184F51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tervezési keretösszegre minden megye és megyei jogú város </w:t>
      </w:r>
      <w:r w:rsidR="009828C2">
        <w:rPr>
          <w:rFonts w:ascii="Arial" w:hAnsi="Arial" w:cs="Arial"/>
          <w:lang w:eastAsia="ar-SA"/>
        </w:rPr>
        <w:t xml:space="preserve">köteles </w:t>
      </w:r>
      <w:r>
        <w:rPr>
          <w:rFonts w:ascii="Arial" w:hAnsi="Arial" w:cs="Arial"/>
          <w:lang w:eastAsia="ar-SA"/>
        </w:rPr>
        <w:t>kidolgoz</w:t>
      </w:r>
      <w:r w:rsidR="009828C2">
        <w:rPr>
          <w:rFonts w:ascii="Arial" w:hAnsi="Arial" w:cs="Arial"/>
          <w:lang w:eastAsia="ar-SA"/>
        </w:rPr>
        <w:t>ni</w:t>
      </w:r>
      <w:r>
        <w:rPr>
          <w:rFonts w:ascii="Arial" w:hAnsi="Arial" w:cs="Arial"/>
          <w:lang w:eastAsia="ar-SA"/>
        </w:rPr>
        <w:t xml:space="preserve"> saját </w:t>
      </w:r>
      <w:r w:rsidRPr="00184F51">
        <w:rPr>
          <w:rFonts w:ascii="Arial" w:hAnsi="Arial" w:cs="Arial"/>
          <w:lang w:eastAsia="ar-SA"/>
        </w:rPr>
        <w:t>integrált területi program</w:t>
      </w:r>
      <w:r w:rsidR="009828C2">
        <w:rPr>
          <w:rFonts w:ascii="Arial" w:hAnsi="Arial" w:cs="Arial"/>
          <w:lang w:eastAsia="ar-SA"/>
        </w:rPr>
        <w:t>ját</w:t>
      </w:r>
      <w:r>
        <w:rPr>
          <w:rFonts w:ascii="Arial" w:hAnsi="Arial" w:cs="Arial"/>
          <w:lang w:eastAsia="ar-SA"/>
        </w:rPr>
        <w:t>. Ebben kell bemutatni a 2014-2020 időszakban az előre dedikált TOP forráskeret terhére tervezett fejlesztéseket.</w:t>
      </w:r>
      <w:r w:rsidRPr="002774E9">
        <w:rPr>
          <w:rFonts w:ascii="Arial" w:hAnsi="Arial" w:cs="Arial"/>
          <w:lang w:eastAsia="ar-SA"/>
        </w:rPr>
        <w:t xml:space="preserve"> Az ITP elkészítését a </w:t>
      </w:r>
      <w:r w:rsidRPr="00895196">
        <w:rPr>
          <w:rFonts w:ascii="Arial" w:hAnsi="Arial" w:cs="Arial"/>
          <w:lang w:eastAsia="ar-SA"/>
        </w:rPr>
        <w:t>TOP, a 2014-2020 programozási időszakban az egyes európai uniós alapokból származó támogatások felhasználásának rendjéről szóló 272/2014. (XI.5.) Korm. rendelet, valamint az NGM által kiadott „Útmutató a megyei jogú városok integrált területi programjainak kidolgozásához és megvalósításához” c</w:t>
      </w:r>
      <w:r w:rsidRPr="002774E9">
        <w:rPr>
          <w:rFonts w:ascii="Arial" w:hAnsi="Arial" w:cs="Arial"/>
          <w:lang w:eastAsia="ar-SA"/>
        </w:rPr>
        <w:t>ímű dokumentum (ITP útmutató) szabályozza.</w:t>
      </w:r>
    </w:p>
    <w:p w:rsidR="00962AA1" w:rsidRDefault="00962AA1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184F51" w:rsidRDefault="00184F51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ITP végleges, Közgyűlés által jóváhagyott változatát 2015. május 11-éig kell megküldeni a Nemzetgazdasági Minisztérium részére. A </w:t>
      </w:r>
      <w:r w:rsidRPr="002774E9">
        <w:rPr>
          <w:rFonts w:ascii="Arial" w:hAnsi="Arial" w:cs="Arial"/>
          <w:lang w:eastAsia="ar-SA"/>
        </w:rPr>
        <w:t>272/2014. (XI.5.) Korm. rendelet</w:t>
      </w:r>
      <w:r>
        <w:rPr>
          <w:rFonts w:ascii="Arial" w:hAnsi="Arial" w:cs="Arial"/>
          <w:lang w:eastAsia="ar-SA"/>
        </w:rPr>
        <w:t xml:space="preserve"> 5.§</w:t>
      </w:r>
      <w:proofErr w:type="spellStart"/>
      <w:r>
        <w:rPr>
          <w:rFonts w:ascii="Arial" w:hAnsi="Arial" w:cs="Arial"/>
          <w:lang w:eastAsia="ar-SA"/>
        </w:rPr>
        <w:t>-</w:t>
      </w:r>
      <w:proofErr w:type="gramStart"/>
      <w:r>
        <w:rPr>
          <w:rFonts w:ascii="Arial" w:hAnsi="Arial" w:cs="Arial"/>
          <w:lang w:eastAsia="ar-SA"/>
        </w:rPr>
        <w:t>a</w:t>
      </w:r>
      <w:proofErr w:type="spellEnd"/>
      <w:proofErr w:type="gramEnd"/>
      <w:r>
        <w:rPr>
          <w:rFonts w:ascii="Arial" w:hAnsi="Arial" w:cs="Arial"/>
          <w:lang w:eastAsia="ar-SA"/>
        </w:rPr>
        <w:t xml:space="preserve"> alapján az </w:t>
      </w:r>
      <w:proofErr w:type="spellStart"/>
      <w:r>
        <w:rPr>
          <w:rFonts w:ascii="Arial" w:hAnsi="Arial" w:cs="Arial"/>
          <w:lang w:eastAsia="ar-SA"/>
        </w:rPr>
        <w:t>ITP-t</w:t>
      </w:r>
      <w:proofErr w:type="spellEnd"/>
      <w:r>
        <w:rPr>
          <w:rFonts w:ascii="Arial" w:hAnsi="Arial" w:cs="Arial"/>
          <w:lang w:eastAsia="ar-SA"/>
        </w:rPr>
        <w:t xml:space="preserve"> a Nemzeti Fejlesztési K</w:t>
      </w:r>
      <w:r w:rsidR="00FB2858">
        <w:rPr>
          <w:rFonts w:ascii="Arial" w:hAnsi="Arial" w:cs="Arial"/>
          <w:lang w:eastAsia="ar-SA"/>
        </w:rPr>
        <w:t xml:space="preserve">ormánybizottság hagyja jóvá. Az ITP módosítására </w:t>
      </w:r>
      <w:r w:rsidR="00FB2858">
        <w:rPr>
          <w:rFonts w:ascii="Arial" w:hAnsi="Arial" w:cs="Arial"/>
          <w:lang w:eastAsia="ar-SA"/>
        </w:rPr>
        <w:lastRenderedPageBreak/>
        <w:t>jogszabály alapján éven</w:t>
      </w:r>
      <w:r w:rsidR="00B04D0C">
        <w:rPr>
          <w:rFonts w:ascii="Arial" w:hAnsi="Arial" w:cs="Arial"/>
          <w:lang w:eastAsia="ar-SA"/>
        </w:rPr>
        <w:t xml:space="preserve">te egy alkalommal van lehetőség, a módosítás jóváhagyása </w:t>
      </w:r>
      <w:r w:rsidR="009828C2">
        <w:rPr>
          <w:rFonts w:ascii="Arial" w:hAnsi="Arial" w:cs="Arial"/>
          <w:lang w:eastAsia="ar-SA"/>
        </w:rPr>
        <w:t>szintén</w:t>
      </w:r>
      <w:r w:rsidR="00B04D0C">
        <w:rPr>
          <w:rFonts w:ascii="Arial" w:hAnsi="Arial" w:cs="Arial"/>
          <w:lang w:eastAsia="ar-SA"/>
        </w:rPr>
        <w:t xml:space="preserve"> a Nemzeti Fejlesztési Kormánybizottság hatásköre.</w:t>
      </w:r>
    </w:p>
    <w:p w:rsidR="00962AA1" w:rsidRDefault="00962AA1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B04D0C" w:rsidRDefault="00B04D0C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 ITP megvalósítása a </w:t>
      </w:r>
      <w:r w:rsidRPr="002774E9">
        <w:rPr>
          <w:rFonts w:ascii="Arial" w:hAnsi="Arial" w:cs="Arial"/>
          <w:lang w:eastAsia="ar-SA"/>
        </w:rPr>
        <w:t>272/2014. (XI.5.) Korm. rendelet</w:t>
      </w:r>
      <w:r>
        <w:rPr>
          <w:rFonts w:ascii="Arial" w:hAnsi="Arial" w:cs="Arial"/>
          <w:lang w:eastAsia="ar-SA"/>
        </w:rPr>
        <w:t xml:space="preserve">ben rögzített úgynevezett </w:t>
      </w:r>
      <w:r w:rsidRPr="009828C2">
        <w:rPr>
          <w:rFonts w:ascii="Arial" w:hAnsi="Arial" w:cs="Arial"/>
          <w:b/>
          <w:lang w:eastAsia="ar-SA"/>
        </w:rPr>
        <w:t>Területi Kiválasztási Eljárásrend</w:t>
      </w:r>
      <w:r>
        <w:rPr>
          <w:rFonts w:ascii="Arial" w:hAnsi="Arial" w:cs="Arial"/>
          <w:lang w:eastAsia="ar-SA"/>
        </w:rPr>
        <w:t xml:space="preserve"> (TKR) szerint történik. Az eljárásrend keretében az önkormányzat feladata a </w:t>
      </w:r>
      <w:r w:rsidRPr="00B04D0C">
        <w:rPr>
          <w:rFonts w:ascii="Arial" w:hAnsi="Arial" w:cs="Arial"/>
          <w:lang w:eastAsia="ar-SA"/>
        </w:rPr>
        <w:t>területi kiválasztási kritérium rendszer meghatározása</w:t>
      </w:r>
      <w:r>
        <w:rPr>
          <w:rFonts w:ascii="Arial" w:hAnsi="Arial" w:cs="Arial"/>
          <w:lang w:eastAsia="ar-SA"/>
        </w:rPr>
        <w:t xml:space="preserve">, amely </w:t>
      </w:r>
      <w:r w:rsidRPr="00B04D0C">
        <w:rPr>
          <w:rFonts w:ascii="Arial" w:hAnsi="Arial" w:cs="Arial"/>
          <w:lang w:eastAsia="ar-SA"/>
        </w:rPr>
        <w:t>által definiálhatja a város, hogy az NGM által meghatározott központi kiválasztási szempontokon túl milyen specifikus kiválasztási alapelveket kíván érvényesíteni a városi ITP projektjeinek majdani kiválasztási folyamatában. A város és az NGM által meghatározott kritériumok összességét, a TOP szintű területi kiválasztási kritérium rendszert a TOP Monitoring Bizottság jogosult jóváhagyni.</w:t>
      </w:r>
      <w:r>
        <w:rPr>
          <w:rFonts w:ascii="Arial" w:hAnsi="Arial" w:cs="Arial"/>
          <w:lang w:eastAsia="ar-SA"/>
        </w:rPr>
        <w:t xml:space="preserve"> </w:t>
      </w:r>
      <w:r w:rsidRPr="009828C2">
        <w:rPr>
          <w:rFonts w:ascii="Arial" w:hAnsi="Arial" w:cs="Arial"/>
          <w:b/>
          <w:lang w:eastAsia="ar-SA"/>
        </w:rPr>
        <w:t>Szombathely Megyei Jogú Város területi kiválasztási kritérium rendszere</w:t>
      </w:r>
      <w:r>
        <w:rPr>
          <w:rFonts w:ascii="Arial" w:hAnsi="Arial" w:cs="Arial"/>
          <w:lang w:eastAsia="ar-SA"/>
        </w:rPr>
        <w:t xml:space="preserve"> az ITP </w:t>
      </w:r>
      <w:r w:rsidR="00895196">
        <w:rPr>
          <w:rFonts w:ascii="Arial" w:hAnsi="Arial" w:cs="Arial"/>
          <w:lang w:eastAsia="ar-SA"/>
        </w:rPr>
        <w:t>rész</w:t>
      </w:r>
      <w:r>
        <w:rPr>
          <w:rFonts w:ascii="Arial" w:hAnsi="Arial" w:cs="Arial"/>
          <w:lang w:eastAsia="ar-SA"/>
        </w:rPr>
        <w:t>ét képezi.</w:t>
      </w:r>
    </w:p>
    <w:p w:rsidR="00962AA1" w:rsidRDefault="00962AA1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B04D0C" w:rsidRDefault="007F0719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B04D0C">
        <w:rPr>
          <w:rFonts w:ascii="Arial" w:hAnsi="Arial" w:cs="Arial"/>
          <w:lang w:eastAsia="ar-SA"/>
        </w:rPr>
        <w:t>A</w:t>
      </w:r>
      <w:r w:rsidR="009828C2">
        <w:rPr>
          <w:rFonts w:ascii="Arial" w:hAnsi="Arial" w:cs="Arial"/>
          <w:lang w:eastAsia="ar-SA"/>
        </w:rPr>
        <w:t>z ITP</w:t>
      </w:r>
      <w:r w:rsidRPr="00B04D0C">
        <w:rPr>
          <w:rFonts w:ascii="Arial" w:hAnsi="Arial" w:cs="Arial"/>
          <w:lang w:eastAsia="ar-SA"/>
        </w:rPr>
        <w:t xml:space="preserve"> dokumentumban rögzíteni kell </w:t>
      </w:r>
      <w:r w:rsidR="00895196">
        <w:rPr>
          <w:rFonts w:ascii="Arial" w:hAnsi="Arial" w:cs="Arial"/>
          <w:lang w:eastAsia="ar-SA"/>
        </w:rPr>
        <w:t xml:space="preserve">továbbá </w:t>
      </w:r>
      <w:r w:rsidRPr="00B04D0C">
        <w:rPr>
          <w:rFonts w:ascii="Arial" w:hAnsi="Arial" w:cs="Arial"/>
          <w:lang w:eastAsia="ar-SA"/>
        </w:rPr>
        <w:t>a 14,53 milliárd forintos TOP keretösszeg felhasználási céljait, módjait, ütemezését, valamint a fejlesztésekhez kapcsolódó indikátorvállalásokat a hét éves időszakra vonatkozóan. A TOP meghatározott tematikus intézkedéseket tartalmaz</w:t>
      </w:r>
      <w:r>
        <w:rPr>
          <w:rFonts w:ascii="Arial" w:hAnsi="Arial" w:cs="Arial"/>
          <w:lang w:eastAsia="ar-SA"/>
        </w:rPr>
        <w:t xml:space="preserve"> (</w:t>
      </w:r>
      <w:r w:rsidRPr="00B04D0C">
        <w:rPr>
          <w:rFonts w:ascii="Arial" w:hAnsi="Arial" w:cs="Arial"/>
          <w:lang w:eastAsia="ar-SA"/>
        </w:rPr>
        <w:t>gazdaságfejlesztés, közlekedés, városfejlesztés, energetika</w:t>
      </w:r>
      <w:r>
        <w:rPr>
          <w:rFonts w:ascii="Arial" w:hAnsi="Arial" w:cs="Arial"/>
          <w:lang w:eastAsia="ar-SA"/>
        </w:rPr>
        <w:t>, egé</w:t>
      </w:r>
      <w:r w:rsidR="00895196">
        <w:rPr>
          <w:rFonts w:ascii="Arial" w:hAnsi="Arial" w:cs="Arial"/>
          <w:lang w:eastAsia="ar-SA"/>
        </w:rPr>
        <w:t>szségügyi és szociális fej</w:t>
      </w:r>
      <w:r>
        <w:rPr>
          <w:rFonts w:ascii="Arial" w:hAnsi="Arial" w:cs="Arial"/>
          <w:lang w:eastAsia="ar-SA"/>
        </w:rPr>
        <w:t>l</w:t>
      </w:r>
      <w:r w:rsidR="00895196">
        <w:rPr>
          <w:rFonts w:ascii="Arial" w:hAnsi="Arial" w:cs="Arial"/>
          <w:lang w:eastAsia="ar-SA"/>
        </w:rPr>
        <w:t>e</w:t>
      </w:r>
      <w:r>
        <w:rPr>
          <w:rFonts w:ascii="Arial" w:hAnsi="Arial" w:cs="Arial"/>
          <w:lang w:eastAsia="ar-SA"/>
        </w:rPr>
        <w:t>sztések</w:t>
      </w:r>
      <w:r w:rsidRPr="00B04D0C">
        <w:rPr>
          <w:rFonts w:ascii="Arial" w:hAnsi="Arial" w:cs="Arial"/>
          <w:lang w:eastAsia="ar-SA"/>
        </w:rPr>
        <w:t xml:space="preserve"> stb.), amelyhez a városnak az </w:t>
      </w:r>
      <w:proofErr w:type="spellStart"/>
      <w:r w:rsidRPr="00B04D0C">
        <w:rPr>
          <w:rFonts w:ascii="Arial" w:hAnsi="Arial" w:cs="Arial"/>
          <w:lang w:eastAsia="ar-SA"/>
        </w:rPr>
        <w:t>ITP-ben</w:t>
      </w:r>
      <w:proofErr w:type="spellEnd"/>
      <w:r w:rsidRPr="00B04D0C">
        <w:rPr>
          <w:rFonts w:ascii="Arial" w:hAnsi="Arial" w:cs="Arial"/>
          <w:lang w:eastAsia="ar-SA"/>
        </w:rPr>
        <w:t xml:space="preserve"> hozzá kell rendelnie saját fejlesztési elképzeléseit.</w:t>
      </w:r>
      <w:r>
        <w:rPr>
          <w:rFonts w:ascii="Arial" w:hAnsi="Arial" w:cs="Arial"/>
          <w:lang w:eastAsia="ar-SA"/>
        </w:rPr>
        <w:t xml:space="preserve"> A program</w:t>
      </w:r>
      <w:r w:rsidR="009828C2">
        <w:rPr>
          <w:rFonts w:ascii="Arial" w:hAnsi="Arial" w:cs="Arial"/>
          <w:lang w:eastAsia="ar-SA"/>
        </w:rPr>
        <w:t>ban</w:t>
      </w:r>
      <w:r>
        <w:rPr>
          <w:rFonts w:ascii="Arial" w:hAnsi="Arial" w:cs="Arial"/>
          <w:lang w:eastAsia="ar-SA"/>
        </w:rPr>
        <w:t xml:space="preserve"> ismertetésre kerül</w:t>
      </w:r>
      <w:r w:rsidR="00895196">
        <w:rPr>
          <w:rFonts w:ascii="Arial" w:hAnsi="Arial" w:cs="Arial"/>
          <w:lang w:eastAsia="ar-SA"/>
        </w:rPr>
        <w:t xml:space="preserve"> a</w:t>
      </w:r>
      <w:r>
        <w:rPr>
          <w:rFonts w:ascii="Arial" w:hAnsi="Arial" w:cs="Arial"/>
          <w:lang w:eastAsia="ar-SA"/>
        </w:rPr>
        <w:t xml:space="preserve"> város elmúlt időszakban elkészült stratégiai városfejlesztési dokumentumaihoz (Hosszú Távú Településfejlesztési Koncepció, Integrált Településfejlesztési Stratégia), a megyei stratégiai dokumentumokhoz és a </w:t>
      </w:r>
      <w:proofErr w:type="spellStart"/>
      <w:r>
        <w:rPr>
          <w:rFonts w:ascii="Arial" w:hAnsi="Arial" w:cs="Arial"/>
          <w:lang w:eastAsia="ar-SA"/>
        </w:rPr>
        <w:t>TOP-hoz</w:t>
      </w:r>
      <w:proofErr w:type="spellEnd"/>
      <w:r>
        <w:rPr>
          <w:rFonts w:ascii="Arial" w:hAnsi="Arial" w:cs="Arial"/>
          <w:lang w:eastAsia="ar-SA"/>
        </w:rPr>
        <w:t xml:space="preserve"> való illeszkedés és kapcsolódás. </w:t>
      </w:r>
      <w:r w:rsidRPr="00B04D0C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 xml:space="preserve">Az ITP tartalmazza a városi </w:t>
      </w:r>
      <w:r w:rsidRPr="009828C2">
        <w:rPr>
          <w:rFonts w:ascii="Arial" w:hAnsi="Arial" w:cs="Arial"/>
          <w:b/>
          <w:lang w:eastAsia="ar-SA"/>
        </w:rPr>
        <w:t>keretösszeg összegszerű és százalékos felosztását TOP tématerületei között</w:t>
      </w:r>
      <w:r>
        <w:rPr>
          <w:rFonts w:ascii="Arial" w:hAnsi="Arial" w:cs="Arial"/>
          <w:lang w:eastAsia="ar-SA"/>
        </w:rPr>
        <w:t>. Ez mind táblázatos formában, mind szövegesen az ITP dokumentum részét képezi</w:t>
      </w:r>
      <w:r w:rsidR="009828C2">
        <w:rPr>
          <w:rFonts w:ascii="Arial" w:hAnsi="Arial" w:cs="Arial"/>
          <w:lang w:eastAsia="ar-SA"/>
        </w:rPr>
        <w:t xml:space="preserve">. </w:t>
      </w:r>
    </w:p>
    <w:p w:rsidR="00962AA1" w:rsidRDefault="00962AA1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BA2ED2" w:rsidRDefault="00DB5E95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Már ebben a szakaszban meg kell határozni </w:t>
      </w:r>
      <w:r w:rsidR="00895196">
        <w:rPr>
          <w:rFonts w:ascii="Arial" w:hAnsi="Arial" w:cs="Arial"/>
          <w:lang w:eastAsia="ar-SA"/>
        </w:rPr>
        <w:t>az ITP egészére vonatkozó, de az egyes majdani projekteken keresztül teljesülő</w:t>
      </w:r>
      <w:r>
        <w:rPr>
          <w:rFonts w:ascii="Arial" w:hAnsi="Arial" w:cs="Arial"/>
          <w:lang w:eastAsia="ar-SA"/>
        </w:rPr>
        <w:t xml:space="preserve"> i</w:t>
      </w:r>
      <w:r w:rsidRPr="009828C2">
        <w:rPr>
          <w:rFonts w:ascii="Arial" w:hAnsi="Arial" w:cs="Arial"/>
          <w:b/>
          <w:lang w:eastAsia="ar-SA"/>
        </w:rPr>
        <w:t>ndikátorvállalások</w:t>
      </w:r>
      <w:r>
        <w:rPr>
          <w:rFonts w:ascii="Arial" w:hAnsi="Arial" w:cs="Arial"/>
          <w:lang w:eastAsia="ar-SA"/>
        </w:rPr>
        <w:t xml:space="preserve">at </w:t>
      </w:r>
      <w:r w:rsidR="00AF2622">
        <w:rPr>
          <w:rFonts w:ascii="Arial" w:hAnsi="Arial" w:cs="Arial"/>
          <w:lang w:eastAsia="ar-SA"/>
        </w:rPr>
        <w:t>is</w:t>
      </w:r>
      <w:r>
        <w:rPr>
          <w:rFonts w:ascii="Arial" w:hAnsi="Arial" w:cs="Arial"/>
          <w:lang w:eastAsia="ar-SA"/>
        </w:rPr>
        <w:t>.</w:t>
      </w:r>
      <w:r w:rsidR="009828C2">
        <w:rPr>
          <w:rFonts w:ascii="Arial" w:hAnsi="Arial" w:cs="Arial"/>
          <w:lang w:eastAsia="ar-SA"/>
        </w:rPr>
        <w:t xml:space="preserve"> Ez </w:t>
      </w:r>
      <w:r>
        <w:rPr>
          <w:rFonts w:ascii="Arial" w:hAnsi="Arial" w:cs="Arial"/>
          <w:lang w:eastAsia="ar-SA"/>
        </w:rPr>
        <w:t>a</w:t>
      </w:r>
      <w:r w:rsidR="009828C2">
        <w:rPr>
          <w:rFonts w:ascii="Arial" w:hAnsi="Arial" w:cs="Arial"/>
          <w:lang w:eastAsia="ar-SA"/>
        </w:rPr>
        <w:t xml:space="preserve"> központilag meghatározott mutatók értékeihez való </w:t>
      </w:r>
      <w:r w:rsidR="00016675">
        <w:rPr>
          <w:rFonts w:ascii="Arial" w:hAnsi="Arial" w:cs="Arial"/>
          <w:lang w:eastAsia="ar-SA"/>
        </w:rPr>
        <w:t xml:space="preserve">városi </w:t>
      </w:r>
      <w:r w:rsidR="009828C2">
        <w:rPr>
          <w:rFonts w:ascii="Arial" w:hAnsi="Arial" w:cs="Arial"/>
          <w:lang w:eastAsia="ar-SA"/>
        </w:rPr>
        <w:t>hozzájárulást jelenti, amely</w:t>
      </w:r>
      <w:r w:rsidR="00016675">
        <w:rPr>
          <w:rFonts w:ascii="Arial" w:hAnsi="Arial" w:cs="Arial"/>
          <w:lang w:eastAsia="ar-SA"/>
        </w:rPr>
        <w:t>et</w:t>
      </w:r>
      <w:r w:rsidR="009828C2">
        <w:rPr>
          <w:rFonts w:ascii="Arial" w:hAnsi="Arial" w:cs="Arial"/>
          <w:lang w:eastAsia="ar-SA"/>
        </w:rPr>
        <w:t xml:space="preserve"> egyrészt a</w:t>
      </w:r>
      <w:r>
        <w:rPr>
          <w:rFonts w:ascii="Arial" w:hAnsi="Arial" w:cs="Arial"/>
          <w:lang w:eastAsia="ar-SA"/>
        </w:rPr>
        <w:t xml:space="preserve"> teljes 2014-2020 támogatási időszakban elérni kívánt összérték megadásával, </w:t>
      </w:r>
      <w:r w:rsidR="009828C2">
        <w:rPr>
          <w:rFonts w:ascii="Arial" w:hAnsi="Arial" w:cs="Arial"/>
          <w:lang w:eastAsia="ar-SA"/>
        </w:rPr>
        <w:t>valamint</w:t>
      </w:r>
      <w:r>
        <w:rPr>
          <w:rFonts w:ascii="Arial" w:hAnsi="Arial" w:cs="Arial"/>
          <w:lang w:eastAsia="ar-SA"/>
        </w:rPr>
        <w:t xml:space="preserve"> ez</w:t>
      </w:r>
      <w:r w:rsidR="00AF2622">
        <w:rPr>
          <w:rFonts w:ascii="Arial" w:hAnsi="Arial" w:cs="Arial"/>
          <w:lang w:eastAsia="ar-SA"/>
        </w:rPr>
        <w:t xml:space="preserve">en belül </w:t>
      </w:r>
      <w:r w:rsidR="00895196">
        <w:rPr>
          <w:rFonts w:ascii="Arial" w:hAnsi="Arial" w:cs="Arial"/>
          <w:lang w:eastAsia="ar-SA"/>
        </w:rPr>
        <w:t xml:space="preserve">bizonyos mutatók esetében </w:t>
      </w:r>
      <w:r w:rsidR="00AF2622">
        <w:rPr>
          <w:rFonts w:ascii="Arial" w:hAnsi="Arial" w:cs="Arial"/>
          <w:lang w:eastAsia="ar-SA"/>
        </w:rPr>
        <w:t xml:space="preserve">a 2018. évig elérhető </w:t>
      </w:r>
      <w:r>
        <w:rPr>
          <w:rFonts w:ascii="Arial" w:hAnsi="Arial" w:cs="Arial"/>
          <w:lang w:eastAsia="ar-SA"/>
        </w:rPr>
        <w:t>é</w:t>
      </w:r>
      <w:r w:rsidR="00AF2622">
        <w:rPr>
          <w:rFonts w:ascii="Arial" w:hAnsi="Arial" w:cs="Arial"/>
          <w:lang w:eastAsia="ar-SA"/>
        </w:rPr>
        <w:t>r</w:t>
      </w:r>
      <w:r>
        <w:rPr>
          <w:rFonts w:ascii="Arial" w:hAnsi="Arial" w:cs="Arial"/>
          <w:lang w:eastAsia="ar-SA"/>
        </w:rPr>
        <w:t>ték</w:t>
      </w:r>
      <w:r w:rsidR="00AF2622">
        <w:rPr>
          <w:rFonts w:ascii="Arial" w:hAnsi="Arial" w:cs="Arial"/>
          <w:lang w:eastAsia="ar-SA"/>
        </w:rPr>
        <w:t>ek</w:t>
      </w:r>
      <w:r>
        <w:rPr>
          <w:rFonts w:ascii="Arial" w:hAnsi="Arial" w:cs="Arial"/>
          <w:lang w:eastAsia="ar-SA"/>
        </w:rPr>
        <w:t xml:space="preserve"> </w:t>
      </w:r>
      <w:r w:rsidR="00AF2622">
        <w:rPr>
          <w:rFonts w:ascii="Arial" w:hAnsi="Arial" w:cs="Arial"/>
          <w:lang w:eastAsia="ar-SA"/>
        </w:rPr>
        <w:t xml:space="preserve">rögzítésével </w:t>
      </w:r>
      <w:r>
        <w:rPr>
          <w:rFonts w:ascii="Arial" w:hAnsi="Arial" w:cs="Arial"/>
          <w:lang w:eastAsia="ar-SA"/>
        </w:rPr>
        <w:t xml:space="preserve">kell megtenni. </w:t>
      </w:r>
      <w:r w:rsidR="00AF2622">
        <w:rPr>
          <w:rFonts w:ascii="Arial" w:hAnsi="Arial" w:cs="Arial"/>
          <w:lang w:eastAsia="ar-SA"/>
        </w:rPr>
        <w:t xml:space="preserve">Az indikátorvállalásokat annak figyelembevételével szükséges megtervezni, hogy a </w:t>
      </w:r>
      <w:r w:rsidR="00AF2622" w:rsidRPr="00016675">
        <w:rPr>
          <w:rFonts w:ascii="Arial" w:hAnsi="Arial" w:cs="Arial"/>
          <w:b/>
          <w:i/>
          <w:lang w:eastAsia="ar-SA"/>
        </w:rPr>
        <w:t>vállalások teljesülésének központi ellenőrzése</w:t>
      </w:r>
      <w:r w:rsidR="00AF2622">
        <w:rPr>
          <w:rFonts w:ascii="Arial" w:hAnsi="Arial" w:cs="Arial"/>
          <w:lang w:eastAsia="ar-SA"/>
        </w:rPr>
        <w:t xml:space="preserve"> már a programozási időszak közben meg fog történni. A nemzeti szintű indikátorvállalások teljesíthetősége érdekében ennek következménye akár forrásátcsoportosítás is lehet az elmaradást mutató </w:t>
      </w:r>
      <w:r w:rsidR="00016675">
        <w:rPr>
          <w:rFonts w:ascii="Arial" w:hAnsi="Arial" w:cs="Arial"/>
          <w:lang w:eastAsia="ar-SA"/>
        </w:rPr>
        <w:t>városok programjának</w:t>
      </w:r>
      <w:r w:rsidR="00AF2622">
        <w:rPr>
          <w:rFonts w:ascii="Arial" w:hAnsi="Arial" w:cs="Arial"/>
          <w:lang w:eastAsia="ar-SA"/>
        </w:rPr>
        <w:t xml:space="preserve"> keretéből azon </w:t>
      </w:r>
      <w:r w:rsidR="00895196">
        <w:rPr>
          <w:rFonts w:ascii="Arial" w:hAnsi="Arial" w:cs="Arial"/>
          <w:lang w:eastAsia="ar-SA"/>
        </w:rPr>
        <w:t>városok</w:t>
      </w:r>
      <w:r w:rsidR="00AF2622">
        <w:rPr>
          <w:rFonts w:ascii="Arial" w:hAnsi="Arial" w:cs="Arial"/>
          <w:lang w:eastAsia="ar-SA"/>
        </w:rPr>
        <w:t xml:space="preserve"> javára, a</w:t>
      </w:r>
      <w:r w:rsidR="00016675">
        <w:rPr>
          <w:rFonts w:ascii="Arial" w:hAnsi="Arial" w:cs="Arial"/>
          <w:lang w:eastAsia="ar-SA"/>
        </w:rPr>
        <w:t>melyek</w:t>
      </w:r>
      <w:r w:rsidR="00AF2622">
        <w:rPr>
          <w:rFonts w:ascii="Arial" w:hAnsi="Arial" w:cs="Arial"/>
          <w:lang w:eastAsia="ar-SA"/>
        </w:rPr>
        <w:t xml:space="preserve"> indikátorvállalásaikat a vállalt mértékben</w:t>
      </w:r>
      <w:r w:rsidR="00016675">
        <w:rPr>
          <w:rFonts w:ascii="Arial" w:hAnsi="Arial" w:cs="Arial"/>
          <w:lang w:eastAsia="ar-SA"/>
        </w:rPr>
        <w:t>,</w:t>
      </w:r>
      <w:r w:rsidR="00AF2622">
        <w:rPr>
          <w:rFonts w:ascii="Arial" w:hAnsi="Arial" w:cs="Arial"/>
          <w:lang w:eastAsia="ar-SA"/>
        </w:rPr>
        <w:t xml:space="preserve"> vagy akár azt meghaladóan tudták teljesíteni.</w:t>
      </w:r>
    </w:p>
    <w:p w:rsidR="00AF2622" w:rsidRDefault="00AF2622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Tématerületenkénti bontásban, azaz a TOP intézkedései szerint szükséges továbbá elkészíteni az </w:t>
      </w:r>
      <w:r w:rsidRPr="00016675">
        <w:rPr>
          <w:rFonts w:ascii="Arial" w:hAnsi="Arial" w:cs="Arial"/>
          <w:b/>
          <w:lang w:eastAsia="ar-SA"/>
        </w:rPr>
        <w:t>ITP kötelezettségvállalási ütemterv</w:t>
      </w:r>
      <w:r w:rsidR="00016675">
        <w:rPr>
          <w:rFonts w:ascii="Arial" w:hAnsi="Arial" w:cs="Arial"/>
          <w:lang w:eastAsia="ar-SA"/>
        </w:rPr>
        <w:t xml:space="preserve">ét, </w:t>
      </w:r>
      <w:r w:rsidR="00AC210C">
        <w:rPr>
          <w:rFonts w:ascii="Arial" w:hAnsi="Arial" w:cs="Arial"/>
          <w:lang w:eastAsia="ar-SA"/>
        </w:rPr>
        <w:t>vagyis</w:t>
      </w:r>
      <w:r w:rsidR="00016675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évenkénti bontásban kell megtervezni az ITP keretében megkötendő egyedi támogatási szerződés</w:t>
      </w:r>
      <w:r w:rsidR="009237D4">
        <w:rPr>
          <w:rFonts w:ascii="Arial" w:hAnsi="Arial" w:cs="Arial"/>
          <w:lang w:eastAsia="ar-SA"/>
        </w:rPr>
        <w:t>ek időpontját és azok összegét.</w:t>
      </w:r>
    </w:p>
    <w:p w:rsidR="00F42387" w:rsidRDefault="00F42387" w:rsidP="00ED56E2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Az ITP 2.0 dokumentációja az előterjesztés 1. számú mellékletét képezi.</w:t>
      </w:r>
      <w:r w:rsidR="00962AA1" w:rsidRPr="00962AA1">
        <w:rPr>
          <w:rFonts w:ascii="Arial" w:hAnsi="Arial" w:cs="Arial"/>
          <w:lang w:eastAsia="ar-SA"/>
        </w:rPr>
        <w:t xml:space="preserve"> </w:t>
      </w:r>
      <w:r w:rsidR="00962AA1">
        <w:rPr>
          <w:rFonts w:ascii="Arial" w:hAnsi="Arial" w:cs="Arial"/>
          <w:lang w:eastAsia="ar-SA"/>
        </w:rPr>
        <w:t xml:space="preserve">Az előterjesztés 1. számú melléklete, Szombathely Megyei Jogú Város Integrált Területi Programja elektronikus formában kerül megküldésre. Elérési útvonala: </w:t>
      </w:r>
      <w:hyperlink r:id="rId8" w:history="1">
        <w:r w:rsidR="00962AA1" w:rsidRPr="00A3544C">
          <w:rPr>
            <w:rFonts w:ascii="Arial" w:hAnsi="Arial" w:cs="Arial"/>
            <w:lang w:eastAsia="ar-SA"/>
          </w:rPr>
          <w:t>http://www.szombathely.hu/onkormanyzat/e-kozgyules_e-bizottsag/e-kozgyules_aktualis</w:t>
        </w:r>
      </w:hyperlink>
    </w:p>
    <w:p w:rsidR="00790C78" w:rsidRDefault="00C3736A" w:rsidP="00790C78">
      <w:pPr>
        <w:suppressAutoHyphens/>
        <w:spacing w:after="120"/>
        <w:jc w:val="both"/>
        <w:rPr>
          <w:rFonts w:ascii="Arial" w:hAnsi="Arial" w:cs="Arial"/>
          <w:lang w:eastAsia="ar-SA"/>
        </w:rPr>
      </w:pPr>
      <w:r w:rsidRPr="00646B08">
        <w:rPr>
          <w:rFonts w:ascii="Arial" w:hAnsi="Arial" w:cs="Arial"/>
          <w:lang w:eastAsia="ar-SA"/>
        </w:rPr>
        <w:t>Az Integrált Területi Program</w:t>
      </w:r>
      <w:r w:rsidR="00016675" w:rsidRPr="00646B08">
        <w:rPr>
          <w:rFonts w:ascii="Arial" w:hAnsi="Arial" w:cs="Arial"/>
          <w:lang w:eastAsia="ar-SA"/>
        </w:rPr>
        <w:t xml:space="preserve"> </w:t>
      </w:r>
      <w:r w:rsidR="00895196" w:rsidRPr="00646B08">
        <w:rPr>
          <w:rFonts w:ascii="Arial" w:hAnsi="Arial" w:cs="Arial"/>
          <w:lang w:eastAsia="ar-SA"/>
        </w:rPr>
        <w:t xml:space="preserve">1.0 változatának </w:t>
      </w:r>
      <w:r w:rsidR="00016675" w:rsidRPr="00646B08">
        <w:rPr>
          <w:rFonts w:ascii="Arial" w:hAnsi="Arial" w:cs="Arial"/>
          <w:lang w:eastAsia="ar-SA"/>
        </w:rPr>
        <w:t xml:space="preserve">tárgyalása során, </w:t>
      </w:r>
      <w:r w:rsidRPr="00646B08">
        <w:rPr>
          <w:rFonts w:ascii="Arial" w:hAnsi="Arial" w:cs="Arial"/>
          <w:lang w:eastAsia="ar-SA"/>
        </w:rPr>
        <w:t>a 495/2014. (XII.15.) Kgy.</w:t>
      </w: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sz.</w:t>
      </w:r>
      <w:proofErr w:type="gramEnd"/>
      <w:r>
        <w:rPr>
          <w:rFonts w:ascii="Arial" w:hAnsi="Arial" w:cs="Arial"/>
          <w:lang w:eastAsia="ar-SA"/>
        </w:rPr>
        <w:t xml:space="preserve"> határozatban </w:t>
      </w:r>
      <w:r w:rsidR="00790C78">
        <w:rPr>
          <w:rFonts w:ascii="Arial" w:hAnsi="Arial" w:cs="Arial"/>
          <w:lang w:eastAsia="ar-SA"/>
        </w:rPr>
        <w:t xml:space="preserve">úgy döntött a Közgyűlés, hogy az </w:t>
      </w:r>
      <w:r w:rsidR="00790C78" w:rsidRPr="00016675">
        <w:rPr>
          <w:rFonts w:ascii="Arial" w:hAnsi="Arial" w:cs="Arial"/>
          <w:b/>
          <w:lang w:eastAsia="ar-SA"/>
        </w:rPr>
        <w:t>egyéni választókerületi képviselők körzetének fejlesztési igényei</w:t>
      </w:r>
      <w:r w:rsidR="00790C78">
        <w:rPr>
          <w:rFonts w:ascii="Arial" w:hAnsi="Arial" w:cs="Arial"/>
          <w:lang w:eastAsia="ar-SA"/>
        </w:rPr>
        <w:t xml:space="preserve"> kerüljenek összegyűjtésre és szakmai állásponttal kiegészítve történjen meg előterjesztésük.</w:t>
      </w:r>
    </w:p>
    <w:p w:rsidR="00962AA1" w:rsidRDefault="00962AA1" w:rsidP="00790C78">
      <w:pPr>
        <w:suppressAutoHyphens/>
        <w:spacing w:after="120"/>
        <w:jc w:val="both"/>
        <w:rPr>
          <w:rFonts w:ascii="Arial" w:hAnsi="Arial" w:cs="Arial"/>
          <w:lang w:eastAsia="ar-SA"/>
        </w:rPr>
      </w:pPr>
      <w:bookmarkStart w:id="0" w:name="_GoBack"/>
      <w:bookmarkEnd w:id="0"/>
    </w:p>
    <w:p w:rsidR="004E4E84" w:rsidRDefault="00790C78" w:rsidP="004E4E84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Városfejlesztési Osztály 2014. december 17-én minden városi képviselő részére levelet küldött – mind az egyéni választókerületek képviselőit, mind a kompenzációs listán mandátumot szerző képviselőket beleértve -, amelyben tájékoztatást adott a Közgyűlés 495/2014. (XII.15.) Kgy. </w:t>
      </w:r>
      <w:proofErr w:type="gramStart"/>
      <w:r>
        <w:rPr>
          <w:rFonts w:ascii="Arial" w:hAnsi="Arial" w:cs="Arial"/>
          <w:lang w:eastAsia="ar-SA"/>
        </w:rPr>
        <w:t>sz.</w:t>
      </w:r>
      <w:proofErr w:type="gramEnd"/>
      <w:r>
        <w:rPr>
          <w:rFonts w:ascii="Arial" w:hAnsi="Arial" w:cs="Arial"/>
          <w:lang w:eastAsia="ar-SA"/>
        </w:rPr>
        <w:t xml:space="preserve"> határozatáról, egyúttal a testület döntése értelmében arra kérte </w:t>
      </w:r>
      <w:r>
        <w:rPr>
          <w:rFonts w:ascii="Arial" w:hAnsi="Arial" w:cs="Arial"/>
          <w:lang w:eastAsia="ar-SA"/>
        </w:rPr>
        <w:lastRenderedPageBreak/>
        <w:t xml:space="preserve">a képviselőket, hogy küldjék meg választókerületük, vagy a város egésze szempontjából fontosnak tartott fejlesztési javaslataikat. </w:t>
      </w:r>
      <w:r w:rsidR="004E4E84">
        <w:rPr>
          <w:rFonts w:ascii="Arial" w:hAnsi="Arial" w:cs="Arial"/>
          <w:lang w:eastAsia="ar-SA"/>
        </w:rPr>
        <w:t>A beérkezett fejlesztési javaslatok tételes listája a szakmai megjegyzéssel k</w:t>
      </w:r>
      <w:r w:rsidR="00813C66">
        <w:rPr>
          <w:rFonts w:ascii="Arial" w:hAnsi="Arial" w:cs="Arial"/>
          <w:lang w:eastAsia="ar-SA"/>
        </w:rPr>
        <w:t>iegészítve jelen előterjesztés 5</w:t>
      </w:r>
      <w:r w:rsidR="004E4E84">
        <w:rPr>
          <w:rFonts w:ascii="Arial" w:hAnsi="Arial" w:cs="Arial"/>
          <w:lang w:eastAsia="ar-SA"/>
        </w:rPr>
        <w:t>. számú mellékletét képezi.</w:t>
      </w:r>
    </w:p>
    <w:p w:rsidR="00962AA1" w:rsidRDefault="00962AA1" w:rsidP="004E4E84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F42387" w:rsidRDefault="00F42387" w:rsidP="00790C78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TOP Európai Bizottság által </w:t>
      </w:r>
      <w:r w:rsidR="00AC210C">
        <w:rPr>
          <w:rFonts w:ascii="Arial" w:hAnsi="Arial" w:cs="Arial"/>
          <w:lang w:eastAsia="ar-SA"/>
        </w:rPr>
        <w:t xml:space="preserve">2015. február 12-én </w:t>
      </w:r>
      <w:r>
        <w:rPr>
          <w:rFonts w:ascii="Arial" w:hAnsi="Arial" w:cs="Arial"/>
          <w:lang w:eastAsia="ar-SA"/>
        </w:rPr>
        <w:t xml:space="preserve">jóváhagyott változatával, valamint Szombathely Megyei Jogú Város </w:t>
      </w:r>
      <w:r w:rsidR="00016675">
        <w:rPr>
          <w:rFonts w:ascii="Arial" w:hAnsi="Arial" w:cs="Arial"/>
          <w:lang w:eastAsia="ar-SA"/>
        </w:rPr>
        <w:t>Integrált Területi Programjá</w:t>
      </w:r>
      <w:r w:rsidR="00895196">
        <w:rPr>
          <w:rFonts w:ascii="Arial" w:hAnsi="Arial" w:cs="Arial"/>
          <w:lang w:eastAsia="ar-SA"/>
        </w:rPr>
        <w:t>nak 2.0 változatával</w:t>
      </w:r>
      <w:r>
        <w:rPr>
          <w:rFonts w:ascii="Arial" w:hAnsi="Arial" w:cs="Arial"/>
          <w:lang w:eastAsia="ar-SA"/>
        </w:rPr>
        <w:t xml:space="preserve"> összevetve a beérkezett fejlesztési javaslatok a következő fő kategóriákra bonthatóak:</w:t>
      </w:r>
    </w:p>
    <w:p w:rsidR="00962AA1" w:rsidRDefault="00962AA1" w:rsidP="00790C78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DC43A3" w:rsidRPr="00DC43A3" w:rsidRDefault="000B3401" w:rsidP="000B3401">
      <w:pPr>
        <w:pStyle w:val="Listaszerbekezds"/>
        <w:numPr>
          <w:ilvl w:val="0"/>
          <w:numId w:val="14"/>
        </w:numPr>
        <w:suppressAutoHyphens/>
        <w:spacing w:after="12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a</w:t>
      </w:r>
      <w:r w:rsidRPr="000B3401">
        <w:rPr>
          <w:rFonts w:ascii="Arial" w:hAnsi="Arial" w:cs="Arial"/>
          <w:b/>
          <w:lang w:eastAsia="ar-SA"/>
        </w:rPr>
        <w:t xml:space="preserve">z </w:t>
      </w:r>
      <w:proofErr w:type="spellStart"/>
      <w:r w:rsidRPr="000B3401">
        <w:rPr>
          <w:rFonts w:ascii="Arial" w:hAnsi="Arial" w:cs="Arial"/>
          <w:b/>
          <w:lang w:eastAsia="ar-SA"/>
        </w:rPr>
        <w:t>ITP-hez</w:t>
      </w:r>
      <w:proofErr w:type="spellEnd"/>
      <w:r w:rsidRPr="000B3401">
        <w:rPr>
          <w:rFonts w:ascii="Arial" w:hAnsi="Arial" w:cs="Arial"/>
          <w:b/>
          <w:lang w:eastAsia="ar-SA"/>
        </w:rPr>
        <w:t xml:space="preserve"> illeszkedő javaslatok</w:t>
      </w:r>
    </w:p>
    <w:p w:rsidR="00F42387" w:rsidRDefault="000B3401" w:rsidP="00DC43A3">
      <w:pPr>
        <w:suppressAutoHyphens/>
        <w:spacing w:after="120"/>
        <w:ind w:left="3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Azok a </w:t>
      </w:r>
      <w:r w:rsidRPr="000B3401">
        <w:rPr>
          <w:rFonts w:ascii="Arial" w:hAnsi="Arial" w:cs="Arial"/>
          <w:lang w:eastAsia="ar-SA"/>
        </w:rPr>
        <w:t>fejlesztési javaslatok</w:t>
      </w:r>
      <w:r>
        <w:rPr>
          <w:rFonts w:ascii="Arial" w:hAnsi="Arial" w:cs="Arial"/>
          <w:lang w:eastAsia="ar-SA"/>
        </w:rPr>
        <w:t>, amelyek</w:t>
      </w:r>
      <w:r w:rsidRPr="000B3401">
        <w:rPr>
          <w:rFonts w:ascii="Arial" w:hAnsi="Arial" w:cs="Arial"/>
          <w:lang w:eastAsia="ar-SA"/>
        </w:rPr>
        <w:t xml:space="preserve"> Szombathely Megyei Jogú Város Integrált Területi Programjának 2.0 változatában nevesítve szerepelnek, illetve az </w:t>
      </w:r>
      <w:proofErr w:type="spellStart"/>
      <w:r w:rsidRPr="000B3401">
        <w:rPr>
          <w:rFonts w:ascii="Arial" w:hAnsi="Arial" w:cs="Arial"/>
          <w:lang w:eastAsia="ar-SA"/>
        </w:rPr>
        <w:t>ITP-hez</w:t>
      </w:r>
      <w:proofErr w:type="spellEnd"/>
      <w:r w:rsidRPr="000B3401">
        <w:rPr>
          <w:rFonts w:ascii="Arial" w:hAnsi="Arial" w:cs="Arial"/>
          <w:lang w:eastAsia="ar-SA"/>
        </w:rPr>
        <w:t xml:space="preserve"> </w:t>
      </w:r>
      <w:r w:rsidR="00AC210C">
        <w:rPr>
          <w:rFonts w:ascii="Arial" w:hAnsi="Arial" w:cs="Arial"/>
          <w:lang w:eastAsia="ar-SA"/>
        </w:rPr>
        <w:t>illeszthetők</w:t>
      </w:r>
      <w:r>
        <w:rPr>
          <w:rFonts w:ascii="Arial" w:hAnsi="Arial" w:cs="Arial"/>
          <w:lang w:eastAsia="ar-SA"/>
        </w:rPr>
        <w:t>.</w:t>
      </w:r>
      <w:r w:rsidRPr="000B3401">
        <w:rPr>
          <w:rFonts w:ascii="Arial" w:hAnsi="Arial" w:cs="Arial"/>
          <w:lang w:eastAsia="ar-SA"/>
        </w:rPr>
        <w:t xml:space="preserve"> Az ITP fejlesztési elemeinek egyes projektjei a vonatkozó pályázati felhívások megjelenését követően, a későbbiekben kerülhetnek nevesítésre Szombathely Megyei Jogú Város Közgyűlésének döntése szer</w:t>
      </w:r>
      <w:r w:rsidR="00B7746B">
        <w:rPr>
          <w:rFonts w:ascii="Arial" w:hAnsi="Arial" w:cs="Arial"/>
          <w:lang w:eastAsia="ar-SA"/>
        </w:rPr>
        <w:t>int. A 272/2014. (XI.5.) Korm. r</w:t>
      </w:r>
      <w:r w:rsidRPr="000B3401">
        <w:rPr>
          <w:rFonts w:ascii="Arial" w:hAnsi="Arial" w:cs="Arial"/>
          <w:lang w:eastAsia="ar-SA"/>
        </w:rPr>
        <w:t xml:space="preserve">endelet alapján továbbá az ITP évente felülvizsgálatra kerül, amely során </w:t>
      </w:r>
      <w:r w:rsidR="00AC210C">
        <w:rPr>
          <w:rFonts w:ascii="Arial" w:hAnsi="Arial" w:cs="Arial"/>
          <w:lang w:eastAsia="ar-SA"/>
        </w:rPr>
        <w:t xml:space="preserve">önkormányzatunk </w:t>
      </w:r>
      <w:r w:rsidRPr="000B3401">
        <w:rPr>
          <w:rFonts w:ascii="Arial" w:hAnsi="Arial" w:cs="Arial"/>
          <w:lang w:eastAsia="ar-SA"/>
        </w:rPr>
        <w:t>kérheti a program módosítását. A módosítás során, Szombathely Megyei Jogú Város Közgyűlésének ez irányú döntése esetén az egyes átfogó fejlesztési elemek módosítására is lehetőség van</w:t>
      </w:r>
      <w:r w:rsidR="00895196">
        <w:rPr>
          <w:rFonts w:ascii="Arial" w:hAnsi="Arial" w:cs="Arial"/>
          <w:lang w:eastAsia="ar-SA"/>
        </w:rPr>
        <w:t>,</w:t>
      </w:r>
      <w:r w:rsidRPr="000B3401">
        <w:rPr>
          <w:rFonts w:ascii="Arial" w:hAnsi="Arial" w:cs="Arial"/>
          <w:lang w:eastAsia="ar-SA"/>
        </w:rPr>
        <w:t xml:space="preserve"> a forrásfelhasználás és a szakmai előrehaladás függvényében.</w:t>
      </w:r>
    </w:p>
    <w:p w:rsidR="00962AA1" w:rsidRPr="00DC43A3" w:rsidRDefault="00962AA1" w:rsidP="00DC43A3">
      <w:pPr>
        <w:suppressAutoHyphens/>
        <w:spacing w:after="120"/>
        <w:ind w:left="360"/>
        <w:jc w:val="both"/>
        <w:rPr>
          <w:rFonts w:ascii="Arial" w:hAnsi="Arial" w:cs="Arial"/>
          <w:lang w:eastAsia="ar-SA"/>
        </w:rPr>
      </w:pPr>
    </w:p>
    <w:p w:rsidR="00184F51" w:rsidRDefault="00F42387" w:rsidP="006322CD">
      <w:pPr>
        <w:pStyle w:val="Listaszerbekezds"/>
        <w:numPr>
          <w:ilvl w:val="0"/>
          <w:numId w:val="14"/>
        </w:numPr>
        <w:suppressAutoHyphens/>
        <w:spacing w:after="120"/>
        <w:jc w:val="both"/>
        <w:rPr>
          <w:rFonts w:ascii="Arial" w:hAnsi="Arial" w:cs="Arial"/>
          <w:b/>
          <w:lang w:eastAsia="ar-SA"/>
        </w:rPr>
      </w:pPr>
      <w:r w:rsidRPr="00DC43A3">
        <w:rPr>
          <w:rFonts w:ascii="Arial" w:hAnsi="Arial" w:cs="Arial"/>
          <w:b/>
          <w:lang w:eastAsia="ar-SA"/>
        </w:rPr>
        <w:t xml:space="preserve">a TOP keretében nem támogatható, így az </w:t>
      </w:r>
      <w:proofErr w:type="spellStart"/>
      <w:r w:rsidRPr="00DC43A3">
        <w:rPr>
          <w:rFonts w:ascii="Arial" w:hAnsi="Arial" w:cs="Arial"/>
          <w:b/>
          <w:lang w:eastAsia="ar-SA"/>
        </w:rPr>
        <w:t>ITP-hez</w:t>
      </w:r>
      <w:proofErr w:type="spellEnd"/>
      <w:r w:rsidRPr="00DC43A3">
        <w:rPr>
          <w:rFonts w:ascii="Arial" w:hAnsi="Arial" w:cs="Arial"/>
          <w:b/>
          <w:lang w:eastAsia="ar-SA"/>
        </w:rPr>
        <w:t xml:space="preserve"> nem illeszthető javaslatok</w:t>
      </w:r>
    </w:p>
    <w:p w:rsidR="000B3401" w:rsidRPr="00DC43A3" w:rsidRDefault="00895196" w:rsidP="000B3401">
      <w:pPr>
        <w:suppressAutoHyphens/>
        <w:spacing w:after="120"/>
        <w:ind w:left="36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Egyes</w:t>
      </w:r>
      <w:r w:rsidR="000B3401" w:rsidRPr="000B3401">
        <w:rPr>
          <w:rFonts w:ascii="Arial" w:hAnsi="Arial" w:cs="Arial"/>
          <w:lang w:eastAsia="ar-SA"/>
        </w:rPr>
        <w:t xml:space="preserve"> fejlesztési elképzelések a Terület- és Településfejlesztési Operatív Program által </w:t>
      </w:r>
      <w:r w:rsidR="000B3401">
        <w:rPr>
          <w:rFonts w:ascii="Arial" w:hAnsi="Arial" w:cs="Arial"/>
          <w:lang w:eastAsia="ar-SA"/>
        </w:rPr>
        <w:t xml:space="preserve">részben vagy egészében </w:t>
      </w:r>
      <w:r w:rsidR="000B3401" w:rsidRPr="000B3401">
        <w:rPr>
          <w:rFonts w:ascii="Arial" w:hAnsi="Arial" w:cs="Arial"/>
          <w:lang w:eastAsia="ar-SA"/>
        </w:rPr>
        <w:t>nem támogatható tevékenységek</w:t>
      </w:r>
      <w:r>
        <w:rPr>
          <w:rFonts w:ascii="Arial" w:hAnsi="Arial" w:cs="Arial"/>
          <w:lang w:eastAsia="ar-SA"/>
        </w:rPr>
        <w:t>et tartalmaznak</w:t>
      </w:r>
      <w:r w:rsidR="000B3401" w:rsidRPr="000B3401">
        <w:rPr>
          <w:rFonts w:ascii="Arial" w:hAnsi="Arial" w:cs="Arial"/>
          <w:lang w:eastAsia="ar-SA"/>
        </w:rPr>
        <w:t xml:space="preserve">, ezért az </w:t>
      </w:r>
      <w:r>
        <w:rPr>
          <w:rFonts w:ascii="Arial" w:hAnsi="Arial" w:cs="Arial"/>
          <w:lang w:eastAsia="ar-SA"/>
        </w:rPr>
        <w:t>ITP</w:t>
      </w:r>
      <w:r w:rsidR="000B3401" w:rsidRPr="000B3401">
        <w:rPr>
          <w:rFonts w:ascii="Arial" w:hAnsi="Arial" w:cs="Arial"/>
          <w:lang w:eastAsia="ar-SA"/>
        </w:rPr>
        <w:t xml:space="preserve"> keretében nem finanszírozhatóak, </w:t>
      </w:r>
      <w:r>
        <w:rPr>
          <w:rFonts w:ascii="Arial" w:hAnsi="Arial" w:cs="Arial"/>
          <w:lang w:eastAsia="ar-SA"/>
        </w:rPr>
        <w:t>abba</w:t>
      </w:r>
      <w:r w:rsidR="000B3401" w:rsidRPr="000B3401">
        <w:rPr>
          <w:rFonts w:ascii="Arial" w:hAnsi="Arial" w:cs="Arial"/>
          <w:lang w:eastAsia="ar-SA"/>
        </w:rPr>
        <w:t xml:space="preserve"> nem építhetőek be. A javaslatok egy része olyan elképzeléseket tartalmaz, amelyek egyéb, az Európai Unió társfinanszírozásával megvalósított programokból </w:t>
      </w:r>
      <w:r w:rsidR="00AC210C">
        <w:rPr>
          <w:rFonts w:ascii="Arial" w:hAnsi="Arial" w:cs="Arial"/>
          <w:lang w:eastAsia="ar-SA"/>
        </w:rPr>
        <w:t>a jövőben</w:t>
      </w:r>
      <w:r w:rsidR="000B3401" w:rsidRPr="000B3401">
        <w:rPr>
          <w:rFonts w:ascii="Arial" w:hAnsi="Arial" w:cs="Arial"/>
          <w:lang w:eastAsia="ar-SA"/>
        </w:rPr>
        <w:t xml:space="preserve"> támogathatóak lehetnek</w:t>
      </w:r>
      <w:r w:rsidR="00AC210C">
        <w:rPr>
          <w:rFonts w:ascii="Arial" w:hAnsi="Arial" w:cs="Arial"/>
          <w:lang w:eastAsia="ar-SA"/>
        </w:rPr>
        <w:t>.</w:t>
      </w:r>
      <w:r w:rsidR="000B3401" w:rsidRPr="000B3401">
        <w:rPr>
          <w:rFonts w:ascii="Arial" w:hAnsi="Arial" w:cs="Arial"/>
          <w:lang w:eastAsia="ar-SA"/>
        </w:rPr>
        <w:t xml:space="preserve"> A javaslatok egy része azonban</w:t>
      </w:r>
      <w:r w:rsidR="00AC210C">
        <w:rPr>
          <w:rFonts w:ascii="Arial" w:hAnsi="Arial" w:cs="Arial"/>
          <w:lang w:eastAsia="ar-SA"/>
        </w:rPr>
        <w:t xml:space="preserve"> a különböző ágazati operatív programok</w:t>
      </w:r>
      <w:r w:rsidR="000B3401" w:rsidRPr="000B3401">
        <w:rPr>
          <w:rFonts w:ascii="Arial" w:hAnsi="Arial" w:cs="Arial"/>
          <w:lang w:eastAsia="ar-SA"/>
        </w:rPr>
        <w:t xml:space="preserve"> </w:t>
      </w:r>
      <w:r w:rsidR="00AC210C">
        <w:rPr>
          <w:rFonts w:ascii="Arial" w:hAnsi="Arial" w:cs="Arial"/>
          <w:lang w:eastAsia="ar-SA"/>
        </w:rPr>
        <w:t xml:space="preserve">jelenlegi állása alapján </w:t>
      </w:r>
      <w:r w:rsidR="000B3401" w:rsidRPr="000B3401">
        <w:rPr>
          <w:rFonts w:ascii="Arial" w:hAnsi="Arial" w:cs="Arial"/>
          <w:lang w:eastAsia="ar-SA"/>
        </w:rPr>
        <w:t>európai uniós forrásból nem finanszírozható</w:t>
      </w:r>
      <w:r w:rsidR="00AC210C">
        <w:rPr>
          <w:rFonts w:ascii="Arial" w:hAnsi="Arial" w:cs="Arial"/>
          <w:lang w:eastAsia="ar-SA"/>
        </w:rPr>
        <w:t>, de</w:t>
      </w:r>
      <w:r w:rsidR="00D0795E">
        <w:rPr>
          <w:rFonts w:ascii="Arial" w:hAnsi="Arial" w:cs="Arial"/>
          <w:lang w:eastAsia="ar-SA"/>
        </w:rPr>
        <w:t xml:space="preserve"> </w:t>
      </w:r>
      <w:r w:rsidR="00D0795E" w:rsidRPr="00D0795E">
        <w:rPr>
          <w:rFonts w:ascii="Arial" w:hAnsi="Arial" w:cs="Arial"/>
          <w:lang w:eastAsia="ar-SA"/>
        </w:rPr>
        <w:t>az egyes konkrét pályázati felhívások részletes feltételrendszere jelenleg még nem ismert</w:t>
      </w:r>
      <w:r w:rsidR="00D0795E">
        <w:rPr>
          <w:rFonts w:ascii="Arial" w:hAnsi="Arial" w:cs="Arial"/>
          <w:lang w:eastAsia="ar-SA"/>
        </w:rPr>
        <w:t>.</w:t>
      </w:r>
    </w:p>
    <w:p w:rsidR="00962AA1" w:rsidRDefault="00962AA1">
      <w:p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 w:type="page"/>
      </w:r>
    </w:p>
    <w:p w:rsidR="00962AA1" w:rsidRDefault="00962AA1" w:rsidP="00962A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Az előterjesztés mellékletét képező ITP 2.0 dokumentum fejlesztési projektjeit az alábbi táblázat foglalja össze:</w:t>
      </w:r>
    </w:p>
    <w:tbl>
      <w:tblPr>
        <w:tblW w:w="10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636"/>
        <w:gridCol w:w="2127"/>
      </w:tblGrid>
      <w:tr w:rsidR="00962AA1" w:rsidRPr="00962AA1" w:rsidTr="00962AA1">
        <w:trPr>
          <w:trHeight w:val="667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TOP</w:t>
            </w:r>
          </w:p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Intézkedés </w:t>
            </w:r>
          </w:p>
        </w:tc>
        <w:tc>
          <w:tcPr>
            <w:tcW w:w="6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Szombathely Integrált területi Program szerinti </w:t>
            </w:r>
          </w:p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fejlesztési elképzelés / beavatkozás</w:t>
            </w:r>
          </w:p>
        </w:tc>
      </w:tr>
      <w:tr w:rsidR="00962AA1" w:rsidRPr="00962AA1" w:rsidTr="00962AA1">
        <w:trPr>
          <w:trHeight w:val="269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becsült költség (Ft)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6.1 Gazdaság-fejlesztés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2 658 653 489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Zöldmezős iparterület-fejlesztés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500 000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Gazdaságfejlesztési célú új közúthálózati elemek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844 074 858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Szombathely térségi jelentőségű turisztikai vonzerejének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714 578 631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Inkubátorház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600 000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6.2 Családbarát, munkába állást segítő intézmények, köz-szolgáltatások fejlesztése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700 000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Óvoda, bölcsőde fejlesztés Szombathelyen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700 000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6.3 Gazdaság-élénkítő és népesség-megtartó városfejlesztés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4 235 000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Integrált kutató-és konferenciaközpont kialakítása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750 000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 A szombathelyi vásárcsarnok fejlesztése a helyi termékek piacra juttatása érdekében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1 500 000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Városrehabilitációs</w:t>
            </w:r>
            <w:proofErr w:type="spellEnd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 mintaprojekt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900 000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Szombathely bel- és csapadékvíz-védelmi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800 000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Zöldfelületi rendszer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285 000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 Fenntartható városi közlekedés-fejlesztés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1 015 000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Belterületi hivatásforgalmi kerékpárút-hálózat és –szolgáltatások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400 000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Szombathely külterületi és várostérségi turisztikai- és hivatásforgalmi kerékpárút-hálózatának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Forgalomcsillapítási és közlekedésbiztonsági feltételek javítása, parkolóhelyek létesítése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48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P+R parkolók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200 000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Szombathely mobilitási tervének elkészítése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15 000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</w:tbl>
    <w:p w:rsidR="00962AA1" w:rsidRDefault="00962AA1">
      <w:r>
        <w:br w:type="page"/>
      </w:r>
    </w:p>
    <w:tbl>
      <w:tblPr>
        <w:tblW w:w="100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4636"/>
        <w:gridCol w:w="2127"/>
      </w:tblGrid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6.5 Önkormányzatok energia-hatékonyságának és a megújuló energia-felhasználás arányának növelése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2 900 000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Közel nulla energiaigényű referenciaintézmények kialakítása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4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Zöld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távhőrendszer</w:t>
            </w:r>
            <w:proofErr w:type="spellEnd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300 000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38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Intelligens Város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500 000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Közigazgatási létesítmények fejlesztése, Önkormányzati tulajdonú épületek energiahatékonysági célú felújítása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1 800 000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6.6 Városi köz-szolgáltatások fejlesztése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585 502 280</w:t>
            </w:r>
          </w:p>
        </w:tc>
      </w:tr>
      <w:tr w:rsidR="00962AA1" w:rsidRPr="00962AA1" w:rsidTr="00962AA1">
        <w:trPr>
          <w:trHeight w:val="387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Egészségügyi alapellátás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500 502 280</w:t>
            </w:r>
          </w:p>
        </w:tc>
      </w:tr>
      <w:tr w:rsidR="00962AA1" w:rsidRPr="00962AA1" w:rsidTr="00962AA1">
        <w:trPr>
          <w:trHeight w:val="44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Szociális alapellátás fejlesztése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85 000 </w:t>
            </w:r>
            <w:proofErr w:type="spellStart"/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6.7 Leromlott városi területek rehabilitációja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444 716 828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Szombathelyi szociális városrehabilitáció újabb ütemének megvalósítása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444 716 828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6.8 Gazdaság-fejlesztéshez kapcsolódó foglalkoztatás-fejlesztés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1 212 595 220</w:t>
            </w:r>
          </w:p>
        </w:tc>
      </w:tr>
      <w:tr w:rsidR="00962AA1" w:rsidRPr="00962AA1" w:rsidTr="00962AA1">
        <w:trPr>
          <w:trHeight w:val="41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Szombathely és térsége foglalkoztatási paktum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1 212 595 220</w:t>
            </w:r>
          </w:p>
        </w:tc>
      </w:tr>
      <w:tr w:rsidR="00962AA1" w:rsidRPr="00962AA1" w:rsidTr="00962AA1">
        <w:trPr>
          <w:trHeight w:val="6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6.9 Társadalmi kohéziót célzó helyi programok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 xml:space="preserve">az intézkedés fejlesztési elképzelései összesen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328 532 184</w:t>
            </w:r>
          </w:p>
        </w:tc>
      </w:tr>
      <w:tr w:rsidR="00962AA1" w:rsidRPr="00962AA1" w:rsidTr="00962AA1">
        <w:trPr>
          <w:trHeight w:val="39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Szent Márton évhez kapcsolódó programok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AA1" w:rsidRPr="00962AA1" w:rsidRDefault="00962AA1" w:rsidP="003B7F97">
            <w:pPr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962AA1">
              <w:rPr>
                <w:rFonts w:ascii="Arial" w:hAnsi="Arial" w:cs="Arial"/>
                <w:color w:val="000000"/>
                <w:sz w:val="20"/>
                <w:szCs w:val="20"/>
              </w:rPr>
              <w:t>328 532 184</w:t>
            </w:r>
          </w:p>
        </w:tc>
      </w:tr>
    </w:tbl>
    <w:p w:rsidR="00962AA1" w:rsidRDefault="00962AA1" w:rsidP="00962AA1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962AA1" w:rsidRPr="00646B08" w:rsidRDefault="00962AA1" w:rsidP="00962AA1">
      <w:pPr>
        <w:suppressAutoHyphens/>
        <w:spacing w:after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</w:t>
      </w:r>
      <w:r>
        <w:rPr>
          <w:rFonts w:ascii="Arial" w:hAnsi="Arial" w:cs="Arial"/>
          <w:lang w:eastAsia="ar-SA"/>
        </w:rPr>
        <w:t>Nemzetgazdasági Minisztérium és önkormányzatunk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között</w:t>
      </w:r>
      <w:r>
        <w:rPr>
          <w:rFonts w:ascii="Arial" w:hAnsi="Arial" w:cs="Arial"/>
          <w:lang w:eastAsia="ar-SA"/>
        </w:rPr>
        <w:t xml:space="preserve"> az ITP 2.0 véglegesítési folyamatának részeként személyes és írásos egyeztetésekre került sor. </w:t>
      </w:r>
      <w:r w:rsidRPr="00646B08">
        <w:rPr>
          <w:rFonts w:ascii="Arial" w:hAnsi="Arial" w:cs="Arial"/>
          <w:lang w:eastAsia="ar-SA"/>
        </w:rPr>
        <w:t>Az NGM 2015. május 4-én</w:t>
      </w:r>
      <w:r>
        <w:rPr>
          <w:rFonts w:ascii="Arial" w:hAnsi="Arial" w:cs="Arial"/>
          <w:lang w:eastAsia="ar-SA"/>
        </w:rPr>
        <w:t>, majd 6-án</w:t>
      </w:r>
      <w:r w:rsidRPr="00646B08">
        <w:rPr>
          <w:rFonts w:ascii="Arial" w:hAnsi="Arial" w:cs="Arial"/>
          <w:lang w:eastAsia="ar-SA"/>
        </w:rPr>
        <w:t xml:space="preserve"> az ITP 2.0 munkaváltozatának minőségbiztosítása keretében megküldte az önkormányzat részére az előterjesztés 2. számú melléklete szerinti új intézkedésszintű forrásfelosztást,</w:t>
      </w:r>
      <w:r>
        <w:rPr>
          <w:rFonts w:ascii="Arial" w:hAnsi="Arial" w:cs="Arial"/>
          <w:lang w:eastAsia="ar-SA"/>
        </w:rPr>
        <w:t xml:space="preserve"> </w:t>
      </w:r>
      <w:r w:rsidRPr="00646B08">
        <w:rPr>
          <w:rFonts w:ascii="Arial" w:hAnsi="Arial" w:cs="Arial"/>
          <w:lang w:eastAsia="ar-SA"/>
        </w:rPr>
        <w:t>amely Szombathely Megyei Jogú Város eredeti ITP 2.0 forrásfelosztásához képest eltéréseket mutat. Az iránymutatás szerint a végleges ITP benyújtásakor nincs lehetőség az NGM általi új felosztástól való eltérésre. Egyúttal az NGM kéri az önkormányzatot, hogy a véglegesen benyújtandó ITP dokumentumban az indikátorvállalásokat is módosítsa a minisztérium által megküldött új forrásallokációnak megfelelően. Az ezek alapján átdolgozott indikátortáblázat az előterjesztés 3. számú mellékletét képezi.</w:t>
      </w:r>
      <w:r>
        <w:rPr>
          <w:rFonts w:ascii="Arial" w:hAnsi="Arial" w:cs="Arial"/>
          <w:lang w:eastAsia="ar-SA"/>
        </w:rPr>
        <w:t xml:space="preserve"> </w:t>
      </w:r>
      <w:r w:rsidRPr="00646B08">
        <w:rPr>
          <w:rFonts w:ascii="Arial" w:hAnsi="Arial" w:cs="Arial"/>
          <w:lang w:eastAsia="ar-SA"/>
        </w:rPr>
        <w:t>Az ITP elkészítését támogató szakértők az indikátorok áttervezésének kérdését megvizsgálták</w:t>
      </w:r>
      <w:r>
        <w:rPr>
          <w:rFonts w:ascii="Arial" w:hAnsi="Arial" w:cs="Arial"/>
          <w:lang w:eastAsia="ar-SA"/>
        </w:rPr>
        <w:t xml:space="preserve"> és </w:t>
      </w:r>
      <w:r w:rsidRPr="00646B08">
        <w:rPr>
          <w:rFonts w:ascii="Arial" w:hAnsi="Arial" w:cs="Arial"/>
          <w:lang w:eastAsia="ar-SA"/>
        </w:rPr>
        <w:t xml:space="preserve">az új forrásallokáció szerinti indikátor célértéket Szombathely számára </w:t>
      </w:r>
      <w:r>
        <w:rPr>
          <w:rFonts w:ascii="Arial" w:hAnsi="Arial" w:cs="Arial"/>
          <w:lang w:eastAsia="ar-SA"/>
        </w:rPr>
        <w:t xml:space="preserve">több indikátor tekintetében </w:t>
      </w:r>
      <w:r w:rsidRPr="00646B08">
        <w:rPr>
          <w:rFonts w:ascii="Arial" w:hAnsi="Arial" w:cs="Arial"/>
          <w:lang w:eastAsia="ar-SA"/>
        </w:rPr>
        <w:t>teljesíthetetlennek tartják, ezért az új indikátortáblát a Tisztelt Közgyűlés számára elfogadásra nem javaslom.</w:t>
      </w:r>
    </w:p>
    <w:p w:rsidR="00962AA1" w:rsidRDefault="00962AA1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Pr="002C30B4" w:rsidRDefault="00A24CEA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</w:t>
      </w:r>
      <w:r w:rsidRPr="002C30B4">
        <w:rPr>
          <w:rFonts w:ascii="Arial" w:hAnsi="Arial" w:cs="Arial"/>
        </w:rPr>
        <w:t xml:space="preserve"> a Tisztelt Közgyűlést, hogy az előterjesztést megtárgyalni, és a határozati javaslatot elfogadni szíveskedjék.</w:t>
      </w:r>
    </w:p>
    <w:p w:rsidR="00A24CEA" w:rsidRDefault="00A24CEA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Default="00F42387" w:rsidP="008934C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Szombathely, 2015</w:t>
      </w:r>
      <w:r w:rsidR="00A24CEA" w:rsidRPr="006855B1">
        <w:rPr>
          <w:rFonts w:ascii="Arial" w:hAnsi="Arial" w:cs="Arial"/>
        </w:rPr>
        <w:t xml:space="preserve">. </w:t>
      </w:r>
      <w:r w:rsidR="000B3401">
        <w:rPr>
          <w:rFonts w:ascii="Arial" w:hAnsi="Arial" w:cs="Arial"/>
        </w:rPr>
        <w:t>május</w:t>
      </w:r>
      <w:r w:rsidR="00A24CEA" w:rsidRPr="006855B1">
        <w:rPr>
          <w:rFonts w:ascii="Arial" w:hAnsi="Arial" w:cs="Arial"/>
        </w:rPr>
        <w:t xml:space="preserve"> </w:t>
      </w:r>
      <w:proofErr w:type="gramStart"/>
      <w:r w:rsidR="00A24CEA" w:rsidRPr="006855B1">
        <w:rPr>
          <w:rFonts w:ascii="Arial" w:hAnsi="Arial" w:cs="Arial"/>
        </w:rPr>
        <w:t xml:space="preserve">„   </w:t>
      </w:r>
      <w:r w:rsidR="00A24CEA">
        <w:rPr>
          <w:rFonts w:ascii="Arial" w:hAnsi="Arial" w:cs="Arial"/>
        </w:rPr>
        <w:t xml:space="preserve">     </w:t>
      </w:r>
      <w:r w:rsidR="00A24CEA" w:rsidRPr="006855B1">
        <w:rPr>
          <w:rFonts w:ascii="Arial" w:hAnsi="Arial" w:cs="Arial"/>
        </w:rPr>
        <w:t>”</w:t>
      </w:r>
      <w:proofErr w:type="gramEnd"/>
      <w:r w:rsidR="00A24CEA" w:rsidRPr="006855B1">
        <w:rPr>
          <w:rFonts w:ascii="Arial" w:hAnsi="Arial" w:cs="Arial"/>
          <w:b/>
          <w:bCs/>
        </w:rPr>
        <w:tab/>
      </w:r>
    </w:p>
    <w:p w:rsidR="00D67361" w:rsidRDefault="00D67361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F51DAF" w:rsidRDefault="00A24CEA" w:rsidP="00792CB1">
      <w:pPr>
        <w:jc w:val="center"/>
        <w:rPr>
          <w:rFonts w:ascii="Arial" w:hAnsi="Arial"/>
          <w:b/>
          <w:u w:val="single"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 xml:space="preserve">Dr. Puskás </w:t>
      </w:r>
      <w:proofErr w:type="gramStart"/>
      <w:r w:rsidRPr="00FC32E7">
        <w:rPr>
          <w:rFonts w:ascii="Arial" w:hAnsi="Arial" w:cs="Arial"/>
          <w:b/>
        </w:rPr>
        <w:t>Tivadar</w:t>
      </w:r>
      <w:r w:rsidR="00114716">
        <w:rPr>
          <w:rFonts w:ascii="Arial" w:hAnsi="Arial" w:cs="Arial"/>
          <w:b/>
        </w:rPr>
        <w:t xml:space="preserve"> :</w:t>
      </w:r>
      <w:proofErr w:type="gramEnd"/>
      <w:r w:rsidR="00114716">
        <w:rPr>
          <w:rFonts w:ascii="Arial" w:hAnsi="Arial" w:cs="Arial"/>
          <w:b/>
        </w:rPr>
        <w:t>/</w:t>
      </w:r>
      <w:r w:rsidR="00F51DAF">
        <w:rPr>
          <w:rFonts w:ascii="Arial" w:hAnsi="Arial"/>
        </w:rPr>
        <w:br w:type="page"/>
      </w:r>
    </w:p>
    <w:p w:rsidR="00A24CEA" w:rsidRPr="00407658" w:rsidRDefault="00A24CEA" w:rsidP="00A24CEA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A24CEA" w:rsidRPr="00407658" w:rsidRDefault="00A24CEA" w:rsidP="00A24CEA">
      <w:pPr>
        <w:rPr>
          <w:rFonts w:ascii="Arial" w:hAnsi="Arial"/>
          <w:b/>
          <w:u w:val="single"/>
        </w:rPr>
      </w:pPr>
    </w:p>
    <w:p w:rsidR="00A24CEA" w:rsidRPr="00736E01" w:rsidRDefault="00F51DAF" w:rsidP="00A24CEA">
      <w:pPr>
        <w:jc w:val="center"/>
        <w:rPr>
          <w:rFonts w:ascii="Arial" w:hAnsi="Arial"/>
          <w:b/>
          <w:u w:val="single"/>
        </w:rPr>
      </w:pPr>
      <w:r w:rsidRPr="00B6045C">
        <w:rPr>
          <w:rFonts w:ascii="Arial" w:hAnsi="Arial"/>
          <w:b/>
          <w:u w:val="single"/>
        </w:rPr>
        <w:t>…/201</w:t>
      </w:r>
      <w:r w:rsidR="00F42387">
        <w:rPr>
          <w:rFonts w:ascii="Arial" w:hAnsi="Arial"/>
          <w:b/>
          <w:u w:val="single"/>
        </w:rPr>
        <w:t>5</w:t>
      </w:r>
      <w:r w:rsidR="009D4F18">
        <w:rPr>
          <w:rFonts w:ascii="Arial" w:hAnsi="Arial"/>
          <w:b/>
          <w:u w:val="single"/>
        </w:rPr>
        <w:t>. (</w:t>
      </w:r>
      <w:r w:rsidR="00F42387">
        <w:rPr>
          <w:rFonts w:ascii="Arial" w:hAnsi="Arial"/>
          <w:b/>
          <w:u w:val="single"/>
        </w:rPr>
        <w:t>V</w:t>
      </w:r>
      <w:r w:rsidR="00A24CEA" w:rsidRPr="00B6045C">
        <w:rPr>
          <w:rFonts w:ascii="Arial" w:hAnsi="Arial"/>
          <w:b/>
          <w:u w:val="single"/>
        </w:rPr>
        <w:t>.1</w:t>
      </w:r>
      <w:r w:rsidR="009D4F18">
        <w:rPr>
          <w:rFonts w:ascii="Arial" w:hAnsi="Arial"/>
          <w:b/>
          <w:u w:val="single"/>
        </w:rPr>
        <w:t>1</w:t>
      </w:r>
      <w:r w:rsidR="00A24CEA" w:rsidRPr="00B6045C">
        <w:rPr>
          <w:rFonts w:ascii="Arial" w:hAnsi="Arial"/>
          <w:b/>
          <w:u w:val="single"/>
        </w:rPr>
        <w:t xml:space="preserve">.) Kgy. </w:t>
      </w:r>
      <w:proofErr w:type="gramStart"/>
      <w:r w:rsidR="00A24CEA" w:rsidRPr="00B6045C">
        <w:rPr>
          <w:rFonts w:ascii="Arial" w:hAnsi="Arial"/>
          <w:b/>
          <w:u w:val="single"/>
        </w:rPr>
        <w:t>számú</w:t>
      </w:r>
      <w:proofErr w:type="gramEnd"/>
      <w:r w:rsidR="00A24CEA" w:rsidRPr="00B6045C">
        <w:rPr>
          <w:rFonts w:ascii="Arial" w:hAnsi="Arial"/>
          <w:b/>
          <w:u w:val="single"/>
        </w:rPr>
        <w:t xml:space="preserve"> határozat</w:t>
      </w:r>
    </w:p>
    <w:p w:rsidR="00A24CEA" w:rsidRPr="00736E01" w:rsidRDefault="00A24CEA" w:rsidP="00A24CEA">
      <w:pPr>
        <w:jc w:val="both"/>
        <w:rPr>
          <w:rFonts w:ascii="Arial" w:hAnsi="Arial"/>
        </w:rPr>
      </w:pPr>
    </w:p>
    <w:p w:rsidR="00A24CEA" w:rsidRDefault="00A24CEA" w:rsidP="00A24CEA">
      <w:pPr>
        <w:jc w:val="both"/>
        <w:rPr>
          <w:rFonts w:ascii="Arial" w:hAnsi="Arial"/>
        </w:rPr>
      </w:pPr>
    </w:p>
    <w:p w:rsidR="00383B47" w:rsidRPr="00736E01" w:rsidRDefault="00383B47" w:rsidP="00A24CEA">
      <w:pPr>
        <w:jc w:val="both"/>
        <w:rPr>
          <w:rFonts w:ascii="Arial" w:hAnsi="Arial"/>
        </w:rPr>
      </w:pPr>
    </w:p>
    <w:p w:rsidR="00A24CEA" w:rsidRPr="00A157E4" w:rsidRDefault="00A24CEA" w:rsidP="00A24CEA">
      <w:pPr>
        <w:rPr>
          <w:rFonts w:ascii="Arial" w:hAnsi="Arial" w:cs="Arial"/>
        </w:rPr>
      </w:pPr>
    </w:p>
    <w:p w:rsidR="00A24CEA" w:rsidRDefault="00A24CEA" w:rsidP="00383B47">
      <w:pPr>
        <w:jc w:val="both"/>
        <w:rPr>
          <w:rFonts w:ascii="Arial" w:hAnsi="Arial" w:cs="Arial"/>
        </w:rPr>
      </w:pPr>
      <w:r w:rsidRPr="002E499B">
        <w:rPr>
          <w:rFonts w:ascii="Arial" w:hAnsi="Arial" w:cs="Arial"/>
        </w:rPr>
        <w:t>Szombathely Megyei Jogú Város Közgyűlése a</w:t>
      </w:r>
      <w:r w:rsidRPr="002E499B">
        <w:rPr>
          <w:rFonts w:ascii="Arial" w:hAnsi="Arial" w:cs="Arial"/>
          <w:iCs/>
        </w:rPr>
        <w:t xml:space="preserve"> </w:t>
      </w:r>
      <w:r w:rsidRPr="007C4468">
        <w:rPr>
          <w:rFonts w:ascii="Arial" w:hAnsi="Arial" w:cs="Arial"/>
          <w:iCs/>
        </w:rPr>
        <w:t>„</w:t>
      </w:r>
      <w:r w:rsidR="00F42387" w:rsidRPr="00F42387">
        <w:rPr>
          <w:rFonts w:ascii="Arial" w:hAnsi="Arial" w:cs="Arial"/>
          <w:iCs/>
        </w:rPr>
        <w:t>Javaslat Szombathely Megyei Jogú Város Integrált Területi Programjának jóváhagyására</w:t>
      </w:r>
      <w:r w:rsidRPr="007C4468">
        <w:rPr>
          <w:rFonts w:ascii="Arial" w:hAnsi="Arial" w:cs="Arial"/>
          <w:iCs/>
        </w:rPr>
        <w:t>”</w:t>
      </w:r>
      <w:r w:rsidRPr="002E499B">
        <w:rPr>
          <w:rFonts w:ascii="Arial" w:hAnsi="Arial" w:cs="Arial"/>
          <w:iCs/>
        </w:rPr>
        <w:t xml:space="preserve"> </w:t>
      </w:r>
      <w:r w:rsidRPr="002E499B">
        <w:rPr>
          <w:rFonts w:ascii="Arial" w:hAnsi="Arial" w:cs="Arial"/>
        </w:rPr>
        <w:t xml:space="preserve">című előterjesztést </w:t>
      </w:r>
      <w:r w:rsidRPr="007C4468">
        <w:rPr>
          <w:rFonts w:ascii="Arial" w:hAnsi="Arial" w:cs="Arial"/>
        </w:rPr>
        <w:t>megtárgyalta</w:t>
      </w:r>
      <w:r w:rsidR="00114716">
        <w:rPr>
          <w:rFonts w:ascii="Arial" w:hAnsi="Arial" w:cs="Arial"/>
        </w:rPr>
        <w:t>,</w:t>
      </w:r>
      <w:r w:rsidRPr="007C4468">
        <w:rPr>
          <w:rFonts w:ascii="Arial" w:hAnsi="Arial" w:cs="Arial"/>
        </w:rPr>
        <w:t xml:space="preserve"> és</w:t>
      </w:r>
      <w:r w:rsidR="007C4468" w:rsidRPr="007C4468">
        <w:rPr>
          <w:rFonts w:ascii="Arial" w:hAnsi="Arial" w:cs="Arial"/>
        </w:rPr>
        <w:t xml:space="preserve"> a következő döntéseket hozta:</w:t>
      </w:r>
    </w:p>
    <w:p w:rsidR="007C4468" w:rsidRDefault="007C4468" w:rsidP="00383B47">
      <w:pPr>
        <w:jc w:val="both"/>
        <w:rPr>
          <w:rFonts w:ascii="Arial" w:hAnsi="Arial" w:cs="Arial"/>
        </w:rPr>
      </w:pPr>
    </w:p>
    <w:p w:rsidR="007C4468" w:rsidRDefault="007C4468" w:rsidP="00383B47">
      <w:pPr>
        <w:jc w:val="both"/>
        <w:rPr>
          <w:rFonts w:ascii="Arial" w:hAnsi="Arial" w:cs="Arial"/>
        </w:rPr>
      </w:pPr>
    </w:p>
    <w:p w:rsidR="00710A87" w:rsidRPr="00646B08" w:rsidRDefault="00365A30" w:rsidP="00710A87">
      <w:pPr>
        <w:pStyle w:val="Listaszerbekezds"/>
        <w:numPr>
          <w:ilvl w:val="0"/>
          <w:numId w:val="8"/>
        </w:numPr>
        <w:ind w:left="360" w:hanging="207"/>
        <w:jc w:val="both"/>
        <w:rPr>
          <w:rFonts w:ascii="Arial" w:hAnsi="Arial" w:cs="Arial"/>
        </w:rPr>
      </w:pPr>
      <w:r w:rsidRPr="00710A87">
        <w:rPr>
          <w:rFonts w:ascii="Arial" w:hAnsi="Arial" w:cs="Arial"/>
        </w:rPr>
        <w:t xml:space="preserve"> </w:t>
      </w:r>
      <w:r w:rsidRPr="00646B08">
        <w:rPr>
          <w:rFonts w:ascii="Arial" w:hAnsi="Arial" w:cs="Arial"/>
        </w:rPr>
        <w:t>A</w:t>
      </w:r>
      <w:r w:rsidR="00CE0173" w:rsidRPr="00646B08">
        <w:rPr>
          <w:rFonts w:ascii="Arial" w:hAnsi="Arial" w:cs="Arial"/>
        </w:rPr>
        <w:t xml:space="preserve"> Közgyűlés </w:t>
      </w:r>
      <w:r w:rsidR="00F42387" w:rsidRPr="00646B08">
        <w:rPr>
          <w:rFonts w:ascii="Arial" w:hAnsi="Arial" w:cs="Arial"/>
        </w:rPr>
        <w:t xml:space="preserve">az előterjesztés </w:t>
      </w:r>
      <w:r w:rsidRPr="00646B08">
        <w:rPr>
          <w:rFonts w:ascii="Arial" w:hAnsi="Arial" w:cs="Arial"/>
        </w:rPr>
        <w:t xml:space="preserve">1. számú </w:t>
      </w:r>
      <w:r w:rsidR="00F42387" w:rsidRPr="00646B08">
        <w:rPr>
          <w:rFonts w:ascii="Arial" w:hAnsi="Arial" w:cs="Arial"/>
        </w:rPr>
        <w:t>melléklete szerinti tartalommal jóváhagyja Szombathe</w:t>
      </w:r>
      <w:r w:rsidR="00E615B4" w:rsidRPr="00646B08">
        <w:rPr>
          <w:rFonts w:ascii="Arial" w:hAnsi="Arial" w:cs="Arial"/>
        </w:rPr>
        <w:t>ly Megyei Jogú Város Integrált T</w:t>
      </w:r>
      <w:r w:rsidR="00F42387" w:rsidRPr="00646B08">
        <w:rPr>
          <w:rFonts w:ascii="Arial" w:hAnsi="Arial" w:cs="Arial"/>
        </w:rPr>
        <w:t xml:space="preserve">erületi </w:t>
      </w:r>
      <w:r w:rsidR="00E615B4" w:rsidRPr="00646B08">
        <w:rPr>
          <w:rFonts w:ascii="Arial" w:hAnsi="Arial" w:cs="Arial"/>
        </w:rPr>
        <w:t>P</w:t>
      </w:r>
      <w:r w:rsidR="00F42387" w:rsidRPr="00646B08">
        <w:rPr>
          <w:rFonts w:ascii="Arial" w:hAnsi="Arial" w:cs="Arial"/>
        </w:rPr>
        <w:t>rogramjának 2.0 vá</w:t>
      </w:r>
      <w:r w:rsidR="00E615B4" w:rsidRPr="00646B08">
        <w:rPr>
          <w:rFonts w:ascii="Arial" w:hAnsi="Arial" w:cs="Arial"/>
        </w:rPr>
        <w:t>ltozatát</w:t>
      </w:r>
      <w:r w:rsidR="00F42387" w:rsidRPr="00646B08">
        <w:rPr>
          <w:rFonts w:ascii="Arial" w:hAnsi="Arial" w:cs="Arial"/>
        </w:rPr>
        <w:t xml:space="preserve"> és felhatalmazza a Polgármestert</w:t>
      </w:r>
      <w:r w:rsidR="004E4E84" w:rsidRPr="00646B08">
        <w:rPr>
          <w:rFonts w:ascii="Arial" w:hAnsi="Arial" w:cs="Arial"/>
        </w:rPr>
        <w:t>, hogy az ITP 2.0 változatát</w:t>
      </w:r>
      <w:r w:rsidR="00F42387" w:rsidRPr="00646B08">
        <w:rPr>
          <w:rFonts w:ascii="Arial" w:hAnsi="Arial" w:cs="Arial"/>
        </w:rPr>
        <w:t xml:space="preserve"> a Kormány részére benyújtsa</w:t>
      </w:r>
      <w:r w:rsidR="00CE0173" w:rsidRPr="00646B08">
        <w:rPr>
          <w:rFonts w:ascii="Arial" w:hAnsi="Arial" w:cs="Arial"/>
        </w:rPr>
        <w:t>.</w:t>
      </w:r>
    </w:p>
    <w:p w:rsidR="00710A87" w:rsidRPr="00646B08" w:rsidRDefault="00710A87" w:rsidP="00710A87">
      <w:pPr>
        <w:ind w:left="153"/>
        <w:jc w:val="both"/>
        <w:rPr>
          <w:rFonts w:ascii="Arial" w:hAnsi="Arial" w:cs="Arial"/>
        </w:rPr>
      </w:pPr>
    </w:p>
    <w:p w:rsidR="00CE0173" w:rsidRPr="00646B08" w:rsidRDefault="00CE0173" w:rsidP="00CE0173">
      <w:pPr>
        <w:pStyle w:val="Listaszerbekezds"/>
        <w:jc w:val="both"/>
        <w:rPr>
          <w:rFonts w:ascii="Arial" w:hAnsi="Arial" w:cs="Arial"/>
        </w:rPr>
      </w:pPr>
    </w:p>
    <w:p w:rsidR="007C4468" w:rsidRPr="00646B08" w:rsidRDefault="007C4468" w:rsidP="00710A87">
      <w:pPr>
        <w:pStyle w:val="Listaszerbekezds"/>
        <w:numPr>
          <w:ilvl w:val="0"/>
          <w:numId w:val="8"/>
        </w:numPr>
        <w:ind w:left="426" w:hanging="284"/>
        <w:jc w:val="both"/>
        <w:rPr>
          <w:rFonts w:ascii="Arial" w:hAnsi="Arial" w:cs="Arial"/>
        </w:rPr>
      </w:pPr>
      <w:r w:rsidRPr="00646B08">
        <w:rPr>
          <w:rFonts w:ascii="Arial" w:hAnsi="Arial" w:cs="Arial"/>
        </w:rPr>
        <w:t xml:space="preserve">A Közgyűlés </w:t>
      </w:r>
      <w:r w:rsidR="00E615B4" w:rsidRPr="00646B08">
        <w:rPr>
          <w:rFonts w:ascii="Arial" w:hAnsi="Arial" w:cs="Arial"/>
        </w:rPr>
        <w:t xml:space="preserve">a </w:t>
      </w:r>
      <w:r w:rsidR="00C66AD8" w:rsidRPr="00646B08">
        <w:rPr>
          <w:rFonts w:ascii="Arial" w:hAnsi="Arial" w:cs="Arial"/>
          <w:lang w:eastAsia="ar-SA"/>
        </w:rPr>
        <w:t>495/2014. (XII.15.) Kgy. sz. határozat</w:t>
      </w:r>
      <w:r w:rsidR="00C66AD8" w:rsidRPr="00646B08">
        <w:rPr>
          <w:rFonts w:ascii="Arial" w:hAnsi="Arial" w:cs="Arial"/>
        </w:rPr>
        <w:t xml:space="preserve">ban foglaltak alapján </w:t>
      </w:r>
      <w:r w:rsidR="00E615B4" w:rsidRPr="00646B08">
        <w:rPr>
          <w:rFonts w:ascii="Arial" w:hAnsi="Arial" w:cs="Arial"/>
        </w:rPr>
        <w:t xml:space="preserve">beérkezett képviselői javaslatok szakmai megjegyzéssel kiegészített tételes listáját </w:t>
      </w:r>
      <w:r w:rsidR="007D7CB4" w:rsidRPr="00646B08">
        <w:rPr>
          <w:rFonts w:ascii="Arial" w:hAnsi="Arial" w:cs="Arial"/>
        </w:rPr>
        <w:t xml:space="preserve">megismerte </w:t>
      </w:r>
      <w:r w:rsidR="00E615B4" w:rsidRPr="00646B08">
        <w:rPr>
          <w:rFonts w:ascii="Arial" w:hAnsi="Arial" w:cs="Arial"/>
        </w:rPr>
        <w:t>és az arról szóló tájékoztatót elfogadta.</w:t>
      </w:r>
    </w:p>
    <w:p w:rsidR="007C4468" w:rsidRDefault="007C4468" w:rsidP="007C4468">
      <w:pPr>
        <w:pStyle w:val="Listaszerbekezds"/>
        <w:jc w:val="both"/>
        <w:rPr>
          <w:rFonts w:ascii="Arial" w:hAnsi="Arial" w:cs="Arial"/>
        </w:rPr>
      </w:pPr>
    </w:p>
    <w:p w:rsidR="00C02F05" w:rsidRDefault="00C02F05" w:rsidP="00C02F05">
      <w:pPr>
        <w:pStyle w:val="Listaszerbekezds"/>
        <w:jc w:val="both"/>
        <w:rPr>
          <w:rFonts w:ascii="Arial" w:hAnsi="Arial" w:cs="Arial"/>
        </w:rPr>
      </w:pPr>
    </w:p>
    <w:p w:rsidR="00A24CEA" w:rsidRDefault="00A24CEA" w:rsidP="00A24CE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24CEA" w:rsidRPr="008E7D07" w:rsidRDefault="00A24CEA" w:rsidP="00A24CE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A24CEA" w:rsidRPr="008E7D07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A24CEA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="00F51DAF"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A24CEA" w:rsidRDefault="00F42387" w:rsidP="00A24C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A24CEA" w:rsidRPr="008E7D07">
        <w:rPr>
          <w:rFonts w:ascii="Arial" w:hAnsi="Arial" w:cs="Arial"/>
          <w:bCs/>
        </w:rPr>
        <w:t>, jegyző</w:t>
      </w:r>
      <w:r>
        <w:rPr>
          <w:rFonts w:ascii="Arial" w:hAnsi="Arial" w:cs="Arial"/>
          <w:bCs/>
        </w:rPr>
        <w:t>i feladatokat ellátó aljegyző</w:t>
      </w:r>
    </w:p>
    <w:p w:rsidR="00A24CEA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A24CEA" w:rsidRPr="008E7D07" w:rsidRDefault="00A24CEA" w:rsidP="00A24CEA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(A végrehajtás előkészítéséért:</w:t>
      </w:r>
    </w:p>
    <w:p w:rsidR="00A24CEA" w:rsidRPr="008E7D07" w:rsidRDefault="00A24CEA" w:rsidP="00383B47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Szakály Szabolcs</w:t>
      </w:r>
      <w:r w:rsidR="00F42387">
        <w:rPr>
          <w:rFonts w:ascii="Arial" w:hAnsi="Arial" w:cs="Arial"/>
          <w:bCs/>
        </w:rPr>
        <w:t xml:space="preserve"> osztályvezető</w:t>
      </w:r>
      <w:r w:rsidRPr="008E7D07">
        <w:rPr>
          <w:rFonts w:ascii="Arial" w:hAnsi="Arial" w:cs="Arial"/>
          <w:bCs/>
        </w:rPr>
        <w:t>, Városfejlesztési</w:t>
      </w:r>
      <w:r w:rsidR="00F42387">
        <w:rPr>
          <w:rFonts w:ascii="Arial" w:hAnsi="Arial" w:cs="Arial"/>
          <w:bCs/>
        </w:rPr>
        <w:t xml:space="preserve"> és Projekt Kabinet</w:t>
      </w:r>
      <w:r w:rsidRPr="008E7D07">
        <w:rPr>
          <w:rFonts w:ascii="Arial" w:hAnsi="Arial" w:cs="Arial"/>
          <w:bCs/>
        </w:rPr>
        <w:t>)</w:t>
      </w:r>
    </w:p>
    <w:p w:rsidR="00A24CEA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A24CEA" w:rsidRPr="008E7D07" w:rsidRDefault="00A24CEA" w:rsidP="00A24CEA">
      <w:pPr>
        <w:ind w:left="1414" w:firstLine="4"/>
        <w:jc w:val="both"/>
        <w:rPr>
          <w:rFonts w:ascii="Arial" w:hAnsi="Arial" w:cs="Arial"/>
          <w:bCs/>
        </w:rPr>
      </w:pPr>
    </w:p>
    <w:p w:rsidR="007D7CB4" w:rsidRDefault="00A24CEA" w:rsidP="007D7CB4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="007D7CB4">
        <w:rPr>
          <w:rFonts w:ascii="Arial" w:hAnsi="Arial" w:cs="Arial"/>
          <w:bCs/>
        </w:rPr>
        <w:t>1. pont: a Kormány által meghatározott határidőnek megfelelően</w:t>
      </w:r>
    </w:p>
    <w:p w:rsidR="007D7CB4" w:rsidRPr="007D7CB4" w:rsidRDefault="007D7CB4" w:rsidP="007D7CB4">
      <w:pPr>
        <w:ind w:left="1410" w:hanging="1410"/>
        <w:jc w:val="both"/>
        <w:rPr>
          <w:rFonts w:ascii="Arial" w:hAnsi="Arial" w:cs="Arial"/>
          <w:bCs/>
        </w:rPr>
      </w:pPr>
      <w:r w:rsidRPr="007D7CB4">
        <w:rPr>
          <w:rFonts w:ascii="Arial" w:hAnsi="Arial" w:cs="Arial"/>
          <w:bCs/>
        </w:rPr>
        <w:tab/>
        <w:t>2. pont: azonnal</w:t>
      </w:r>
    </w:p>
    <w:p w:rsidR="00C02F05" w:rsidRPr="00C02F05" w:rsidRDefault="00C02F05" w:rsidP="00A24CEA">
      <w:pPr>
        <w:ind w:left="1410" w:hanging="1410"/>
        <w:jc w:val="both"/>
        <w:rPr>
          <w:rFonts w:ascii="Arial" w:hAnsi="Arial" w:cs="Arial"/>
          <w:bCs/>
        </w:rPr>
      </w:pPr>
      <w:r w:rsidRPr="00C02F05">
        <w:rPr>
          <w:rFonts w:ascii="Arial" w:hAnsi="Arial" w:cs="Arial"/>
          <w:bCs/>
        </w:rPr>
        <w:tab/>
      </w:r>
    </w:p>
    <w:p w:rsidR="00A24CEA" w:rsidRPr="007C40AF" w:rsidRDefault="00A24CEA" w:rsidP="00A24CEA">
      <w:pPr>
        <w:tabs>
          <w:tab w:val="left" w:pos="5040"/>
        </w:tabs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3E2" w:rsidRDefault="00D423E2">
      <w:r>
        <w:separator/>
      </w:r>
    </w:p>
  </w:endnote>
  <w:endnote w:type="continuationSeparator" w:id="0">
    <w:p w:rsidR="00D423E2" w:rsidRDefault="00D4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5E5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962AA1">
      <w:rPr>
        <w:rFonts w:ascii="Arial" w:hAnsi="Arial" w:cs="Arial"/>
        <w:noProof/>
        <w:sz w:val="20"/>
        <w:szCs w:val="20"/>
      </w:rPr>
      <w:t>3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962AA1" w:rsidRPr="00962AA1">
        <w:rPr>
          <w:rFonts w:ascii="Arial" w:hAnsi="Arial" w:cs="Arial"/>
          <w:noProof/>
          <w:sz w:val="20"/>
          <w:szCs w:val="20"/>
        </w:rPr>
        <w:t>6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3E2" w:rsidRDefault="00D423E2">
      <w:r>
        <w:separator/>
      </w:r>
    </w:p>
  </w:footnote>
  <w:footnote w:type="continuationSeparator" w:id="0">
    <w:p w:rsidR="00D423E2" w:rsidRDefault="00D4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5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4"/>
  </w:num>
  <w:num w:numId="10">
    <w:abstractNumId w:val="10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16675"/>
    <w:rsid w:val="000215AC"/>
    <w:rsid w:val="00025DAB"/>
    <w:rsid w:val="00043504"/>
    <w:rsid w:val="00045275"/>
    <w:rsid w:val="000608A2"/>
    <w:rsid w:val="00063A67"/>
    <w:rsid w:val="0008643D"/>
    <w:rsid w:val="00091CD5"/>
    <w:rsid w:val="0009651F"/>
    <w:rsid w:val="0009662A"/>
    <w:rsid w:val="000A2EC3"/>
    <w:rsid w:val="000A739A"/>
    <w:rsid w:val="000B019D"/>
    <w:rsid w:val="000B3401"/>
    <w:rsid w:val="000D4097"/>
    <w:rsid w:val="000D5554"/>
    <w:rsid w:val="000D5A12"/>
    <w:rsid w:val="000E4DAC"/>
    <w:rsid w:val="00104773"/>
    <w:rsid w:val="00114716"/>
    <w:rsid w:val="001167F2"/>
    <w:rsid w:val="0012387F"/>
    <w:rsid w:val="00132161"/>
    <w:rsid w:val="0013267F"/>
    <w:rsid w:val="00133DDC"/>
    <w:rsid w:val="00141EA0"/>
    <w:rsid w:val="00160509"/>
    <w:rsid w:val="001640A2"/>
    <w:rsid w:val="00170A25"/>
    <w:rsid w:val="00177FD0"/>
    <w:rsid w:val="00181696"/>
    <w:rsid w:val="00184F51"/>
    <w:rsid w:val="001A4648"/>
    <w:rsid w:val="001B02A5"/>
    <w:rsid w:val="001C040B"/>
    <w:rsid w:val="001C2111"/>
    <w:rsid w:val="001C4B2A"/>
    <w:rsid w:val="001C5B8C"/>
    <w:rsid w:val="001E37BF"/>
    <w:rsid w:val="001F13BA"/>
    <w:rsid w:val="002025BA"/>
    <w:rsid w:val="0020454F"/>
    <w:rsid w:val="00205417"/>
    <w:rsid w:val="002166BA"/>
    <w:rsid w:val="00222185"/>
    <w:rsid w:val="002231D8"/>
    <w:rsid w:val="0024394C"/>
    <w:rsid w:val="00281A7E"/>
    <w:rsid w:val="002823C9"/>
    <w:rsid w:val="002834DE"/>
    <w:rsid w:val="0029291B"/>
    <w:rsid w:val="00292BF9"/>
    <w:rsid w:val="002C201B"/>
    <w:rsid w:val="002C5440"/>
    <w:rsid w:val="002C5CCD"/>
    <w:rsid w:val="002D7354"/>
    <w:rsid w:val="002E4640"/>
    <w:rsid w:val="002E499B"/>
    <w:rsid w:val="00325973"/>
    <w:rsid w:val="0032649B"/>
    <w:rsid w:val="0034130E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3A91"/>
    <w:rsid w:val="003A1725"/>
    <w:rsid w:val="003B2988"/>
    <w:rsid w:val="003C1610"/>
    <w:rsid w:val="003D0196"/>
    <w:rsid w:val="003D447D"/>
    <w:rsid w:val="003E034D"/>
    <w:rsid w:val="003F2A58"/>
    <w:rsid w:val="00403ECC"/>
    <w:rsid w:val="004048ED"/>
    <w:rsid w:val="00416B18"/>
    <w:rsid w:val="00423B19"/>
    <w:rsid w:val="00423BFE"/>
    <w:rsid w:val="00426187"/>
    <w:rsid w:val="00426B00"/>
    <w:rsid w:val="00433AA2"/>
    <w:rsid w:val="0044460C"/>
    <w:rsid w:val="004464F6"/>
    <w:rsid w:val="00455F21"/>
    <w:rsid w:val="004612A4"/>
    <w:rsid w:val="00466D76"/>
    <w:rsid w:val="00477041"/>
    <w:rsid w:val="00482A8A"/>
    <w:rsid w:val="00484A82"/>
    <w:rsid w:val="00484C83"/>
    <w:rsid w:val="00486E52"/>
    <w:rsid w:val="00494CA0"/>
    <w:rsid w:val="004A21B0"/>
    <w:rsid w:val="004A3F8E"/>
    <w:rsid w:val="004A4DB3"/>
    <w:rsid w:val="004A5585"/>
    <w:rsid w:val="004A5E39"/>
    <w:rsid w:val="004B6105"/>
    <w:rsid w:val="004C20A9"/>
    <w:rsid w:val="004C77BC"/>
    <w:rsid w:val="004D1977"/>
    <w:rsid w:val="004E22AC"/>
    <w:rsid w:val="004E4E84"/>
    <w:rsid w:val="004F2E50"/>
    <w:rsid w:val="004F6166"/>
    <w:rsid w:val="00505EFF"/>
    <w:rsid w:val="00510CBA"/>
    <w:rsid w:val="00513AA9"/>
    <w:rsid w:val="00514FBB"/>
    <w:rsid w:val="00522193"/>
    <w:rsid w:val="00525D98"/>
    <w:rsid w:val="00526E63"/>
    <w:rsid w:val="005424EA"/>
    <w:rsid w:val="00542A14"/>
    <w:rsid w:val="0057024B"/>
    <w:rsid w:val="00571976"/>
    <w:rsid w:val="00573706"/>
    <w:rsid w:val="0059001D"/>
    <w:rsid w:val="005A287E"/>
    <w:rsid w:val="005A49B8"/>
    <w:rsid w:val="005A6133"/>
    <w:rsid w:val="005B3E1E"/>
    <w:rsid w:val="005B7C50"/>
    <w:rsid w:val="005C0914"/>
    <w:rsid w:val="005D03AD"/>
    <w:rsid w:val="005D1ADD"/>
    <w:rsid w:val="005D53C4"/>
    <w:rsid w:val="005E01DB"/>
    <w:rsid w:val="005F19FE"/>
    <w:rsid w:val="005F2839"/>
    <w:rsid w:val="005F3B1F"/>
    <w:rsid w:val="0063627B"/>
    <w:rsid w:val="00644CD3"/>
    <w:rsid w:val="006450BB"/>
    <w:rsid w:val="00646B08"/>
    <w:rsid w:val="006512B7"/>
    <w:rsid w:val="0067309F"/>
    <w:rsid w:val="00673677"/>
    <w:rsid w:val="00673832"/>
    <w:rsid w:val="00681605"/>
    <w:rsid w:val="00685596"/>
    <w:rsid w:val="006931EF"/>
    <w:rsid w:val="006950E5"/>
    <w:rsid w:val="006970FB"/>
    <w:rsid w:val="0069777C"/>
    <w:rsid w:val="006B5218"/>
    <w:rsid w:val="006D60EC"/>
    <w:rsid w:val="00710A87"/>
    <w:rsid w:val="00721485"/>
    <w:rsid w:val="007279FF"/>
    <w:rsid w:val="007437B3"/>
    <w:rsid w:val="0074488C"/>
    <w:rsid w:val="007640E8"/>
    <w:rsid w:val="00766488"/>
    <w:rsid w:val="00775673"/>
    <w:rsid w:val="00790C78"/>
    <w:rsid w:val="00792CB1"/>
    <w:rsid w:val="007971F3"/>
    <w:rsid w:val="007B2FF9"/>
    <w:rsid w:val="007C1CC0"/>
    <w:rsid w:val="007C40AF"/>
    <w:rsid w:val="007C4468"/>
    <w:rsid w:val="007C464A"/>
    <w:rsid w:val="007D69A8"/>
    <w:rsid w:val="007D7CB4"/>
    <w:rsid w:val="007E1C58"/>
    <w:rsid w:val="007E2916"/>
    <w:rsid w:val="007F0328"/>
    <w:rsid w:val="007F0719"/>
    <w:rsid w:val="007F2F31"/>
    <w:rsid w:val="007F3DAA"/>
    <w:rsid w:val="0080224E"/>
    <w:rsid w:val="00804113"/>
    <w:rsid w:val="008042EC"/>
    <w:rsid w:val="00804BBA"/>
    <w:rsid w:val="00804BCC"/>
    <w:rsid w:val="008116BE"/>
    <w:rsid w:val="00813C66"/>
    <w:rsid w:val="00833FD8"/>
    <w:rsid w:val="00843DB9"/>
    <w:rsid w:val="00863E52"/>
    <w:rsid w:val="00867309"/>
    <w:rsid w:val="008728D0"/>
    <w:rsid w:val="00873B4B"/>
    <w:rsid w:val="00873C3B"/>
    <w:rsid w:val="008761CE"/>
    <w:rsid w:val="008805AA"/>
    <w:rsid w:val="008869D3"/>
    <w:rsid w:val="008934CA"/>
    <w:rsid w:val="00895196"/>
    <w:rsid w:val="008B4AE6"/>
    <w:rsid w:val="008B533F"/>
    <w:rsid w:val="008E5236"/>
    <w:rsid w:val="008E6648"/>
    <w:rsid w:val="008E6AA2"/>
    <w:rsid w:val="008E719D"/>
    <w:rsid w:val="008F10E5"/>
    <w:rsid w:val="008F776E"/>
    <w:rsid w:val="009029FA"/>
    <w:rsid w:val="00906652"/>
    <w:rsid w:val="00907D01"/>
    <w:rsid w:val="009106F6"/>
    <w:rsid w:val="00912E58"/>
    <w:rsid w:val="009207D8"/>
    <w:rsid w:val="0092344B"/>
    <w:rsid w:val="009237D4"/>
    <w:rsid w:val="009266CC"/>
    <w:rsid w:val="00930630"/>
    <w:rsid w:val="00931582"/>
    <w:rsid w:val="009348EA"/>
    <w:rsid w:val="009378A0"/>
    <w:rsid w:val="009467D5"/>
    <w:rsid w:val="00950958"/>
    <w:rsid w:val="0095126B"/>
    <w:rsid w:val="0096279B"/>
    <w:rsid w:val="00962AA1"/>
    <w:rsid w:val="00965903"/>
    <w:rsid w:val="0096605B"/>
    <w:rsid w:val="00975780"/>
    <w:rsid w:val="009828C2"/>
    <w:rsid w:val="009849FF"/>
    <w:rsid w:val="009B2385"/>
    <w:rsid w:val="009B5E0D"/>
    <w:rsid w:val="009B7438"/>
    <w:rsid w:val="009C17E2"/>
    <w:rsid w:val="009C26B2"/>
    <w:rsid w:val="009C572C"/>
    <w:rsid w:val="009D4F18"/>
    <w:rsid w:val="009D5A22"/>
    <w:rsid w:val="009E34B4"/>
    <w:rsid w:val="009E3FEE"/>
    <w:rsid w:val="009E4695"/>
    <w:rsid w:val="009F0A3C"/>
    <w:rsid w:val="009F2D7B"/>
    <w:rsid w:val="00A00269"/>
    <w:rsid w:val="00A03322"/>
    <w:rsid w:val="00A11B2F"/>
    <w:rsid w:val="00A2054E"/>
    <w:rsid w:val="00A213E8"/>
    <w:rsid w:val="00A24CEA"/>
    <w:rsid w:val="00A259DE"/>
    <w:rsid w:val="00A3544C"/>
    <w:rsid w:val="00A41F14"/>
    <w:rsid w:val="00A4454A"/>
    <w:rsid w:val="00A7633E"/>
    <w:rsid w:val="00A80378"/>
    <w:rsid w:val="00AB1CAE"/>
    <w:rsid w:val="00AB4B4E"/>
    <w:rsid w:val="00AB7B31"/>
    <w:rsid w:val="00AC210C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F0D68"/>
    <w:rsid w:val="00AF2622"/>
    <w:rsid w:val="00B04D0C"/>
    <w:rsid w:val="00B103B4"/>
    <w:rsid w:val="00B15623"/>
    <w:rsid w:val="00B56F36"/>
    <w:rsid w:val="00B6045C"/>
    <w:rsid w:val="00B60E0F"/>
    <w:rsid w:val="00B610E8"/>
    <w:rsid w:val="00B6139C"/>
    <w:rsid w:val="00B67AE5"/>
    <w:rsid w:val="00B7746B"/>
    <w:rsid w:val="00B809CD"/>
    <w:rsid w:val="00B80E55"/>
    <w:rsid w:val="00B8356F"/>
    <w:rsid w:val="00B95ECD"/>
    <w:rsid w:val="00BA2ED2"/>
    <w:rsid w:val="00BA6530"/>
    <w:rsid w:val="00BA6BD3"/>
    <w:rsid w:val="00BB1C2D"/>
    <w:rsid w:val="00BB2AEB"/>
    <w:rsid w:val="00BB719A"/>
    <w:rsid w:val="00BB7D09"/>
    <w:rsid w:val="00BC46F6"/>
    <w:rsid w:val="00BE05CF"/>
    <w:rsid w:val="00BE16F6"/>
    <w:rsid w:val="00BE370B"/>
    <w:rsid w:val="00C01ADD"/>
    <w:rsid w:val="00C02F05"/>
    <w:rsid w:val="00C03DB4"/>
    <w:rsid w:val="00C20AAD"/>
    <w:rsid w:val="00C3736A"/>
    <w:rsid w:val="00C61C21"/>
    <w:rsid w:val="00C66AD8"/>
    <w:rsid w:val="00C752C5"/>
    <w:rsid w:val="00C857E5"/>
    <w:rsid w:val="00C9673F"/>
    <w:rsid w:val="00C96AAC"/>
    <w:rsid w:val="00CC0051"/>
    <w:rsid w:val="00CC2AFE"/>
    <w:rsid w:val="00CC50AA"/>
    <w:rsid w:val="00CD4649"/>
    <w:rsid w:val="00CE0173"/>
    <w:rsid w:val="00CE393A"/>
    <w:rsid w:val="00D00224"/>
    <w:rsid w:val="00D00BC3"/>
    <w:rsid w:val="00D0795E"/>
    <w:rsid w:val="00D34DA9"/>
    <w:rsid w:val="00D366C5"/>
    <w:rsid w:val="00D423E2"/>
    <w:rsid w:val="00D44E94"/>
    <w:rsid w:val="00D54DF8"/>
    <w:rsid w:val="00D67361"/>
    <w:rsid w:val="00D713B0"/>
    <w:rsid w:val="00D715DA"/>
    <w:rsid w:val="00D82090"/>
    <w:rsid w:val="00D92209"/>
    <w:rsid w:val="00DA14B3"/>
    <w:rsid w:val="00DB414C"/>
    <w:rsid w:val="00DB5E95"/>
    <w:rsid w:val="00DC3D14"/>
    <w:rsid w:val="00DC43A3"/>
    <w:rsid w:val="00DC57F2"/>
    <w:rsid w:val="00DC7BA2"/>
    <w:rsid w:val="00DD6364"/>
    <w:rsid w:val="00DE1400"/>
    <w:rsid w:val="00E0133D"/>
    <w:rsid w:val="00E143D0"/>
    <w:rsid w:val="00E15284"/>
    <w:rsid w:val="00E22B98"/>
    <w:rsid w:val="00E269DA"/>
    <w:rsid w:val="00E41CC1"/>
    <w:rsid w:val="00E615B4"/>
    <w:rsid w:val="00E706E0"/>
    <w:rsid w:val="00E823C8"/>
    <w:rsid w:val="00E82C45"/>
    <w:rsid w:val="00E82F69"/>
    <w:rsid w:val="00E950D2"/>
    <w:rsid w:val="00EA5152"/>
    <w:rsid w:val="00EC7C11"/>
    <w:rsid w:val="00ED56E2"/>
    <w:rsid w:val="00ED654A"/>
    <w:rsid w:val="00EE724C"/>
    <w:rsid w:val="00F30F0F"/>
    <w:rsid w:val="00F3194A"/>
    <w:rsid w:val="00F32EF2"/>
    <w:rsid w:val="00F4017A"/>
    <w:rsid w:val="00F42387"/>
    <w:rsid w:val="00F47E45"/>
    <w:rsid w:val="00F51DAF"/>
    <w:rsid w:val="00F55C8E"/>
    <w:rsid w:val="00F6152A"/>
    <w:rsid w:val="00F675F2"/>
    <w:rsid w:val="00F9175D"/>
    <w:rsid w:val="00FA1288"/>
    <w:rsid w:val="00FA2700"/>
    <w:rsid w:val="00FA5B5B"/>
    <w:rsid w:val="00FB2858"/>
    <w:rsid w:val="00FB3ADC"/>
    <w:rsid w:val="00FB4355"/>
    <w:rsid w:val="00FB6FCE"/>
    <w:rsid w:val="00FD0C53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onkormanyzat/e-kozgyules_e-bizottsag/e-kozgyules_aktual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nagy.babett\dokumentumok\Nagy%20Babett\sablonok\polgarmester_2014_040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6F18-FFA8-4ED4-B844-7C6F7D10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polgarmester_2014_0401</Template>
  <TotalTime>19</TotalTime>
  <Pages>6</Pages>
  <Words>1593</Words>
  <Characters>11985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Babett</dc:creator>
  <cp:lastModifiedBy>Nagy Babett</cp:lastModifiedBy>
  <cp:revision>4</cp:revision>
  <cp:lastPrinted>2015-05-06T13:37:00Z</cp:lastPrinted>
  <dcterms:created xsi:type="dcterms:W3CDTF">2015-05-06T10:55:00Z</dcterms:created>
  <dcterms:modified xsi:type="dcterms:W3CDTF">2015-05-06T13:40:00Z</dcterms:modified>
</cp:coreProperties>
</file>